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5" w:lineRule="auto"/>
        <w:jc w:val="center"/>
      </w:pPr>
      <w:r>
        <w:drawing>
          <wp:inline xmlns:a="http://schemas.openxmlformats.org/drawingml/2006/main" xmlns:pic="http://schemas.openxmlformats.org/drawingml/2006/picture">
            <wp:extent cx="1143000" cy="826213"/>
            <wp:docPr id="1" name="Picture 1" descr="Image: image2.png"/>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143000" cy="826213"/>
                    </a:xfrm>
                    <a:prstGeom prst="rect"/>
                  </pic:spPr>
                </pic:pic>
              </a:graphicData>
            </a:graphic>
          </wp:inline>
        </w:drawing>
      </w:r>
    </w:p>
    <w:p>
      <w:pPr>
        <w:spacing w:before="0" w:after="20" w:line="245" w:lineRule="auto"/>
        <w:jc w:val="center"/>
      </w:pPr>
      <w:r>
        <w:rPr>
          <w:rFonts w:ascii="Arial" w:hAnsi="Arial" w:eastAsia="Arial"/>
          <w:b/>
          <w:i w:val="0"/>
          <w:color w:val="159C9C"/>
          <w:sz w:val="19"/>
        </w:rPr>
        <w:t>LPCC NCMHCE EXAM PREPARATION PROGRAM</w:t>
      </w:r>
    </w:p>
    <w:p>
      <w:pPr>
        <w:spacing w:before="0" w:after="120" w:line="245" w:lineRule="auto"/>
        <w:jc w:val="center"/>
      </w:pPr>
      <w:r>
        <w:rPr>
          <w:rFonts w:ascii="Arial" w:hAnsi="Arial" w:eastAsia="Arial"/>
          <w:b/>
          <w:i w:val="0"/>
          <w:color w:val="17365D"/>
          <w:sz w:val="23"/>
        </w:rPr>
        <w:t>Answer &amp; Rationales</w:t>
      </w:r>
    </w:p>
    <w:p>
      <w:pPr>
        <w:spacing w:before="0" w:after="60" w:line="245" w:lineRule="auto"/>
        <w:jc w:val="center"/>
      </w:pPr>
      <w:r>
        <w:rPr>
          <w:rFonts w:ascii="Arial" w:hAnsi="Arial" w:eastAsia="Arial"/>
          <w:b/>
          <w:i w:val="0"/>
          <w:color w:val="17365D"/>
          <w:sz w:val="36"/>
        </w:rPr>
        <w:t>Workbook 11: 17-Question Practice Bank</w:t>
      </w:r>
    </w:p>
    <w:p>
      <w:pPr>
        <w:spacing w:before="0" w:after="40" w:line="245" w:lineRule="auto"/>
        <w:jc w:val="center"/>
      </w:pPr>
      <w:r>
        <w:rPr>
          <w:rFonts w:ascii="Arial" w:hAnsi="Arial" w:eastAsia="Arial"/>
          <w:b w:val="0"/>
          <w:i w:val="0"/>
          <w:color w:val="1F2937"/>
          <w:sz w:val="22"/>
        </w:rPr>
        <w:t>Individual, Group, Couple/Family, Referral, Continuity, and Interdisciplinary Collaboration</w:t>
      </w:r>
    </w:p>
    <w:p>
      <w:pPr>
        <w:spacing w:before="0" w:after="80" w:line="245" w:lineRule="auto"/>
        <w:jc w:val="center"/>
      </w:pPr>
      <w:r>
        <w:rPr>
          <w:rFonts w:ascii="Arial" w:hAnsi="Arial" w:eastAsia="Arial"/>
          <w:b w:val="0"/>
          <w:i/>
          <w:color w:val="4B5563"/>
          <w:sz w:val="17"/>
        </w:rPr>
        <w:t>Controlled review form - open only after completing the candidate form</w:t>
      </w:r>
    </w:p>
    <w:p>
      <w:pPr>
        <w:spacing w:before="0" w:after="160" w:line="245" w:lineRule="auto"/>
        <w:jc w:val="center"/>
      </w:pPr>
      <w:r>
        <w:rPr>
          <w:rFonts w:ascii="Arial" w:hAnsi="Arial" w:eastAsia="Arial"/>
          <w:b w:val="0"/>
          <w:i w:val="0"/>
          <w:color w:val="17365D"/>
          <w:sz w:val="17"/>
        </w:rPr>
        <w:t>Version 1.0 - July 2026</w:t>
      </w:r>
    </w:p>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ORIGINAL CTA PRACTICE MATERIAL</w:t>
            </w:r>
          </w:p>
          <w:p>
            <w:pPr>
              <w:spacing w:before="0" w:after="0" w:line="240" w:lineRule="auto"/>
            </w:pPr>
            <w:r>
              <w:rPr>
                <w:rFonts w:ascii="Arial" w:hAnsi="Arial" w:eastAsia="Arial"/>
                <w:color w:val="1F2937"/>
                <w:sz w:val="16"/>
              </w:rPr>
              <w:t>Every question and case detail in this bank is an original CTA educational item. No item is an actual, recalled, reconstructed, or purported licensing-examination question.</w:t>
            </w:r>
          </w:p>
        </w:tc>
      </w:tr>
    </w:tbl>
    <w:p>
      <w:pPr>
        <w:spacing w:before="0" w:after="0" w:line="245" w:lineRule="auto"/>
        <w:jc w:val="center"/>
      </w:pPr>
      <w:r>
        <w:rPr>
          <w:rFonts w:ascii="Arial" w:hAnsi="Arial" w:eastAsia="Arial"/>
          <w:b/>
          <w:i w:val="0"/>
          <w:color w:val="17365D"/>
          <w:sz w:val="16"/>
        </w:rPr>
        <w:t>Clinical Training Academy</w:t>
      </w:r>
    </w:p>
    <w:p>
      <w:r>
        <w:br w:type="page"/>
      </w:r>
    </w:p>
    <w:p>
      <w:pPr>
        <w:pStyle w:val="Heading1"/>
        <w:spacing w:before="0" w:after="60" w:line="245" w:lineRule="auto"/>
        <w:keepNext/>
      </w:pPr>
      <w:r>
        <w:rPr>
          <w:rFonts w:ascii="Arial" w:hAnsi="Arial" w:eastAsia="Arial"/>
          <w:b/>
          <w:color w:val="159C9C"/>
          <w:sz w:val="28"/>
        </w:rPr>
        <w:t>How to Use the Rationales</w:t>
      </w:r>
    </w:p>
    <w:p>
      <w:pPr>
        <w:pStyle w:val="ListBullet"/>
        <w:spacing w:before="0" w:after="20" w:line="245" w:lineRule="auto"/>
      </w:pPr>
      <w:r>
        <w:rPr>
          <w:rFonts w:ascii="Arial" w:hAnsi="Arial" w:eastAsia="Arial"/>
          <w:sz w:val="17"/>
        </w:rPr>
        <w:t>Score the bank, but do not stop at the total. Mark every incorrect response and every correct response with confidence 1.</w:t>
      </w:r>
    </w:p>
    <w:p>
      <w:pPr>
        <w:pStyle w:val="ListBullet"/>
        <w:spacing w:before="0" w:after="20" w:line="245" w:lineRule="auto"/>
      </w:pPr>
      <w:r>
        <w:rPr>
          <w:rFonts w:ascii="Arial" w:hAnsi="Arial" w:eastAsia="Arial"/>
          <w:sz w:val="17"/>
        </w:rPr>
        <w:t>For each item, identify which Workbook 11 tool controlled the answer: MODE, GROUP, SYSTEM, HANDOFF, or TEAM.</w:t>
      </w:r>
    </w:p>
    <w:p>
      <w:pPr>
        <w:pStyle w:val="ListBullet"/>
        <w:spacing w:before="0" w:after="20" w:line="245" w:lineRule="auto"/>
      </w:pPr>
      <w:r>
        <w:rPr>
          <w:rFonts w:ascii="Arial" w:hAnsi="Arial" w:eastAsia="Arial"/>
          <w:sz w:val="17"/>
        </w:rPr>
        <w:t>Explain why each distractor is weaker, especially when it assumes one modality, skips group screening, starts conjoint work without safety, treats a referral as complete, exceeds medication role, or coordinates without authorization and follow-up.</w:t>
      </w:r>
    </w:p>
    <w:p>
      <w:pPr>
        <w:pStyle w:val="ListBullet"/>
        <w:spacing w:before="0" w:after="20" w:line="245" w:lineRule="auto"/>
      </w:pPr>
      <w:r>
        <w:rPr>
          <w:rFonts w:ascii="Arial" w:hAnsi="Arial" w:eastAsia="Arial"/>
          <w:sz w:val="17"/>
        </w:rPr>
        <w:t>Apply the listed CTA error code or select another Workbook 11 code that better describes your reasoning.</w:t>
      </w:r>
    </w:p>
    <w:p>
      <w:pPr>
        <w:pStyle w:val="ListBullet"/>
        <w:spacing w:before="0" w:after="20" w:line="245" w:lineRule="auto"/>
      </w:pPr>
      <w:r>
        <w:rPr>
          <w:rFonts w:ascii="Arial" w:hAnsi="Arial" w:eastAsia="Arial"/>
          <w:sz w:val="17"/>
        </w:rPr>
        <w:t>Write one transferable correction rule and complete a new application item after targeted review.</w:t>
      </w:r>
    </w:p>
    <w:p>
      <w:pPr>
        <w:pStyle w:val="ListBullet"/>
        <w:spacing w:before="0" w:after="20" w:line="245" w:lineRule="auto"/>
      </w:pPr>
      <w:r>
        <w:rPr>
          <w:rFonts w:ascii="Arial" w:hAnsi="Arial" w:eastAsia="Arial"/>
          <w:sz w:val="17"/>
        </w:rPr>
        <w:t>Do not treat this bank score as an official NCMHCE passing score or guarantee.</w:t>
      </w:r>
    </w:p>
    <w:p>
      <w:pPr>
        <w:pStyle w:val="Heading2"/>
        <w:spacing w:before="0" w:after="60" w:line="245" w:lineRule="auto"/>
        <w:keepNext/>
      </w:pPr>
      <w:r>
        <w:rPr>
          <w:rFonts w:ascii="Arial" w:hAnsi="Arial" w:eastAsia="Arial"/>
          <w:b/>
          <w:color w:val="17365D"/>
          <w:sz w:val="21"/>
        </w:rPr>
        <w:t>Answer Key Overview</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50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w:t>
            </w:r>
          </w:p>
        </w:tc>
        <w:tc>
          <w:tcPr>
            <w:tcW w:type="dxa" w:w="605"/>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Key</w:t>
            </w:r>
          </w:p>
        </w:tc>
        <w:tc>
          <w:tcPr>
            <w:tcW w:type="dxa" w:w="108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Difficulty</w:t>
            </w:r>
          </w:p>
        </w:tc>
        <w:tc>
          <w:tcPr>
            <w:tcW w:type="dxa" w:w="4608"/>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Primary Concept</w:t>
            </w:r>
          </w:p>
        </w:tc>
        <w:tc>
          <w:tcPr>
            <w:tcW w:type="dxa" w:w="3283"/>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Primary Error Code</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B</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Easy</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 modality selection</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 - MODE selection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2</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Easy</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GROUP confidentiality limits</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G - GROUP preparation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3</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SYSTEM client and relational-role clarification</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S - SYSTEM role-clarification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4</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HANDOFF referral and continuity</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H - HANDOFF referral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5</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B</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Difficult</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TEAM conflict resolution and client inclusion</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 - TEAM integration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6</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Easy</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Immediate continuity and post-discharge assessment</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 - Priority and continuity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7</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 integrated modality plan</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 - MODE selection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8</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Easy</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GROUP screening and preparation</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G - GROUP preparation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9</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B</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SYSTEM treatment-unit clarification</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 - Consent and client-identity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10</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GROUP process leadership</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G - GROUP process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11</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Easy</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TEAM medication coordination</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R - Role and scope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12</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HANDOFF specialty referral</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H - HANDOFF referral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13</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Difficult</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SYSTEM coercion and conjoint-treatment safety</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S - SYSTEM safety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14</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B</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Collateral information and confidentiality</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 - Consent and collateral-information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15</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Difficult</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TEAM conflicting recommendations and authority</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 - TEAM integration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16</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Difficult</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HANDOFF barrier repair and continuity</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F - Follow-up and continuity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17</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Difficult</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TEAM consent-limited coordination plan</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 - TEAM integration error</w:t>
            </w:r>
          </w:p>
        </w:tc>
      </w:tr>
    </w:tbl>
    <w:p>
      <w:r>
        <w:br w:type="page"/>
      </w:r>
    </w:p>
    <w:p>
      <w:pPr>
        <w:pStyle w:val="Heading1"/>
        <w:spacing w:before="0" w:after="60" w:line="245" w:lineRule="auto"/>
        <w:keepNext/>
      </w:pPr>
      <w:r>
        <w:rPr>
          <w:rFonts w:ascii="Arial" w:hAnsi="Arial" w:eastAsia="Arial"/>
          <w:b/>
          <w:color w:val="159C9C"/>
          <w:sz w:val="28"/>
        </w:rPr>
        <w:t>Case Evidence-Control Map</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94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Section</w:t>
            </w:r>
          </w:p>
        </w:tc>
        <w:tc>
          <w:tcPr>
            <w:tcW w:type="dxa" w:w="5112"/>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Decision-Relevant Evidence</w:t>
            </w:r>
          </w:p>
        </w:tc>
        <w:tc>
          <w:tcPr>
            <w:tcW w:type="dxa" w:w="302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What Is Not Yet Established</w:t>
            </w:r>
          </w:p>
        </w:tc>
      </w:tr>
      <w:tr>
        <w:trPr>
          <w:cantSplit/>
        </w:trPr>
        <w:tc>
          <w:tcPr>
            <w:tcW w:type="dxa" w:w="19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Part 1 - Post-discharge and modality</w:t>
            </w:r>
          </w:p>
        </w:tc>
        <w:tc>
          <w:tcPr>
            <w:tcW w:type="dxa" w:w="511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Recent hospitalization; vague discharge note; current denial of intent or plan; temporary sister support; new sertraline with unclear follow-up; interest in individual, group, and partner involvement; phone monitoring, anger, and uncertainty about speaking freely; childcare, transportation, and privacy barriers; no authorizations yet.</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Later group participation, medication side effects, authorizations, trauma-treatment request, childcare threat, later improvement, failed specialty intake, unsolicited partner email, medical findings, or conflicting team recommendations.</w:t>
            </w:r>
          </w:p>
        </w:tc>
      </w:tr>
      <w:tr>
        <w:trPr>
          <w:cantSplit/>
        </w:trPr>
        <w:tc>
          <w:tcPr>
            <w:tcW w:type="dxa" w:w="194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Part 2 - Group, medication, referral, and safety</w:t>
            </w:r>
          </w:p>
        </w:tc>
        <w:tc>
          <w:tcPr>
            <w:tcW w:type="dxa" w:w="511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Individual care and group screening are established; current risk low; group dominance and withdrawal pattern; nausea and dizziness after sertraline; authorization for prescriber and primary-care communication; specialized trauma need beyond competence; partner threatens childcare withdrawal; Talia cannot speak freely.</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Later symptom improvement, failed trauma referral due barriers, partner record request, thyroid finding, group leader higher-care recommendation, and final limited coordination authorizations.</w:t>
            </w:r>
          </w:p>
        </w:tc>
      </w:tr>
      <w:tr>
        <w:trPr>
          <w:cantSplit/>
        </w:trPr>
        <w:tc>
          <w:tcPr>
            <w:tcW w:type="dxa" w:w="19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Part 3 - Collateral, failed referral, and team integration</w:t>
            </w:r>
          </w:p>
        </w:tc>
        <w:tc>
          <w:tcPr>
            <w:tcW w:type="dxa" w:w="511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Improved sleep and panic; group benefit; specialty intake failed because of childcare and insurance; unsolicited partner email with no disclosure authorization; possible thyroid abnormality; possible medication adjustment; higher-care suggestion based on incomplete update; current low risk; limited authorization for primary care, prescriber, and trauma clinic only.</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Final medical diagnosis, medication decision, whether higher care is ultimately indicated, successful trauma connection, partner response, and long-term outcome of the coordinated plan.</w:t>
            </w:r>
          </w:p>
        </w:tc>
      </w:tr>
    </w:tbl>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EVIDENCE-CONTROL REMINDER</w:t>
            </w:r>
          </w:p>
          <w:p>
            <w:pPr>
              <w:spacing w:before="0" w:after="0" w:line="240" w:lineRule="auto"/>
            </w:pPr>
            <w:r>
              <w:rPr>
                <w:rFonts w:ascii="Arial" w:hAnsi="Arial" w:eastAsia="Arial"/>
                <w:color w:val="1F2937"/>
                <w:sz w:val="16"/>
              </w:rPr>
              <w:t>Later facts can guide later questions, but they cannot retroactively become evidence for an earlier case section.</w:t>
            </w:r>
          </w:p>
        </w:tc>
      </w:tr>
    </w:tbl>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DIFFICULTY CONTROL</w:t>
            </w:r>
          </w:p>
          <w:p>
            <w:pPr>
              <w:spacing w:before="0" w:after="0" w:line="240" w:lineRule="auto"/>
            </w:pPr>
            <w:r>
              <w:rPr>
                <w:rFonts w:ascii="Arial" w:hAnsi="Arial" w:eastAsia="Arial"/>
                <w:color w:val="1F2937"/>
                <w:sz w:val="16"/>
              </w:rPr>
              <w:t>5 Easy, 7 Moderate, and 5 Difficult items. The bank contains five targeted questions and one three-part, 12-question case. Correct-answer distribution: A = 4, B = 4, C = 5, D = 4.</w:t>
            </w:r>
          </w:p>
        </w:tc>
      </w:tr>
    </w:tbl>
    <w:p>
      <w:r>
        <w:br w:type="page"/>
      </w:r>
    </w:p>
    <w:p>
      <w:pPr>
        <w:pStyle w:val="Heading2"/>
        <w:spacing w:before="0" w:after="60" w:line="245" w:lineRule="auto"/>
        <w:keepNext/>
      </w:pPr>
      <w:r>
        <w:rPr>
          <w:rFonts w:ascii="Arial" w:hAnsi="Arial" w:eastAsia="Arial"/>
          <w:b/>
          <w:color w:val="17365D"/>
          <w:sz w:val="21"/>
        </w:rPr>
        <w:t>Question 1 (LPCC-WB11-PB-Q001)</w:t>
      </w:r>
    </w:p>
    <w:p>
      <w:pPr>
        <w:spacing w:before="0" w:after="40" w:line="245" w:lineRule="auto"/>
      </w:pPr>
      <w:r>
        <w:rPr>
          <w:rFonts w:ascii="Arial" w:hAnsi="Arial" w:eastAsia="Arial"/>
          <w:b/>
          <w:i w:val="0"/>
          <w:color w:val="159C9C"/>
          <w:sz w:val="15"/>
        </w:rPr>
        <w:t>LPCC-WB11-PB-Q001 | Knowledge &amp; Application | Easy | Primary concept: MODE modality selection</w:t>
      </w:r>
    </w:p>
    <w:p>
      <w:pPr>
        <w:spacing w:before="0" w:after="40" w:line="245" w:lineRule="auto"/>
      </w:pPr>
      <w:r>
        <w:rPr>
          <w:rFonts w:ascii="Arial" w:hAnsi="Arial" w:eastAsia="Arial"/>
          <w:b/>
          <w:i w:val="0"/>
          <w:color w:val="1F2937"/>
          <w:sz w:val="17"/>
        </w:rPr>
        <w:t>A client with panic symptoms asks to join a group because it costs less than individual counseling. What should the counselor do FIRST?</w:t>
      </w:r>
    </w:p>
    <w:p>
      <w:pPr>
        <w:spacing w:before="0" w:after="16" w:line="240" w:lineRule="auto"/>
        <w:ind w:left="259" w:hanging="259"/>
      </w:pPr>
      <w:r>
        <w:rPr>
          <w:rFonts w:ascii="Arial" w:hAnsi="Arial" w:eastAsia="Arial"/>
          <w:sz w:val="16"/>
        </w:rPr>
        <w:t>A. Enroll the client immediately because affordability is the most important indicator of fit.</w:t>
      </w:r>
    </w:p>
    <w:p>
      <w:pPr>
        <w:spacing w:before="0" w:after="16" w:line="240" w:lineRule="auto"/>
        <w:ind w:left="259" w:hanging="259"/>
      </w:pPr>
      <w:r>
        <w:rPr>
          <w:rFonts w:ascii="Arial" w:hAnsi="Arial" w:eastAsia="Arial"/>
          <w:sz w:val="16"/>
        </w:rPr>
        <w:t>B. Clarify the clinical purpose, safety, readiness, preferences, access needs, and the specific group’s structure before recommending a modality.</w:t>
      </w:r>
    </w:p>
    <w:p>
      <w:pPr>
        <w:spacing w:before="0" w:after="16" w:line="240" w:lineRule="auto"/>
        <w:ind w:left="259" w:hanging="259"/>
      </w:pPr>
      <w:r>
        <w:rPr>
          <w:rFonts w:ascii="Arial" w:hAnsi="Arial" w:eastAsia="Arial"/>
          <w:sz w:val="16"/>
        </w:rPr>
        <w:t>C. Refuse group counseling because panic symptoms always require individual treatment.</w:t>
      </w:r>
    </w:p>
    <w:p>
      <w:pPr>
        <w:spacing w:before="0" w:after="16" w:line="240" w:lineRule="auto"/>
        <w:ind w:left="259" w:hanging="259"/>
      </w:pPr>
      <w:r>
        <w:rPr>
          <w:rFonts w:ascii="Arial" w:hAnsi="Arial" w:eastAsia="Arial"/>
          <w:sz w:val="16"/>
        </w:rPr>
        <w:t>D. Let the client choose without discussing benefits, risks, alternatives, or participation expectations.</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B. Clarify the clinical purpose, safety, readiness, preferences, access needs, and the specific group’s structure before recommending a modality.</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Cost and access matter, but they do not establish clinical fit, safety, or readiness by themselves.</w:t>
      </w:r>
      <w:r>
        <w:rPr>
          <w:rFonts w:ascii="Arial" w:hAnsi="Arial" w:eastAsia="Arial"/>
          <w:sz w:val="16"/>
        </w:rPr>
      </w:r>
    </w:p>
    <w:p>
      <w:pPr>
        <w:spacing w:after="20" w:before="0" w:line="240" w:lineRule="auto"/>
      </w:pPr>
      <w:r>
        <w:rPr>
          <w:rFonts w:ascii="Arial" w:hAnsi="Arial" w:eastAsia="Arial"/>
          <w:b/>
          <w:color w:val="17365D"/>
          <w:sz w:val="16"/>
        </w:rPr>
        <w:t>B. Correct. MODE reasoning matches modality to the treatment target, client preference, safety, access, evidence, and counselor competence.</w:t>
      </w:r>
      <w:r>
        <w:rPr>
          <w:rFonts w:ascii="Arial" w:hAnsi="Arial" w:eastAsia="Arial"/>
          <w:sz w:val="16"/>
        </w:rPr>
      </w:r>
    </w:p>
    <w:p>
      <w:pPr>
        <w:spacing w:after="20" w:before="0" w:line="240" w:lineRule="auto"/>
      </w:pPr>
      <w:r>
        <w:rPr>
          <w:rFonts w:ascii="Arial" w:hAnsi="Arial" w:eastAsia="Arial"/>
          <w:b/>
          <w:color w:val="17365D"/>
          <w:sz w:val="16"/>
        </w:rPr>
        <w:t>C. Incorrect. Panic symptoms do not automatically rule out group treatment; fit depends on the client, group, goals, and current stability.</w:t>
      </w:r>
      <w:r>
        <w:rPr>
          <w:rFonts w:ascii="Arial" w:hAnsi="Arial" w:eastAsia="Arial"/>
          <w:sz w:val="16"/>
        </w:rPr>
      </w:r>
    </w:p>
    <w:p>
      <w:pPr>
        <w:spacing w:after="20" w:before="0" w:line="240" w:lineRule="auto"/>
      </w:pPr>
      <w:r>
        <w:rPr>
          <w:rFonts w:ascii="Arial" w:hAnsi="Arial" w:eastAsia="Arial"/>
          <w:b/>
          <w:color w:val="17365D"/>
          <w:sz w:val="16"/>
        </w:rPr>
        <w:t>D. Incorrect. Client choice should be informed by an understandable discussion of options, expectations, benefits, risks, and alternatives.</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When asked to select a modality, look for an answer that evaluates purpose, safety, client preference, access, and fit before committing to a format. Avoid automatic individual or automatic group answers.</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M - MODE selection error. Modality should follow the clinical task and client context, not price alone or counselor habit.</w:t>
            </w:r>
          </w:p>
        </w:tc>
      </w:tr>
    </w:tbl>
    <w:p>
      <w:r>
        <w:br w:type="page"/>
      </w:r>
    </w:p>
    <w:p>
      <w:pPr>
        <w:pStyle w:val="Heading2"/>
        <w:spacing w:before="0" w:after="60" w:line="245" w:lineRule="auto"/>
        <w:keepNext/>
      </w:pPr>
      <w:r>
        <w:rPr>
          <w:rFonts w:ascii="Arial" w:hAnsi="Arial" w:eastAsia="Arial"/>
          <w:b/>
          <w:color w:val="17365D"/>
          <w:sz w:val="21"/>
        </w:rPr>
        <w:t>Question 2 (LPCC-WB11-PB-Q002)</w:t>
      </w:r>
    </w:p>
    <w:p>
      <w:pPr>
        <w:spacing w:before="0" w:after="40" w:line="245" w:lineRule="auto"/>
      </w:pPr>
      <w:r>
        <w:rPr>
          <w:rFonts w:ascii="Arial" w:hAnsi="Arial" w:eastAsia="Arial"/>
          <w:b/>
          <w:i w:val="0"/>
          <w:color w:val="159C9C"/>
          <w:sz w:val="15"/>
        </w:rPr>
        <w:t>LPCC-WB11-PB-Q002 | Knowledge &amp; Application | Easy | Primary concept: GROUP confidentiality limits</w:t>
      </w:r>
    </w:p>
    <w:p>
      <w:pPr>
        <w:spacing w:before="0" w:after="40" w:line="245" w:lineRule="auto"/>
      </w:pPr>
      <w:r>
        <w:rPr>
          <w:rFonts w:ascii="Arial" w:hAnsi="Arial" w:eastAsia="Arial"/>
          <w:b/>
          <w:i w:val="0"/>
          <w:color w:val="1F2937"/>
          <w:sz w:val="17"/>
        </w:rPr>
        <w:t>Which statement is MOST accurate to include during informed consent for a counseling group?</w:t>
      </w:r>
    </w:p>
    <w:p>
      <w:pPr>
        <w:spacing w:before="0" w:after="16" w:line="240" w:lineRule="auto"/>
        <w:ind w:left="259" w:hanging="259"/>
      </w:pPr>
      <w:r>
        <w:rPr>
          <w:rFonts w:ascii="Arial" w:hAnsi="Arial" w:eastAsia="Arial"/>
          <w:sz w:val="16"/>
        </w:rPr>
        <w:t>A. The counselor will protect information within professional control, but cannot guarantee that other members will keep everything private.</w:t>
      </w:r>
    </w:p>
    <w:p>
      <w:pPr>
        <w:spacing w:before="0" w:after="16" w:line="240" w:lineRule="auto"/>
        <w:ind w:left="259" w:hanging="259"/>
      </w:pPr>
      <w:r>
        <w:rPr>
          <w:rFonts w:ascii="Arial" w:hAnsi="Arial" w:eastAsia="Arial"/>
          <w:sz w:val="16"/>
        </w:rPr>
        <w:t>B. Group members are legally bound by the same confidentiality duties as the counselor in every circumstance.</w:t>
      </w:r>
    </w:p>
    <w:p>
      <w:pPr>
        <w:spacing w:before="0" w:after="16" w:line="240" w:lineRule="auto"/>
        <w:ind w:left="259" w:hanging="259"/>
      </w:pPr>
      <w:r>
        <w:rPr>
          <w:rFonts w:ascii="Arial" w:hAnsi="Arial" w:eastAsia="Arial"/>
          <w:sz w:val="16"/>
        </w:rPr>
        <w:t>C. Confidentiality does not apply because several clients are present.</w:t>
      </w:r>
    </w:p>
    <w:p>
      <w:pPr>
        <w:spacing w:before="0" w:after="16" w:line="240" w:lineRule="auto"/>
        <w:ind w:left="259" w:hanging="259"/>
      </w:pPr>
      <w:r>
        <w:rPr>
          <w:rFonts w:ascii="Arial" w:hAnsi="Arial" w:eastAsia="Arial"/>
          <w:sz w:val="16"/>
        </w:rPr>
        <w:t>D. Privacy only needs to be discussed if the group is conducted online.</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A. The counselor will protect information within professional control, but cannot guarantee that other members will keep everything private.</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Correct. The counselor explains professional confidentiality and the additional privacy limits created by member behavior.</w:t>
      </w:r>
      <w:r>
        <w:rPr>
          <w:rFonts w:ascii="Arial" w:hAnsi="Arial" w:eastAsia="Arial"/>
          <w:sz w:val="16"/>
        </w:rPr>
      </w:r>
    </w:p>
    <w:p>
      <w:pPr>
        <w:spacing w:after="20" w:before="0" w:line="240" w:lineRule="auto"/>
      </w:pPr>
      <w:r>
        <w:rPr>
          <w:rFonts w:ascii="Arial" w:hAnsi="Arial" w:eastAsia="Arial"/>
          <w:b/>
          <w:color w:val="17365D"/>
          <w:sz w:val="16"/>
        </w:rPr>
        <w:t>B. Incorrect. The counselor cannot promise that members have identical professional duties or that all member behavior can be controlled.</w:t>
      </w:r>
      <w:r>
        <w:rPr>
          <w:rFonts w:ascii="Arial" w:hAnsi="Arial" w:eastAsia="Arial"/>
          <w:sz w:val="16"/>
        </w:rPr>
      </w:r>
    </w:p>
    <w:p>
      <w:pPr>
        <w:spacing w:after="20" w:before="0" w:line="240" w:lineRule="auto"/>
      </w:pPr>
      <w:r>
        <w:rPr>
          <w:rFonts w:ascii="Arial" w:hAnsi="Arial" w:eastAsia="Arial"/>
          <w:b/>
          <w:color w:val="17365D"/>
          <w:sz w:val="16"/>
        </w:rPr>
        <w:t>C. Incorrect. The counselor’s professional confidentiality responsibilities still apply in group practice.</w:t>
      </w:r>
      <w:r>
        <w:rPr>
          <w:rFonts w:ascii="Arial" w:hAnsi="Arial" w:eastAsia="Arial"/>
          <w:sz w:val="16"/>
        </w:rPr>
      </w:r>
    </w:p>
    <w:p>
      <w:pPr>
        <w:spacing w:after="20" w:before="0" w:line="240" w:lineRule="auto"/>
      </w:pPr>
      <w:r>
        <w:rPr>
          <w:rFonts w:ascii="Arial" w:hAnsi="Arial" w:eastAsia="Arial"/>
          <w:b/>
          <w:color w:val="17365D"/>
          <w:sz w:val="16"/>
        </w:rPr>
        <w:t>D. Incorrect. Privacy and confidentiality limits must be addressed in both in-person and virtual groups.</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Group confidentiality questions usually test the difference between what the counselor can control and what members may do. Choose the answer that explains the limit honestly without implying that confidentiality disappears.</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G - GROUP preparation error. Effective group consent explains both professional protections and the limits created by other members.</w:t>
            </w:r>
          </w:p>
        </w:tc>
      </w:tr>
    </w:tbl>
    <w:p>
      <w:r>
        <w:br w:type="page"/>
      </w:r>
    </w:p>
    <w:p>
      <w:pPr>
        <w:pStyle w:val="Heading2"/>
        <w:spacing w:before="0" w:after="60" w:line="245" w:lineRule="auto"/>
        <w:keepNext/>
      </w:pPr>
      <w:r>
        <w:rPr>
          <w:rFonts w:ascii="Arial" w:hAnsi="Arial" w:eastAsia="Arial"/>
          <w:b/>
          <w:color w:val="17365D"/>
          <w:sz w:val="21"/>
        </w:rPr>
        <w:t>Question 3 (LPCC-WB11-PB-Q003)</w:t>
      </w:r>
    </w:p>
    <w:p>
      <w:pPr>
        <w:spacing w:before="0" w:after="40" w:line="245" w:lineRule="auto"/>
      </w:pPr>
      <w:r>
        <w:rPr>
          <w:rFonts w:ascii="Arial" w:hAnsi="Arial" w:eastAsia="Arial"/>
          <w:b/>
          <w:i w:val="0"/>
          <w:color w:val="159C9C"/>
          <w:sz w:val="15"/>
        </w:rPr>
        <w:t>LPCC-WB11-PB-Q003 | Application | Moderate | Primary concept: SYSTEM client and relational-role clarification</w:t>
      </w:r>
    </w:p>
    <w:p>
      <w:pPr>
        <w:spacing w:before="0" w:after="40" w:line="245" w:lineRule="auto"/>
      </w:pPr>
      <w:r>
        <w:rPr>
          <w:rFonts w:ascii="Arial" w:hAnsi="Arial" w:eastAsia="Arial"/>
          <w:b/>
          <w:i w:val="0"/>
          <w:color w:val="1F2937"/>
          <w:sz w:val="17"/>
        </w:rPr>
        <w:t>An individual client asks to bring a spouse to the next session to “fix our communication.” What is the BEST counselor response before agreeing?</w:t>
      </w:r>
    </w:p>
    <w:p>
      <w:pPr>
        <w:spacing w:before="0" w:after="16" w:line="240" w:lineRule="auto"/>
        <w:ind w:left="259" w:hanging="259"/>
      </w:pPr>
      <w:r>
        <w:rPr>
          <w:rFonts w:ascii="Arial" w:hAnsi="Arial" w:eastAsia="Arial"/>
          <w:sz w:val="16"/>
        </w:rPr>
        <w:t>A. Agree because the original client may invite anyone into treatment.</w:t>
      </w:r>
    </w:p>
    <w:p>
      <w:pPr>
        <w:spacing w:before="0" w:after="16" w:line="240" w:lineRule="auto"/>
        <w:ind w:left="259" w:hanging="259"/>
      </w:pPr>
      <w:r>
        <w:rPr>
          <w:rFonts w:ascii="Arial" w:hAnsi="Arial" w:eastAsia="Arial"/>
          <w:sz w:val="16"/>
        </w:rPr>
        <w:t>B. Decline because LPCCs are never permitted to use couple or family strategies.</w:t>
      </w:r>
    </w:p>
    <w:p>
      <w:pPr>
        <w:spacing w:before="0" w:after="16" w:line="240" w:lineRule="auto"/>
        <w:ind w:left="259" w:hanging="259"/>
      </w:pPr>
      <w:r>
        <w:rPr>
          <w:rFonts w:ascii="Arial" w:hAnsi="Arial" w:eastAsia="Arial"/>
          <w:sz w:val="16"/>
        </w:rPr>
        <w:t>C. Clarify the treatment unit, goals, safety, consent, confidentiality, records, between-session communications, and the counselor’s competence.</w:t>
      </w:r>
    </w:p>
    <w:p>
      <w:pPr>
        <w:spacing w:before="0" w:after="16" w:line="240" w:lineRule="auto"/>
        <w:ind w:left="259" w:hanging="259"/>
      </w:pPr>
      <w:r>
        <w:rPr>
          <w:rFonts w:ascii="Arial" w:hAnsi="Arial" w:eastAsia="Arial"/>
          <w:sz w:val="16"/>
        </w:rPr>
        <w:t>D. Ask the spouse to sign a generic release and begin conjoint treatment immediately.</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C. Clarify the treatment unit, goals, safety, consent, confidentiality, records, between-session communications, and the counselor’s competence.</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Client preference matters, but adding a participant changes consent, privacy, records, goals, and potentially the identity of the client.</w:t>
      </w:r>
      <w:r>
        <w:rPr>
          <w:rFonts w:ascii="Arial" w:hAnsi="Arial" w:eastAsia="Arial"/>
          <w:sz w:val="16"/>
        </w:rPr>
      </w:r>
    </w:p>
    <w:p>
      <w:pPr>
        <w:spacing w:after="20" w:before="0" w:line="240" w:lineRule="auto"/>
      </w:pPr>
      <w:r>
        <w:rPr>
          <w:rFonts w:ascii="Arial" w:hAnsi="Arial" w:eastAsia="Arial"/>
          <w:b/>
          <w:color w:val="17365D"/>
          <w:sz w:val="16"/>
        </w:rPr>
        <w:t>B. Incorrect. California LPCC scope can include systemic strategies, but competence, safety, and role clarity still control.</w:t>
      </w:r>
      <w:r>
        <w:rPr>
          <w:rFonts w:ascii="Arial" w:hAnsi="Arial" w:eastAsia="Arial"/>
          <w:sz w:val="16"/>
        </w:rPr>
      </w:r>
    </w:p>
    <w:p>
      <w:pPr>
        <w:spacing w:after="20" w:before="0" w:line="240" w:lineRule="auto"/>
      </w:pPr>
      <w:r>
        <w:rPr>
          <w:rFonts w:ascii="Arial" w:hAnsi="Arial" w:eastAsia="Arial"/>
          <w:b/>
          <w:color w:val="17365D"/>
          <w:sz w:val="16"/>
        </w:rPr>
        <w:t>C. Correct. SYSTEM reasoning clarifies who the client is, the purpose of conjoint work, safety, consent, records, communications, and competence before treatment changes.</w:t>
      </w:r>
      <w:r>
        <w:rPr>
          <w:rFonts w:ascii="Arial" w:hAnsi="Arial" w:eastAsia="Arial"/>
          <w:sz w:val="16"/>
        </w:rPr>
      </w:r>
    </w:p>
    <w:p>
      <w:pPr>
        <w:spacing w:after="20" w:before="0" w:line="240" w:lineRule="auto"/>
      </w:pPr>
      <w:r>
        <w:rPr>
          <w:rFonts w:ascii="Arial" w:hAnsi="Arial" w:eastAsia="Arial"/>
          <w:b/>
          <w:color w:val="17365D"/>
          <w:sz w:val="16"/>
        </w:rPr>
        <w:t>D. Incorrect. A generic release does not establish an adequate relational treatment agreement or resolve safety and role questions.</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Before adding a partner or family member, choose the answer that clarifies the treatment unit and rules of the new format. A release alone is not a relational informed-consent process.</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S - SYSTEM role-clarification error. Relational work starts with client identity, purpose, safety, consent, records, and competence.</w:t>
            </w:r>
          </w:p>
        </w:tc>
      </w:tr>
    </w:tbl>
    <w:p>
      <w:r>
        <w:br w:type="page"/>
      </w:r>
    </w:p>
    <w:p>
      <w:pPr>
        <w:pStyle w:val="Heading2"/>
        <w:spacing w:before="0" w:after="60" w:line="245" w:lineRule="auto"/>
        <w:keepNext/>
      </w:pPr>
      <w:r>
        <w:rPr>
          <w:rFonts w:ascii="Arial" w:hAnsi="Arial" w:eastAsia="Arial"/>
          <w:b/>
          <w:color w:val="17365D"/>
          <w:sz w:val="21"/>
        </w:rPr>
        <w:t>Question 4 (LPCC-WB11-PB-Q004)</w:t>
      </w:r>
    </w:p>
    <w:p>
      <w:pPr>
        <w:spacing w:before="0" w:after="40" w:line="245" w:lineRule="auto"/>
      </w:pPr>
      <w:r>
        <w:rPr>
          <w:rFonts w:ascii="Arial" w:hAnsi="Arial" w:eastAsia="Arial"/>
          <w:b/>
          <w:i w:val="0"/>
          <w:color w:val="159C9C"/>
          <w:sz w:val="15"/>
        </w:rPr>
        <w:t>LPCC-WB11-PB-Q004 | Application | Moderate | Primary concept: HANDOFF referral and continuity</w:t>
      </w:r>
    </w:p>
    <w:p>
      <w:pPr>
        <w:spacing w:before="0" w:after="40" w:line="245" w:lineRule="auto"/>
      </w:pPr>
      <w:r>
        <w:rPr>
          <w:rFonts w:ascii="Arial" w:hAnsi="Arial" w:eastAsia="Arial"/>
          <w:b/>
          <w:i w:val="0"/>
          <w:color w:val="1F2937"/>
          <w:sz w:val="17"/>
        </w:rPr>
        <w:t>A counselor determines that a client needs specialized eating-disorder treatment beyond the counselor’s competence. Which action is BEST?</w:t>
      </w:r>
    </w:p>
    <w:p>
      <w:pPr>
        <w:spacing w:before="0" w:after="16" w:line="240" w:lineRule="auto"/>
        <w:ind w:left="259" w:hanging="259"/>
      </w:pPr>
      <w:r>
        <w:rPr>
          <w:rFonts w:ascii="Arial" w:hAnsi="Arial" w:eastAsia="Arial"/>
          <w:sz w:val="16"/>
        </w:rPr>
        <w:t>A. Give the client one national directory and close the case immediately.</w:t>
      </w:r>
    </w:p>
    <w:p>
      <w:pPr>
        <w:spacing w:before="0" w:after="16" w:line="240" w:lineRule="auto"/>
        <w:ind w:left="259" w:hanging="259"/>
      </w:pPr>
      <w:r>
        <w:rPr>
          <w:rFonts w:ascii="Arial" w:hAnsi="Arial" w:eastAsia="Arial"/>
          <w:sz w:val="16"/>
        </w:rPr>
        <w:t>B. Continue the same treatment without discussing specialty care so the client does not feel rejected.</w:t>
      </w:r>
    </w:p>
    <w:p>
      <w:pPr>
        <w:spacing w:before="0" w:after="16" w:line="240" w:lineRule="auto"/>
        <w:ind w:left="259" w:hanging="259"/>
      </w:pPr>
      <w:r>
        <w:rPr>
          <w:rFonts w:ascii="Arial" w:hAnsi="Arial" w:eastAsia="Arial"/>
          <w:sz w:val="16"/>
        </w:rPr>
        <w:t>C. Tell the client to locate a specialist independently and return after treatment is complete.</w:t>
      </w:r>
    </w:p>
    <w:p>
      <w:pPr>
        <w:spacing w:before="0" w:after="16" w:line="240" w:lineRule="auto"/>
        <w:ind w:left="259" w:hanging="259"/>
      </w:pPr>
      <w:r>
        <w:rPr>
          <w:rFonts w:ascii="Arial" w:hAnsi="Arial" w:eastAsia="Arial"/>
          <w:sz w:val="16"/>
        </w:rPr>
        <w:t>D. Explain the clinical need, identify qualified and accessible options, obtain consent for a warm handoff, maintain appropriate support during transition, and follow up on connection.</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D. Explain the clinical need, identify qualified and accessible options, obtain consent for a warm handoff, maintain appropriate support during transition, and follow up on connection.</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A passive list and immediate closure may leave a clinically significant need unaddressed and disrupt continuity.</w:t>
      </w:r>
      <w:r>
        <w:rPr>
          <w:rFonts w:ascii="Arial" w:hAnsi="Arial" w:eastAsia="Arial"/>
          <w:sz w:val="16"/>
        </w:rPr>
      </w:r>
    </w:p>
    <w:p>
      <w:pPr>
        <w:spacing w:after="20" w:before="0" w:line="240" w:lineRule="auto"/>
      </w:pPr>
      <w:r>
        <w:rPr>
          <w:rFonts w:ascii="Arial" w:hAnsi="Arial" w:eastAsia="Arial"/>
          <w:b/>
          <w:color w:val="17365D"/>
          <w:sz w:val="16"/>
        </w:rPr>
        <w:t>B. Incorrect. Rapport does not justify practicing beyond competence or withholding an indicated referral.</w:t>
      </w:r>
      <w:r>
        <w:rPr>
          <w:rFonts w:ascii="Arial" w:hAnsi="Arial" w:eastAsia="Arial"/>
          <w:sz w:val="16"/>
        </w:rPr>
      </w:r>
    </w:p>
    <w:p>
      <w:pPr>
        <w:spacing w:after="20" w:before="0" w:line="240" w:lineRule="auto"/>
      </w:pPr>
      <w:r>
        <w:rPr>
          <w:rFonts w:ascii="Arial" w:hAnsi="Arial" w:eastAsia="Arial"/>
          <w:b/>
          <w:color w:val="17365D"/>
          <w:sz w:val="16"/>
        </w:rPr>
        <w:t>C. Incorrect. Requiring the client to navigate the process alone ignores barriers and does not create a usable handoff.</w:t>
      </w:r>
      <w:r>
        <w:rPr>
          <w:rFonts w:ascii="Arial" w:hAnsi="Arial" w:eastAsia="Arial"/>
          <w:sz w:val="16"/>
        </w:rPr>
      </w:r>
    </w:p>
    <w:p>
      <w:pPr>
        <w:spacing w:after="20" w:before="0" w:line="240" w:lineRule="auto"/>
      </w:pPr>
      <w:r>
        <w:rPr>
          <w:rFonts w:ascii="Arial" w:hAnsi="Arial" w:eastAsia="Arial"/>
          <w:b/>
          <w:color w:val="17365D"/>
          <w:sz w:val="16"/>
        </w:rPr>
        <w:t>D. Correct. HANDOFF reasoning matches the need to qualified care, addresses access, uses consent, preserves continuity, and verifies whether the connection worked.</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The strongest referral answer is active and trackable. Look for explanation, qualified options, access review, consent, connection, continued support when appropriate, and follow-up.</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H - HANDOFF referral error. Referral is not complete when a phone number is given; the counselor follows the transition and outcome.</w:t>
            </w:r>
          </w:p>
        </w:tc>
      </w:tr>
    </w:tbl>
    <w:p>
      <w:r>
        <w:br w:type="page"/>
      </w:r>
    </w:p>
    <w:p>
      <w:pPr>
        <w:pStyle w:val="Heading2"/>
        <w:spacing w:before="0" w:after="60" w:line="245" w:lineRule="auto"/>
        <w:keepNext/>
      </w:pPr>
      <w:r>
        <w:rPr>
          <w:rFonts w:ascii="Arial" w:hAnsi="Arial" w:eastAsia="Arial"/>
          <w:b/>
          <w:color w:val="17365D"/>
          <w:sz w:val="21"/>
        </w:rPr>
        <w:t>Question 5 (LPCC-WB11-PB-Q005)</w:t>
      </w:r>
    </w:p>
    <w:p>
      <w:pPr>
        <w:spacing w:before="0" w:after="40" w:line="245" w:lineRule="auto"/>
      </w:pPr>
      <w:r>
        <w:rPr>
          <w:rFonts w:ascii="Arial" w:hAnsi="Arial" w:eastAsia="Arial"/>
          <w:b/>
          <w:i w:val="0"/>
          <w:color w:val="159C9C"/>
          <w:sz w:val="15"/>
        </w:rPr>
        <w:t>LPCC-WB11-PB-Q005 | Integrated Clinical Reasoning | Difficult | Primary concept: TEAM conflict resolution and client inclusion</w:t>
      </w:r>
    </w:p>
    <w:p>
      <w:pPr>
        <w:spacing w:before="0" w:after="40" w:line="245" w:lineRule="auto"/>
      </w:pPr>
      <w:r>
        <w:rPr>
          <w:rFonts w:ascii="Arial" w:hAnsi="Arial" w:eastAsia="Arial"/>
          <w:b/>
          <w:i w:val="0"/>
          <w:color w:val="1F2937"/>
          <w:sz w:val="17"/>
        </w:rPr>
        <w:t>A prescriber, primary-care clinician, and group counselor offer conflicting recommendations, and the client says no one has explained the disagreement. What is the BEST counselor response?</w:t>
      </w:r>
    </w:p>
    <w:p>
      <w:pPr>
        <w:spacing w:before="0" w:after="16" w:line="240" w:lineRule="auto"/>
        <w:ind w:left="259" w:hanging="259"/>
      </w:pPr>
      <w:r>
        <w:rPr>
          <w:rFonts w:ascii="Arial" w:hAnsi="Arial" w:eastAsia="Arial"/>
          <w:sz w:val="16"/>
        </w:rPr>
        <w:t>A. Follow the recommendation of the highest-ranking professional without further discussion.</w:t>
      </w:r>
    </w:p>
    <w:p>
      <w:pPr>
        <w:spacing w:before="0" w:after="16" w:line="240" w:lineRule="auto"/>
        <w:ind w:left="259" w:hanging="259"/>
      </w:pPr>
      <w:r>
        <w:rPr>
          <w:rFonts w:ascii="Arial" w:hAnsi="Arial" w:eastAsia="Arial"/>
          <w:sz w:val="16"/>
        </w:rPr>
        <w:t>B. Clarify each recommendation and its evidence, center the client’s goals and safety, identify decision authority and roles, and coordinate an integrated plan with follow-up.</w:t>
      </w:r>
    </w:p>
    <w:p>
      <w:pPr>
        <w:spacing w:before="0" w:after="16" w:line="240" w:lineRule="auto"/>
        <w:ind w:left="259" w:hanging="259"/>
      </w:pPr>
      <w:r>
        <w:rPr>
          <w:rFonts w:ascii="Arial" w:hAnsi="Arial" w:eastAsia="Arial"/>
          <w:sz w:val="16"/>
        </w:rPr>
        <w:t>C. Ask the client to choose independently so the counselor remains neutral.</w:t>
      </w:r>
    </w:p>
    <w:p>
      <w:pPr>
        <w:spacing w:before="0" w:after="16" w:line="240" w:lineRule="auto"/>
        <w:ind w:left="259" w:hanging="259"/>
      </w:pPr>
      <w:r>
        <w:rPr>
          <w:rFonts w:ascii="Arial" w:hAnsi="Arial" w:eastAsia="Arial"/>
          <w:sz w:val="16"/>
        </w:rPr>
        <w:t>D. Document that the team disagreed and continue the current plan without coordination.</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B. Clarify each recommendation and its evidence, center the client’s goals and safety, identify decision authority and roles, and coordinate an integrated plan with follow-up.</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Hierarchy alone does not determine clinical fit and may exclude the client from care planning.</w:t>
      </w:r>
      <w:r>
        <w:rPr>
          <w:rFonts w:ascii="Arial" w:hAnsi="Arial" w:eastAsia="Arial"/>
          <w:sz w:val="16"/>
        </w:rPr>
      </w:r>
    </w:p>
    <w:p>
      <w:pPr>
        <w:spacing w:after="20" w:before="0" w:line="240" w:lineRule="auto"/>
      </w:pPr>
      <w:r>
        <w:rPr>
          <w:rFonts w:ascii="Arial" w:hAnsi="Arial" w:eastAsia="Arial"/>
          <w:b/>
          <w:color w:val="17365D"/>
          <w:sz w:val="16"/>
        </w:rPr>
        <w:t>B. Correct. TEAM reasoning makes the conflict understandable, returns to goals and safety, clarifies roles and authority, and creates accountable follow-through.</w:t>
      </w:r>
      <w:r>
        <w:rPr>
          <w:rFonts w:ascii="Arial" w:hAnsi="Arial" w:eastAsia="Arial"/>
          <w:sz w:val="16"/>
        </w:rPr>
      </w:r>
    </w:p>
    <w:p>
      <w:pPr>
        <w:spacing w:after="20" w:before="0" w:line="240" w:lineRule="auto"/>
      </w:pPr>
      <w:r>
        <w:rPr>
          <w:rFonts w:ascii="Arial" w:hAnsi="Arial" w:eastAsia="Arial"/>
          <w:b/>
          <w:color w:val="17365D"/>
          <w:sz w:val="16"/>
        </w:rPr>
        <w:t>C. Incorrect. Client choice matters, but unsupported choice can shift professional conflict and uncertainty onto the client.</w:t>
      </w:r>
      <w:r>
        <w:rPr>
          <w:rFonts w:ascii="Arial" w:hAnsi="Arial" w:eastAsia="Arial"/>
          <w:sz w:val="16"/>
        </w:rPr>
      </w:r>
    </w:p>
    <w:p>
      <w:pPr>
        <w:spacing w:after="20" w:before="0" w:line="240" w:lineRule="auto"/>
      </w:pPr>
      <w:r>
        <w:rPr>
          <w:rFonts w:ascii="Arial" w:hAnsi="Arial" w:eastAsia="Arial"/>
          <w:b/>
          <w:color w:val="17365D"/>
          <w:sz w:val="16"/>
        </w:rPr>
        <w:t>D. Incorrect. Documentation without communication and role clarification leaves fragmentation unresolved.</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When team recommendations conflict, choose the answer that makes the disagreement explicit, includes the client, defines roles and authority, and produces a coordinated follow-up plan.</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T - TEAM integration error. Collaboration requires shared purpose, defined responsibility, client participation, and follow-up rather than silent parallel care.</w:t>
            </w:r>
          </w:p>
        </w:tc>
      </w:tr>
    </w:tbl>
    <w:p>
      <w:r>
        <w:br w:type="page"/>
      </w:r>
    </w:p>
    <w:p>
      <w:pPr>
        <w:pStyle w:val="Heading2"/>
        <w:spacing w:before="0" w:after="60" w:line="245" w:lineRule="auto"/>
        <w:keepNext/>
      </w:pPr>
      <w:r>
        <w:rPr>
          <w:rFonts w:ascii="Arial" w:hAnsi="Arial" w:eastAsia="Arial"/>
          <w:b/>
          <w:color w:val="17365D"/>
          <w:sz w:val="21"/>
        </w:rPr>
        <w:t>Question 6 (LPCC-WB11-PB-Q006)</w:t>
      </w:r>
    </w:p>
    <w:p>
      <w:pPr>
        <w:spacing w:before="0" w:after="40" w:line="245" w:lineRule="auto"/>
      </w:pPr>
      <w:r>
        <w:rPr>
          <w:rFonts w:ascii="Arial" w:hAnsi="Arial" w:eastAsia="Arial"/>
          <w:b/>
          <w:i w:val="0"/>
          <w:color w:val="159C9C"/>
          <w:sz w:val="15"/>
        </w:rPr>
        <w:t>LPCC-WB11-PB-Q006 | Knowledge &amp; Application | Easy | Primary concept: Immediate continuity and post-discharge assessment</w:t>
      </w:r>
    </w:p>
    <w:p>
      <w:pPr>
        <w:spacing w:before="0" w:after="40" w:line="245" w:lineRule="auto"/>
      </w:pPr>
      <w:r>
        <w:rPr>
          <w:rFonts w:ascii="Arial" w:hAnsi="Arial" w:eastAsia="Arial"/>
          <w:b/>
          <w:i w:val="0"/>
          <w:color w:val="1F2937"/>
          <w:sz w:val="17"/>
        </w:rPr>
        <w:t>Talia brings a vague hospital discharge note stating only that she “needs therapy.” What should the outpatient counselor do FIRST?</w:t>
      </w:r>
    </w:p>
    <w:p>
      <w:pPr>
        <w:spacing w:before="0" w:after="16" w:line="240" w:lineRule="auto"/>
        <w:ind w:left="259" w:hanging="259"/>
      </w:pPr>
      <w:r>
        <w:rPr>
          <w:rFonts w:ascii="Arial" w:hAnsi="Arial" w:eastAsia="Arial"/>
          <w:sz w:val="16"/>
        </w:rPr>
        <w:t>A. Assess current safety and functioning, clarify the hospitalization, medications, recommendations, follow-up needs, supports, and authorization for coordination.</w:t>
      </w:r>
    </w:p>
    <w:p>
      <w:pPr>
        <w:spacing w:before="0" w:after="16" w:line="240" w:lineRule="auto"/>
        <w:ind w:left="259" w:hanging="259"/>
      </w:pPr>
      <w:r>
        <w:rPr>
          <w:rFonts w:ascii="Arial" w:hAnsi="Arial" w:eastAsia="Arial"/>
          <w:sz w:val="16"/>
        </w:rPr>
        <w:t>B. Schedule monthly counseling and wait for additional records to arrive.</w:t>
      </w:r>
    </w:p>
    <w:p>
      <w:pPr>
        <w:spacing w:before="0" w:after="16" w:line="240" w:lineRule="auto"/>
        <w:ind w:left="259" w:hanging="259"/>
      </w:pPr>
      <w:r>
        <w:rPr>
          <w:rFonts w:ascii="Arial" w:hAnsi="Arial" w:eastAsia="Arial"/>
          <w:sz w:val="16"/>
        </w:rPr>
        <w:t>C. Request the entire hospital chart automatically before speaking with Talia.</w:t>
      </w:r>
    </w:p>
    <w:p>
      <w:pPr>
        <w:spacing w:before="0" w:after="16" w:line="240" w:lineRule="auto"/>
        <w:ind w:left="259" w:hanging="259"/>
      </w:pPr>
      <w:r>
        <w:rPr>
          <w:rFonts w:ascii="Arial" w:hAnsi="Arial" w:eastAsia="Arial"/>
          <w:sz w:val="16"/>
        </w:rPr>
        <w:t>D. Decline the referral because the discharge note is incomplete.</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A. Assess current safety and functioning, clarify the hospitalization, medications, recommendations, follow-up needs, supports, and authorization for coordination.</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Correct. Immediate outpatient reasoning begins with current safety, continuity needs, and clarification of decision-relevant discharge information.</w:t>
      </w:r>
      <w:r>
        <w:rPr>
          <w:rFonts w:ascii="Arial" w:hAnsi="Arial" w:eastAsia="Arial"/>
          <w:sz w:val="16"/>
        </w:rPr>
      </w:r>
    </w:p>
    <w:p>
      <w:pPr>
        <w:spacing w:after="20" w:before="0" w:line="240" w:lineRule="auto"/>
      </w:pPr>
      <w:r>
        <w:rPr>
          <w:rFonts w:ascii="Arial" w:hAnsi="Arial" w:eastAsia="Arial"/>
          <w:b/>
          <w:color w:val="17365D"/>
          <w:sz w:val="16"/>
        </w:rPr>
        <w:t>B. Incorrect. Monthly care may be inadequate and is unsupported by the limited information.</w:t>
      </w:r>
      <w:r>
        <w:rPr>
          <w:rFonts w:ascii="Arial" w:hAnsi="Arial" w:eastAsia="Arial"/>
          <w:sz w:val="16"/>
        </w:rPr>
      </w:r>
    </w:p>
    <w:p>
      <w:pPr>
        <w:spacing w:after="20" w:before="0" w:line="240" w:lineRule="auto"/>
      </w:pPr>
      <w:r>
        <w:rPr>
          <w:rFonts w:ascii="Arial" w:hAnsi="Arial" w:eastAsia="Arial"/>
          <w:b/>
          <w:color w:val="17365D"/>
          <w:sz w:val="16"/>
        </w:rPr>
        <w:t>C. Incorrect. The counselor should clarify what information is needed and obtain appropriate authorization rather than automatically requesting the full record.</w:t>
      </w:r>
      <w:r>
        <w:rPr>
          <w:rFonts w:ascii="Arial" w:hAnsi="Arial" w:eastAsia="Arial"/>
          <w:sz w:val="16"/>
        </w:rPr>
      </w:r>
    </w:p>
    <w:p>
      <w:pPr>
        <w:spacing w:after="20" w:before="0" w:line="240" w:lineRule="auto"/>
      </w:pPr>
      <w:r>
        <w:rPr>
          <w:rFonts w:ascii="Arial" w:hAnsi="Arial" w:eastAsia="Arial"/>
          <w:b/>
          <w:color w:val="17365D"/>
          <w:sz w:val="16"/>
        </w:rPr>
        <w:t>D. Incorrect. An incomplete note creates a need for assessment and clarification, not automatic rejection.</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After hospitalization, choose current safety and continuity before routine scheduling. Seek the information necessary to understand risk, medications, recommendations, and next steps.</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P - Priority and continuity error. A vague handoff requires immediate clinical clarification rather than passive waiting or automatic refusal.</w:t>
            </w:r>
          </w:p>
        </w:tc>
      </w:tr>
    </w:tbl>
    <w:p>
      <w:r>
        <w:br w:type="page"/>
      </w:r>
    </w:p>
    <w:p>
      <w:pPr>
        <w:pStyle w:val="Heading2"/>
        <w:spacing w:before="0" w:after="60" w:line="245" w:lineRule="auto"/>
        <w:keepNext/>
      </w:pPr>
      <w:r>
        <w:rPr>
          <w:rFonts w:ascii="Arial" w:hAnsi="Arial" w:eastAsia="Arial"/>
          <w:b/>
          <w:color w:val="17365D"/>
          <w:sz w:val="21"/>
        </w:rPr>
        <w:t>Question 7 (LPCC-WB11-PB-Q007)</w:t>
      </w:r>
    </w:p>
    <w:p>
      <w:pPr>
        <w:spacing w:before="0" w:after="40" w:line="245" w:lineRule="auto"/>
      </w:pPr>
      <w:r>
        <w:rPr>
          <w:rFonts w:ascii="Arial" w:hAnsi="Arial" w:eastAsia="Arial"/>
          <w:b/>
          <w:i w:val="0"/>
          <w:color w:val="159C9C"/>
          <w:sz w:val="15"/>
        </w:rPr>
        <w:t>LPCC-WB11-PB-Q007 | Application | Moderate | Primary concept: MODE integrated modality plan</w:t>
      </w:r>
    </w:p>
    <w:p>
      <w:pPr>
        <w:spacing w:before="0" w:after="40" w:line="245" w:lineRule="auto"/>
      </w:pPr>
      <w:r>
        <w:rPr>
          <w:rFonts w:ascii="Arial" w:hAnsi="Arial" w:eastAsia="Arial"/>
          <w:b/>
          <w:i w:val="0"/>
          <w:color w:val="1F2937"/>
          <w:sz w:val="17"/>
        </w:rPr>
        <w:t>Which initial service plan BEST fits the information available about Talia?</w:t>
      </w:r>
    </w:p>
    <w:p>
      <w:pPr>
        <w:spacing w:before="0" w:after="16" w:line="240" w:lineRule="auto"/>
        <w:ind w:left="259" w:hanging="259"/>
      </w:pPr>
      <w:r>
        <w:rPr>
          <w:rFonts w:ascii="Arial" w:hAnsi="Arial" w:eastAsia="Arial"/>
          <w:sz w:val="16"/>
        </w:rPr>
        <w:t>A. Begin couple counseling immediately because relationship stress appears to trigger symptoms.</w:t>
      </w:r>
    </w:p>
    <w:p>
      <w:pPr>
        <w:spacing w:before="0" w:after="16" w:line="240" w:lineRule="auto"/>
        <w:ind w:left="259" w:hanging="259"/>
      </w:pPr>
      <w:r>
        <w:rPr>
          <w:rFonts w:ascii="Arial" w:hAnsi="Arial" w:eastAsia="Arial"/>
          <w:sz w:val="16"/>
        </w:rPr>
        <w:t>B. Use group counseling as the only service because it is less costly and provides peer support.</w:t>
      </w:r>
    </w:p>
    <w:p>
      <w:pPr>
        <w:spacing w:before="0" w:after="16" w:line="240" w:lineRule="auto"/>
        <w:ind w:left="259" w:hanging="259"/>
      </w:pPr>
      <w:r>
        <w:rPr>
          <w:rFonts w:ascii="Arial" w:hAnsi="Arial" w:eastAsia="Arial"/>
          <w:sz w:val="16"/>
        </w:rPr>
        <w:t>C. Begin individual outpatient care with active safety and medication follow-up, screen for an appropriate skills group, and postpone conjoint work until client identity, safety, freedom to speak, and fit are clarified.</w:t>
      </w:r>
    </w:p>
    <w:p>
      <w:pPr>
        <w:spacing w:before="0" w:after="16" w:line="240" w:lineRule="auto"/>
        <w:ind w:left="259" w:hanging="259"/>
      </w:pPr>
      <w:r>
        <w:rPr>
          <w:rFonts w:ascii="Arial" w:hAnsi="Arial" w:eastAsia="Arial"/>
          <w:sz w:val="16"/>
        </w:rPr>
        <w:t>D. Refer all care to the hospital because any recent hospitalization makes outpatient treatment inappropriate.</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C. Begin individual outpatient care with active safety and medication follow-up, screen for an appropriate skills group, and postpone conjoint work until client identity, safety, freedom to speak, and fit are clarified.</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Talia reports monitoring, anger, and uncertainty about speaking freely, so conjoint work is not the first step.</w:t>
      </w:r>
      <w:r>
        <w:rPr>
          <w:rFonts w:ascii="Arial" w:hAnsi="Arial" w:eastAsia="Arial"/>
          <w:sz w:val="16"/>
        </w:rPr>
      </w:r>
    </w:p>
    <w:p>
      <w:pPr>
        <w:spacing w:after="20" w:before="0" w:line="240" w:lineRule="auto"/>
      </w:pPr>
      <w:r>
        <w:rPr>
          <w:rFonts w:ascii="Arial" w:hAnsi="Arial" w:eastAsia="Arial"/>
          <w:b/>
          <w:color w:val="17365D"/>
          <w:sz w:val="16"/>
        </w:rPr>
        <w:t>B. Incorrect. A group may be useful, but it should not replace individualized assessment, safety follow-up, and coordinated post-discharge care.</w:t>
      </w:r>
      <w:r>
        <w:rPr>
          <w:rFonts w:ascii="Arial" w:hAnsi="Arial" w:eastAsia="Arial"/>
          <w:sz w:val="16"/>
        </w:rPr>
      </w:r>
    </w:p>
    <w:p>
      <w:pPr>
        <w:spacing w:after="20" w:before="0" w:line="240" w:lineRule="auto"/>
      </w:pPr>
      <w:r>
        <w:rPr>
          <w:rFonts w:ascii="Arial" w:hAnsi="Arial" w:eastAsia="Arial"/>
          <w:b/>
          <w:color w:val="17365D"/>
          <w:sz w:val="16"/>
        </w:rPr>
        <w:t>C. Correct. The plan uses the least restrictive effective services, preserves safety and continuity, and evaluates adjunctive group and relational options rather than assuming them.</w:t>
      </w:r>
      <w:r>
        <w:rPr>
          <w:rFonts w:ascii="Arial" w:hAnsi="Arial" w:eastAsia="Arial"/>
          <w:sz w:val="16"/>
        </w:rPr>
      </w:r>
    </w:p>
    <w:p>
      <w:pPr>
        <w:spacing w:after="20" w:before="0" w:line="240" w:lineRule="auto"/>
      </w:pPr>
      <w:r>
        <w:rPr>
          <w:rFonts w:ascii="Arial" w:hAnsi="Arial" w:eastAsia="Arial"/>
          <w:b/>
          <w:color w:val="17365D"/>
          <w:sz w:val="16"/>
        </w:rPr>
        <w:t>D. Incorrect. Recent hospitalization does not automatically rule out outpatient care when current risk, supports, and follow-up are appropriately assessed.</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The best modality answer may be multimodal. Choose the plan that addresses immediate needs, adds useful services after screening, and delays formats that are not yet safe or clear.</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M - MODE selection error. One service does not have to meet every need; sequence primary and adjunctive care according to safety, fit, and purpose.</w:t>
            </w:r>
          </w:p>
        </w:tc>
      </w:tr>
    </w:tbl>
    <w:p>
      <w:r>
        <w:br w:type="page"/>
      </w:r>
    </w:p>
    <w:p>
      <w:pPr>
        <w:pStyle w:val="Heading2"/>
        <w:spacing w:before="0" w:after="60" w:line="245" w:lineRule="auto"/>
        <w:keepNext/>
      </w:pPr>
      <w:r>
        <w:rPr>
          <w:rFonts w:ascii="Arial" w:hAnsi="Arial" w:eastAsia="Arial"/>
          <w:b/>
          <w:color w:val="17365D"/>
          <w:sz w:val="21"/>
        </w:rPr>
        <w:t>Question 8 (LPCC-WB11-PB-Q008)</w:t>
      </w:r>
    </w:p>
    <w:p>
      <w:pPr>
        <w:spacing w:before="0" w:after="40" w:line="245" w:lineRule="auto"/>
      </w:pPr>
      <w:r>
        <w:rPr>
          <w:rFonts w:ascii="Arial" w:hAnsi="Arial" w:eastAsia="Arial"/>
          <w:b/>
          <w:i w:val="0"/>
          <w:color w:val="159C9C"/>
          <w:sz w:val="15"/>
        </w:rPr>
        <w:t>LPCC-WB11-PB-Q008 | Knowledge &amp; Application | Easy | Primary concept: GROUP screening and preparation</w:t>
      </w:r>
    </w:p>
    <w:p>
      <w:pPr>
        <w:spacing w:before="0" w:after="40" w:line="245" w:lineRule="auto"/>
      </w:pPr>
      <w:r>
        <w:rPr>
          <w:rFonts w:ascii="Arial" w:hAnsi="Arial" w:eastAsia="Arial"/>
          <w:b/>
          <w:i w:val="0"/>
          <w:color w:val="1F2937"/>
          <w:sz w:val="17"/>
        </w:rPr>
        <w:t>Before enrolling Talia in the virtual anxiety-skills group, what should the group leader do?</w:t>
      </w:r>
    </w:p>
    <w:p>
      <w:pPr>
        <w:spacing w:before="0" w:after="16" w:line="240" w:lineRule="auto"/>
        <w:ind w:left="259" w:hanging="259"/>
      </w:pPr>
      <w:r>
        <w:rPr>
          <w:rFonts w:ascii="Arial" w:hAnsi="Arial" w:eastAsia="Arial"/>
          <w:sz w:val="16"/>
        </w:rPr>
        <w:t>A. Accept her automatically because the referral came from another clinician.</w:t>
      </w:r>
    </w:p>
    <w:p>
      <w:pPr>
        <w:spacing w:before="0" w:after="16" w:line="240" w:lineRule="auto"/>
        <w:ind w:left="259" w:hanging="259"/>
      </w:pPr>
      <w:r>
        <w:rPr>
          <w:rFonts w:ascii="Arial" w:hAnsi="Arial" w:eastAsia="Arial"/>
          <w:sz w:val="16"/>
        </w:rPr>
        <w:t>B. Exclude her because a recent hospitalization makes every group unsafe.</w:t>
      </w:r>
    </w:p>
    <w:p>
      <w:pPr>
        <w:spacing w:before="0" w:after="16" w:line="240" w:lineRule="auto"/>
        <w:ind w:left="259" w:hanging="259"/>
      </w:pPr>
      <w:r>
        <w:rPr>
          <w:rFonts w:ascii="Arial" w:hAnsi="Arial" w:eastAsia="Arial"/>
          <w:sz w:val="16"/>
        </w:rPr>
        <w:t>C. Ask only whether she agrees to keep other members’ information private.</w:t>
      </w:r>
    </w:p>
    <w:p>
      <w:pPr>
        <w:spacing w:before="0" w:after="16" w:line="240" w:lineRule="auto"/>
        <w:ind w:left="259" w:hanging="259"/>
      </w:pPr>
      <w:r>
        <w:rPr>
          <w:rFonts w:ascii="Arial" w:hAnsi="Arial" w:eastAsia="Arial"/>
          <w:sz w:val="16"/>
        </w:rPr>
        <w:t>D. Review the group’s purpose and structure, assess current stability and risk, readiness, expectations, access and privacy needs, and whether preparatory support is needed.</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D. Review the group’s purpose and structure, assess current stability and risk, readiness, expectations, access and privacy needs, and whether preparatory support is needed.</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A referral does not replace group-specific screening and preparation.</w:t>
      </w:r>
      <w:r>
        <w:rPr>
          <w:rFonts w:ascii="Arial" w:hAnsi="Arial" w:eastAsia="Arial"/>
          <w:sz w:val="16"/>
        </w:rPr>
      </w:r>
    </w:p>
    <w:p>
      <w:pPr>
        <w:spacing w:after="20" w:before="0" w:line="240" w:lineRule="auto"/>
      </w:pPr>
      <w:r>
        <w:rPr>
          <w:rFonts w:ascii="Arial" w:hAnsi="Arial" w:eastAsia="Arial"/>
          <w:b/>
          <w:color w:val="17365D"/>
          <w:sz w:val="16"/>
        </w:rPr>
        <w:t>B. Incorrect. Recent hospitalization requires current assessment, not an automatic permanent exclusion.</w:t>
      </w:r>
      <w:r>
        <w:rPr>
          <w:rFonts w:ascii="Arial" w:hAnsi="Arial" w:eastAsia="Arial"/>
          <w:sz w:val="16"/>
        </w:rPr>
      </w:r>
    </w:p>
    <w:p>
      <w:pPr>
        <w:spacing w:after="20" w:before="0" w:line="240" w:lineRule="auto"/>
      </w:pPr>
      <w:r>
        <w:rPr>
          <w:rFonts w:ascii="Arial" w:hAnsi="Arial" w:eastAsia="Arial"/>
          <w:b/>
          <w:color w:val="17365D"/>
          <w:sz w:val="16"/>
        </w:rPr>
        <w:t>C. Incorrect. Privacy expectations are important but do not establish safety, readiness, access, or fit.</w:t>
      </w:r>
      <w:r>
        <w:rPr>
          <w:rFonts w:ascii="Arial" w:hAnsi="Arial" w:eastAsia="Arial"/>
          <w:sz w:val="16"/>
        </w:rPr>
      </w:r>
    </w:p>
    <w:p>
      <w:pPr>
        <w:spacing w:after="20" w:before="0" w:line="240" w:lineRule="auto"/>
      </w:pPr>
      <w:r>
        <w:rPr>
          <w:rFonts w:ascii="Arial" w:hAnsi="Arial" w:eastAsia="Arial"/>
          <w:b/>
          <w:color w:val="17365D"/>
          <w:sz w:val="16"/>
        </w:rPr>
        <w:t>D. Correct. GROUP reasoning evaluates the client in relation to the specific group and prepares the client for effective participation.</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Group screening should be specific to the actual group. Look for purpose, current stability, expectations, access, privacy, readiness, and preparation rather than diagnosis-based exclusion.</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G - GROUP preparation error. Screening determines fit and support needs for a particular group; it is not exclusion by convenience.</w:t>
            </w:r>
          </w:p>
        </w:tc>
      </w:tr>
    </w:tbl>
    <w:p>
      <w:r>
        <w:br w:type="page"/>
      </w:r>
    </w:p>
    <w:p>
      <w:pPr>
        <w:pStyle w:val="Heading2"/>
        <w:spacing w:before="0" w:after="60" w:line="245" w:lineRule="auto"/>
        <w:keepNext/>
      </w:pPr>
      <w:r>
        <w:rPr>
          <w:rFonts w:ascii="Arial" w:hAnsi="Arial" w:eastAsia="Arial"/>
          <w:b/>
          <w:color w:val="17365D"/>
          <w:sz w:val="21"/>
        </w:rPr>
        <w:t>Question 9 (LPCC-WB11-PB-Q009)</w:t>
      </w:r>
    </w:p>
    <w:p>
      <w:pPr>
        <w:spacing w:before="0" w:after="40" w:line="245" w:lineRule="auto"/>
      </w:pPr>
      <w:r>
        <w:rPr>
          <w:rFonts w:ascii="Arial" w:hAnsi="Arial" w:eastAsia="Arial"/>
          <w:b/>
          <w:i w:val="0"/>
          <w:color w:val="159C9C"/>
          <w:sz w:val="15"/>
        </w:rPr>
        <w:t>LPCC-WB11-PB-Q009 | Application | Moderate | Primary concept: SYSTEM treatment-unit clarification</w:t>
      </w:r>
    </w:p>
    <w:p>
      <w:pPr>
        <w:spacing w:before="0" w:after="40" w:line="245" w:lineRule="auto"/>
      </w:pPr>
      <w:r>
        <w:rPr>
          <w:rFonts w:ascii="Arial" w:hAnsi="Arial" w:eastAsia="Arial"/>
          <w:b/>
          <w:i w:val="0"/>
          <w:color w:val="1F2937"/>
          <w:sz w:val="17"/>
        </w:rPr>
        <w:t>Talia asks the counselor to speak briefly with her partner about how to support her. What should the counselor do before making contact?</w:t>
      </w:r>
    </w:p>
    <w:p>
      <w:pPr>
        <w:spacing w:before="0" w:after="16" w:line="240" w:lineRule="auto"/>
        <w:ind w:left="259" w:hanging="259"/>
      </w:pPr>
      <w:r>
        <w:rPr>
          <w:rFonts w:ascii="Arial" w:hAnsi="Arial" w:eastAsia="Arial"/>
          <w:sz w:val="16"/>
        </w:rPr>
        <w:t>A. Call the partner because the request itself authorizes any clinically useful discussion.</w:t>
      </w:r>
    </w:p>
    <w:p>
      <w:pPr>
        <w:spacing w:before="0" w:after="16" w:line="240" w:lineRule="auto"/>
        <w:ind w:left="259" w:hanging="259"/>
      </w:pPr>
      <w:r>
        <w:rPr>
          <w:rFonts w:ascii="Arial" w:hAnsi="Arial" w:eastAsia="Arial"/>
          <w:sz w:val="16"/>
        </w:rPr>
        <w:t>B. Clarify the purpose, whether the partner is a collateral support or treatment participant, what Talia authorizes, confidentiality limits, documentation, and how the contact affects the current treatment role.</w:t>
      </w:r>
    </w:p>
    <w:p>
      <w:pPr>
        <w:spacing w:before="0" w:after="16" w:line="240" w:lineRule="auto"/>
        <w:ind w:left="259" w:hanging="259"/>
      </w:pPr>
      <w:r>
        <w:rPr>
          <w:rFonts w:ascii="Arial" w:hAnsi="Arial" w:eastAsia="Arial"/>
          <w:sz w:val="16"/>
        </w:rPr>
        <w:t>C. Convert the case to couple counseling so the partner can receive full information.</w:t>
      </w:r>
    </w:p>
    <w:p>
      <w:pPr>
        <w:spacing w:before="0" w:after="16" w:line="240" w:lineRule="auto"/>
        <w:ind w:left="259" w:hanging="259"/>
      </w:pPr>
      <w:r>
        <w:rPr>
          <w:rFonts w:ascii="Arial" w:hAnsi="Arial" w:eastAsia="Arial"/>
          <w:sz w:val="16"/>
        </w:rPr>
        <w:t>D. Refuse all collateral contact because speaking with a partner creates an unavoidable conflict.</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B. Clarify the purpose, whether the partner is a collateral support or treatment participant, what Talia authorizes, confidentiality limits, documentation, and how the contact affects the current treatment role.</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The counselor needs specific authorization and role clarity rather than assuming unlimited permission.</w:t>
      </w:r>
      <w:r>
        <w:rPr>
          <w:rFonts w:ascii="Arial" w:hAnsi="Arial" w:eastAsia="Arial"/>
          <w:sz w:val="16"/>
        </w:rPr>
      </w:r>
    </w:p>
    <w:p>
      <w:pPr>
        <w:spacing w:after="20" w:before="0" w:line="240" w:lineRule="auto"/>
      </w:pPr>
      <w:r>
        <w:rPr>
          <w:rFonts w:ascii="Arial" w:hAnsi="Arial" w:eastAsia="Arial"/>
          <w:b/>
          <w:color w:val="17365D"/>
          <w:sz w:val="16"/>
        </w:rPr>
        <w:t>B. Correct. The counselor distinguishes collateral support from conjoint treatment and defines purpose, consent, confidentiality, documentation, and role boundaries.</w:t>
      </w:r>
      <w:r>
        <w:rPr>
          <w:rFonts w:ascii="Arial" w:hAnsi="Arial" w:eastAsia="Arial"/>
          <w:sz w:val="16"/>
        </w:rPr>
      </w:r>
    </w:p>
    <w:p>
      <w:pPr>
        <w:spacing w:after="20" w:before="0" w:line="240" w:lineRule="auto"/>
      </w:pPr>
      <w:r>
        <w:rPr>
          <w:rFonts w:ascii="Arial" w:hAnsi="Arial" w:eastAsia="Arial"/>
          <w:b/>
          <w:color w:val="17365D"/>
          <w:sz w:val="16"/>
        </w:rPr>
        <w:t>C. Incorrect. A brief support contact does not automatically change the treatment unit to a couple.</w:t>
      </w:r>
      <w:r>
        <w:rPr>
          <w:rFonts w:ascii="Arial" w:hAnsi="Arial" w:eastAsia="Arial"/>
          <w:sz w:val="16"/>
        </w:rPr>
      </w:r>
    </w:p>
    <w:p>
      <w:pPr>
        <w:spacing w:after="20" w:before="0" w:line="240" w:lineRule="auto"/>
      </w:pPr>
      <w:r>
        <w:rPr>
          <w:rFonts w:ascii="Arial" w:hAnsi="Arial" w:eastAsia="Arial"/>
          <w:b/>
          <w:color w:val="17365D"/>
          <w:sz w:val="16"/>
        </w:rPr>
        <w:t>D. Incorrect. Collateral contact can be appropriate when purpose, consent, confidentiality, and roles are clear.</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A person can be a support, information source, participant, representative, or separate client. Identify the role before deciding what can be discussed or documented.</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C - Consent and client-identity error. Authorization should match the specific purpose and role of the collateral contact.</w:t>
            </w:r>
          </w:p>
        </w:tc>
      </w:tr>
    </w:tbl>
    <w:p>
      <w:r>
        <w:br w:type="page"/>
      </w:r>
    </w:p>
    <w:p>
      <w:pPr>
        <w:pStyle w:val="Heading2"/>
        <w:spacing w:before="0" w:after="60" w:line="245" w:lineRule="auto"/>
        <w:keepNext/>
      </w:pPr>
      <w:r>
        <w:rPr>
          <w:rFonts w:ascii="Arial" w:hAnsi="Arial" w:eastAsia="Arial"/>
          <w:b/>
          <w:color w:val="17365D"/>
          <w:sz w:val="21"/>
        </w:rPr>
        <w:t>Question 10 (LPCC-WB11-PB-Q010)</w:t>
      </w:r>
    </w:p>
    <w:p>
      <w:pPr>
        <w:spacing w:before="0" w:after="40" w:line="245" w:lineRule="auto"/>
      </w:pPr>
      <w:r>
        <w:rPr>
          <w:rFonts w:ascii="Arial" w:hAnsi="Arial" w:eastAsia="Arial"/>
          <w:b/>
          <w:i w:val="0"/>
          <w:color w:val="159C9C"/>
          <w:sz w:val="15"/>
        </w:rPr>
        <w:t>LPCC-WB11-PB-Q010 | Application | Moderate | Primary concept: GROUP process leadership</w:t>
      </w:r>
    </w:p>
    <w:p>
      <w:pPr>
        <w:spacing w:before="0" w:after="40" w:line="245" w:lineRule="auto"/>
      </w:pPr>
      <w:r>
        <w:rPr>
          <w:rFonts w:ascii="Arial" w:hAnsi="Arial" w:eastAsia="Arial"/>
          <w:b/>
          <w:i w:val="0"/>
          <w:color w:val="1F2937"/>
          <w:sz w:val="17"/>
        </w:rPr>
        <w:t>In Talia’s group, one member repeatedly interrupts while quieter members withdraw. What is the BEST group-leader response?</w:t>
      </w:r>
    </w:p>
    <w:p>
      <w:pPr>
        <w:spacing w:before="0" w:after="16" w:line="240" w:lineRule="auto"/>
        <w:ind w:left="259" w:hanging="259"/>
      </w:pPr>
      <w:r>
        <w:rPr>
          <w:rFonts w:ascii="Arial" w:hAnsi="Arial" w:eastAsia="Arial"/>
          <w:sz w:val="16"/>
        </w:rPr>
        <w:t>A. Ignore the pattern so members can resolve it without leader influence.</w:t>
      </w:r>
    </w:p>
    <w:p>
      <w:pPr>
        <w:spacing w:before="0" w:after="16" w:line="240" w:lineRule="auto"/>
        <w:ind w:left="259" w:hanging="259"/>
      </w:pPr>
      <w:r>
        <w:rPr>
          <w:rFonts w:ascii="Arial" w:hAnsi="Arial" w:eastAsia="Arial"/>
          <w:sz w:val="16"/>
        </w:rPr>
        <w:t>B. Remove the dominant member immediately without discussing impact or expectations.</w:t>
      </w:r>
    </w:p>
    <w:p>
      <w:pPr>
        <w:spacing w:before="0" w:after="16" w:line="240" w:lineRule="auto"/>
        <w:ind w:left="259" w:hanging="259"/>
      </w:pPr>
      <w:r>
        <w:rPr>
          <w:rFonts w:ascii="Arial" w:hAnsi="Arial" w:eastAsia="Arial"/>
          <w:sz w:val="16"/>
        </w:rPr>
        <w:t>C. Name the interaction pattern respectfully, protect equitable airtime, invite reflection on impact, and reconnect the group to its agreements and purpose.</w:t>
      </w:r>
    </w:p>
    <w:p>
      <w:pPr>
        <w:spacing w:before="0" w:after="16" w:line="240" w:lineRule="auto"/>
        <w:ind w:left="259" w:hanging="259"/>
      </w:pPr>
      <w:r>
        <w:rPr>
          <w:rFonts w:ascii="Arial" w:hAnsi="Arial" w:eastAsia="Arial"/>
          <w:sz w:val="16"/>
        </w:rPr>
        <w:t>D. End the session early and address the issue only in the next individual screening.</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C. Name the interaction pattern respectfully, protect equitable airtime, invite reflection on impact, and reconnect the group to its agreements and purpose.</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Ignoring a repeated pattern can reinforce withdrawal and unsafe group norms.</w:t>
      </w:r>
      <w:r>
        <w:rPr>
          <w:rFonts w:ascii="Arial" w:hAnsi="Arial" w:eastAsia="Arial"/>
          <w:sz w:val="16"/>
        </w:rPr>
      </w:r>
    </w:p>
    <w:p>
      <w:pPr>
        <w:spacing w:after="20" w:before="0" w:line="240" w:lineRule="auto"/>
      </w:pPr>
      <w:r>
        <w:rPr>
          <w:rFonts w:ascii="Arial" w:hAnsi="Arial" w:eastAsia="Arial"/>
          <w:b/>
          <w:color w:val="17365D"/>
          <w:sz w:val="16"/>
        </w:rPr>
        <w:t>B. Incorrect. Immediate removal is disproportionate absent an unmanageable safety or conduct concern.</w:t>
      </w:r>
      <w:r>
        <w:rPr>
          <w:rFonts w:ascii="Arial" w:hAnsi="Arial" w:eastAsia="Arial"/>
          <w:sz w:val="16"/>
        </w:rPr>
      </w:r>
    </w:p>
    <w:p>
      <w:pPr>
        <w:spacing w:after="20" w:before="0" w:line="240" w:lineRule="auto"/>
      </w:pPr>
      <w:r>
        <w:rPr>
          <w:rFonts w:ascii="Arial" w:hAnsi="Arial" w:eastAsia="Arial"/>
          <w:b/>
          <w:color w:val="17365D"/>
          <w:sz w:val="16"/>
        </w:rPr>
        <w:t>C. Correct. The leader protects the group-as-a-whole and uses the interaction therapeutically without shaming the member.</w:t>
      </w:r>
      <w:r>
        <w:rPr>
          <w:rFonts w:ascii="Arial" w:hAnsi="Arial" w:eastAsia="Arial"/>
          <w:sz w:val="16"/>
        </w:rPr>
      </w:r>
    </w:p>
    <w:p>
      <w:pPr>
        <w:spacing w:after="20" w:before="0" w:line="240" w:lineRule="auto"/>
      </w:pPr>
      <w:r>
        <w:rPr>
          <w:rFonts w:ascii="Arial" w:hAnsi="Arial" w:eastAsia="Arial"/>
          <w:b/>
          <w:color w:val="17365D"/>
          <w:sz w:val="16"/>
        </w:rPr>
        <w:t>D. Incorrect. Ending the session avoids a clinically useful in-the-moment intervention and leaves members unsupported.</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Group-process questions often favor a proportionate here-and-now intervention: name the pattern, protect participation, invite awareness, and restore the group task.</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G - GROUP process error. Effective leadership attends to both the individual member and the impact on the whole group.</w:t>
            </w:r>
          </w:p>
        </w:tc>
      </w:tr>
    </w:tbl>
    <w:p>
      <w:r>
        <w:br w:type="page"/>
      </w:r>
    </w:p>
    <w:p>
      <w:pPr>
        <w:pStyle w:val="Heading2"/>
        <w:spacing w:before="0" w:after="60" w:line="245" w:lineRule="auto"/>
        <w:keepNext/>
      </w:pPr>
      <w:r>
        <w:rPr>
          <w:rFonts w:ascii="Arial" w:hAnsi="Arial" w:eastAsia="Arial"/>
          <w:b/>
          <w:color w:val="17365D"/>
          <w:sz w:val="21"/>
        </w:rPr>
        <w:t>Question 11 (LPCC-WB11-PB-Q011)</w:t>
      </w:r>
    </w:p>
    <w:p>
      <w:pPr>
        <w:spacing w:before="0" w:after="40" w:line="245" w:lineRule="auto"/>
      </w:pPr>
      <w:r>
        <w:rPr>
          <w:rFonts w:ascii="Arial" w:hAnsi="Arial" w:eastAsia="Arial"/>
          <w:b/>
          <w:i w:val="0"/>
          <w:color w:val="159C9C"/>
          <w:sz w:val="15"/>
        </w:rPr>
        <w:t>LPCC-WB11-PB-Q011 | Knowledge &amp; Application | Easy | Primary concept: TEAM medication coordination</w:t>
      </w:r>
    </w:p>
    <w:p>
      <w:pPr>
        <w:spacing w:before="0" w:after="40" w:line="245" w:lineRule="auto"/>
      </w:pPr>
      <w:r>
        <w:rPr>
          <w:rFonts w:ascii="Arial" w:hAnsi="Arial" w:eastAsia="Arial"/>
          <w:b/>
          <w:i w:val="0"/>
          <w:color w:val="1F2937"/>
          <w:sz w:val="17"/>
        </w:rPr>
        <w:t>Talia reports nausea and dizziness after starting sertraline and asks whether she should cut the dose in half. What is the BEST counselor response?</w:t>
      </w:r>
    </w:p>
    <w:p>
      <w:pPr>
        <w:spacing w:before="0" w:after="16" w:line="240" w:lineRule="auto"/>
        <w:ind w:left="259" w:hanging="259"/>
      </w:pPr>
      <w:r>
        <w:rPr>
          <w:rFonts w:ascii="Arial" w:hAnsi="Arial" w:eastAsia="Arial"/>
          <w:sz w:val="16"/>
        </w:rPr>
        <w:t>A. Assess urgency and safety, encourage prompt contact with the prescriber or medical clinician, share relevant observations within authorization, and defer dose decisions to the prescriber.</w:t>
      </w:r>
    </w:p>
    <w:p>
      <w:pPr>
        <w:spacing w:before="0" w:after="16" w:line="240" w:lineRule="auto"/>
        <w:ind w:left="259" w:hanging="259"/>
      </w:pPr>
      <w:r>
        <w:rPr>
          <w:rFonts w:ascii="Arial" w:hAnsi="Arial" w:eastAsia="Arial"/>
          <w:sz w:val="16"/>
        </w:rPr>
        <w:t>B. Recommend reducing the dose because the side effects began after the medication was started.</w:t>
      </w:r>
    </w:p>
    <w:p>
      <w:pPr>
        <w:spacing w:before="0" w:after="16" w:line="240" w:lineRule="auto"/>
        <w:ind w:left="259" w:hanging="259"/>
      </w:pPr>
      <w:r>
        <w:rPr>
          <w:rFonts w:ascii="Arial" w:hAnsi="Arial" w:eastAsia="Arial"/>
          <w:sz w:val="16"/>
        </w:rPr>
        <w:t>C. Tell Talia to stop the medication immediately and restart it when symptoms improve.</w:t>
      </w:r>
    </w:p>
    <w:p>
      <w:pPr>
        <w:spacing w:before="0" w:after="16" w:line="240" w:lineRule="auto"/>
        <w:ind w:left="259" w:hanging="259"/>
      </w:pPr>
      <w:r>
        <w:rPr>
          <w:rFonts w:ascii="Arial" w:hAnsi="Arial" w:eastAsia="Arial"/>
          <w:sz w:val="16"/>
        </w:rPr>
        <w:t>D. Avoid discussing the symptoms because medication is outside counseling scope.</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A. Assess urgency and safety, encourage prompt contact with the prescriber or medical clinician, share relevant observations within authorization, and defer dose decisions to the prescriber.</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Correct. The counselor responds to possible medical or medication concerns, coordinates relevant observations, and preserves the prescriber’s decision role.</w:t>
      </w:r>
      <w:r>
        <w:rPr>
          <w:rFonts w:ascii="Arial" w:hAnsi="Arial" w:eastAsia="Arial"/>
          <w:sz w:val="16"/>
        </w:rPr>
      </w:r>
    </w:p>
    <w:p>
      <w:pPr>
        <w:spacing w:after="20" w:before="0" w:line="240" w:lineRule="auto"/>
      </w:pPr>
      <w:r>
        <w:rPr>
          <w:rFonts w:ascii="Arial" w:hAnsi="Arial" w:eastAsia="Arial"/>
          <w:b/>
          <w:color w:val="17365D"/>
          <w:sz w:val="16"/>
        </w:rPr>
        <w:t>B. Incorrect. Recommending a dose change exceeds the counselor’s role.</w:t>
      </w:r>
      <w:r>
        <w:rPr>
          <w:rFonts w:ascii="Arial" w:hAnsi="Arial" w:eastAsia="Arial"/>
          <w:sz w:val="16"/>
        </w:rPr>
      </w:r>
    </w:p>
    <w:p>
      <w:pPr>
        <w:spacing w:after="20" w:before="0" w:line="240" w:lineRule="auto"/>
      </w:pPr>
      <w:r>
        <w:rPr>
          <w:rFonts w:ascii="Arial" w:hAnsi="Arial" w:eastAsia="Arial"/>
          <w:b/>
          <w:color w:val="17365D"/>
          <w:sz w:val="16"/>
        </w:rPr>
        <w:t>C. Incorrect. Directing discontinuation may be unsafe and is outside the counselor’s role.</w:t>
      </w:r>
      <w:r>
        <w:rPr>
          <w:rFonts w:ascii="Arial" w:hAnsi="Arial" w:eastAsia="Arial"/>
          <w:sz w:val="16"/>
        </w:rPr>
      </w:r>
    </w:p>
    <w:p>
      <w:pPr>
        <w:spacing w:after="20" w:before="0" w:line="240" w:lineRule="auto"/>
      </w:pPr>
      <w:r>
        <w:rPr>
          <w:rFonts w:ascii="Arial" w:hAnsi="Arial" w:eastAsia="Arial"/>
          <w:b/>
          <w:color w:val="17365D"/>
          <w:sz w:val="16"/>
        </w:rPr>
        <w:t>D. Incorrect. The counselor should assess impact and urgency and facilitate appropriate medical coordination rather than ignoring the concern.</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Medication questions usually reward observation, urgency assessment, client education, and prescriber coordination—not prescribing, dosing, or silence.</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R - Role and scope error. Counselors coordinate and report clinically relevant information while prescribers make medication decisions.</w:t>
            </w:r>
          </w:p>
        </w:tc>
      </w:tr>
    </w:tbl>
    <w:p>
      <w:r>
        <w:br w:type="page"/>
      </w:r>
    </w:p>
    <w:p>
      <w:pPr>
        <w:pStyle w:val="Heading2"/>
        <w:spacing w:before="0" w:after="60" w:line="245" w:lineRule="auto"/>
        <w:keepNext/>
      </w:pPr>
      <w:r>
        <w:rPr>
          <w:rFonts w:ascii="Arial" w:hAnsi="Arial" w:eastAsia="Arial"/>
          <w:b/>
          <w:color w:val="17365D"/>
          <w:sz w:val="21"/>
        </w:rPr>
        <w:t>Question 12 (LPCC-WB11-PB-Q012)</w:t>
      </w:r>
    </w:p>
    <w:p>
      <w:pPr>
        <w:spacing w:before="0" w:after="40" w:line="245" w:lineRule="auto"/>
      </w:pPr>
      <w:r>
        <w:rPr>
          <w:rFonts w:ascii="Arial" w:hAnsi="Arial" w:eastAsia="Arial"/>
          <w:b/>
          <w:i w:val="0"/>
          <w:color w:val="159C9C"/>
          <w:sz w:val="15"/>
        </w:rPr>
        <w:t>LPCC-WB11-PB-Q012 | Application | Moderate | Primary concept: HANDOFF specialty referral</w:t>
      </w:r>
    </w:p>
    <w:p>
      <w:pPr>
        <w:spacing w:before="0" w:after="40" w:line="245" w:lineRule="auto"/>
      </w:pPr>
      <w:r>
        <w:rPr>
          <w:rFonts w:ascii="Arial" w:hAnsi="Arial" w:eastAsia="Arial"/>
          <w:b/>
          <w:i w:val="0"/>
          <w:color w:val="1F2937"/>
          <w:sz w:val="17"/>
        </w:rPr>
        <w:t>Talia’s trauma symptoms intensify, and the counselor lacks competence in the specialized trauma treatment she requests. What is the BEST next step?</w:t>
      </w:r>
    </w:p>
    <w:p>
      <w:pPr>
        <w:spacing w:before="0" w:after="16" w:line="240" w:lineRule="auto"/>
        <w:ind w:left="259" w:hanging="259"/>
      </w:pPr>
      <w:r>
        <w:rPr>
          <w:rFonts w:ascii="Arial" w:hAnsi="Arial" w:eastAsia="Arial"/>
          <w:sz w:val="16"/>
        </w:rPr>
        <w:t>A. Begin the specialized protocol after reading a brief overview so continuity is not interrupted.</w:t>
      </w:r>
    </w:p>
    <w:p>
      <w:pPr>
        <w:spacing w:before="0" w:after="16" w:line="240" w:lineRule="auto"/>
        <w:ind w:left="259" w:hanging="259"/>
      </w:pPr>
      <w:r>
        <w:rPr>
          <w:rFonts w:ascii="Arial" w:hAnsi="Arial" w:eastAsia="Arial"/>
          <w:sz w:val="16"/>
        </w:rPr>
        <w:t>B. End counseling immediately and tell Talia to find another clinician.</w:t>
      </w:r>
    </w:p>
    <w:p>
      <w:pPr>
        <w:spacing w:before="0" w:after="16" w:line="240" w:lineRule="auto"/>
        <w:ind w:left="259" w:hanging="259"/>
      </w:pPr>
      <w:r>
        <w:rPr>
          <w:rFonts w:ascii="Arial" w:hAnsi="Arial" w:eastAsia="Arial"/>
          <w:sz w:val="16"/>
        </w:rPr>
        <w:t>C. Avoid discussing the competence limit and continue supportive counseling indefinitely.</w:t>
      </w:r>
    </w:p>
    <w:p>
      <w:pPr>
        <w:spacing w:before="0" w:after="16" w:line="240" w:lineRule="auto"/>
        <w:ind w:left="259" w:hanging="259"/>
      </w:pPr>
      <w:r>
        <w:rPr>
          <w:rFonts w:ascii="Arial" w:hAnsi="Arial" w:eastAsia="Arial"/>
          <w:sz w:val="16"/>
        </w:rPr>
        <w:t>D. Explain the competence limit and clinical rationale, identify qualified and accessible options, obtain consent for a warm handoff, continue appropriate support during transition, and follow up.</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D. Explain the competence limit and clinical rationale, identify qualified and accessible options, obtain consent for a warm handoff, continue appropriate support during transition, and follow up.</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A brief overview does not establish competence for independent delivery of a specialized treatment.</w:t>
      </w:r>
      <w:r>
        <w:rPr>
          <w:rFonts w:ascii="Arial" w:hAnsi="Arial" w:eastAsia="Arial"/>
          <w:sz w:val="16"/>
        </w:rPr>
      </w:r>
    </w:p>
    <w:p>
      <w:pPr>
        <w:spacing w:after="20" w:before="0" w:line="240" w:lineRule="auto"/>
      </w:pPr>
      <w:r>
        <w:rPr>
          <w:rFonts w:ascii="Arial" w:hAnsi="Arial" w:eastAsia="Arial"/>
          <w:b/>
          <w:color w:val="17365D"/>
          <w:sz w:val="16"/>
        </w:rPr>
        <w:t>B. Incorrect. Immediate closure can create a gap in care when the counselor can still provide appropriate support during transition.</w:t>
      </w:r>
      <w:r>
        <w:rPr>
          <w:rFonts w:ascii="Arial" w:hAnsi="Arial" w:eastAsia="Arial"/>
          <w:sz w:val="16"/>
        </w:rPr>
      </w:r>
    </w:p>
    <w:p>
      <w:pPr>
        <w:spacing w:after="20" w:before="0" w:line="240" w:lineRule="auto"/>
      </w:pPr>
      <w:r>
        <w:rPr>
          <w:rFonts w:ascii="Arial" w:hAnsi="Arial" w:eastAsia="Arial"/>
          <w:b/>
          <w:color w:val="17365D"/>
          <w:sz w:val="16"/>
        </w:rPr>
        <w:t>C. Incorrect. Avoiding the issue delays indicated care and obscures the counselor’s competence boundary.</w:t>
      </w:r>
      <w:r>
        <w:rPr>
          <w:rFonts w:ascii="Arial" w:hAnsi="Arial" w:eastAsia="Arial"/>
          <w:sz w:val="16"/>
        </w:rPr>
      </w:r>
    </w:p>
    <w:p>
      <w:pPr>
        <w:spacing w:after="20" w:before="0" w:line="240" w:lineRule="auto"/>
      </w:pPr>
      <w:r>
        <w:rPr>
          <w:rFonts w:ascii="Arial" w:hAnsi="Arial" w:eastAsia="Arial"/>
          <w:b/>
          <w:color w:val="17365D"/>
          <w:sz w:val="16"/>
        </w:rPr>
        <w:t>D. Correct. The response is transparent, clinically matched, consent-based, access-aware, and continuity preserving.</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When needs exceed competence, the best answer names the limit, connects the client to qualified care, and maintains safe continuity rather than practicing beyond scope or abruptly ending.</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H - HANDOFF referral error. Competence-based referral should be active, respectful, accessible, and followed through.</w:t>
            </w:r>
          </w:p>
        </w:tc>
      </w:tr>
    </w:tbl>
    <w:p>
      <w:r>
        <w:br w:type="page"/>
      </w:r>
    </w:p>
    <w:p>
      <w:pPr>
        <w:pStyle w:val="Heading2"/>
        <w:spacing w:before="0" w:after="60" w:line="245" w:lineRule="auto"/>
        <w:keepNext/>
      </w:pPr>
      <w:r>
        <w:rPr>
          <w:rFonts w:ascii="Arial" w:hAnsi="Arial" w:eastAsia="Arial"/>
          <w:b/>
          <w:color w:val="17365D"/>
          <w:sz w:val="21"/>
        </w:rPr>
        <w:t>Question 13 (LPCC-WB11-PB-Q013)</w:t>
      </w:r>
    </w:p>
    <w:p>
      <w:pPr>
        <w:spacing w:before="0" w:after="40" w:line="245" w:lineRule="auto"/>
      </w:pPr>
      <w:r>
        <w:rPr>
          <w:rFonts w:ascii="Arial" w:hAnsi="Arial" w:eastAsia="Arial"/>
          <w:b/>
          <w:i w:val="0"/>
          <w:color w:val="159C9C"/>
          <w:sz w:val="15"/>
        </w:rPr>
        <w:t>LPCC-WB11-PB-Q013 | Integrated Clinical Reasoning | Difficult | Primary concept: SYSTEM coercion and conjoint-treatment safety</w:t>
      </w:r>
    </w:p>
    <w:p>
      <w:pPr>
        <w:spacing w:before="0" w:after="40" w:line="245" w:lineRule="auto"/>
      </w:pPr>
      <w:r>
        <w:rPr>
          <w:rFonts w:ascii="Arial" w:hAnsi="Arial" w:eastAsia="Arial"/>
          <w:b/>
          <w:i w:val="0"/>
          <w:color w:val="1F2937"/>
          <w:sz w:val="17"/>
        </w:rPr>
        <w:t>Talia says her partner will withdraw childcare unless she agrees to a couple session, and she is not sure she can speak freely with the partner present. What is the BEST counselor response?</w:t>
      </w:r>
    </w:p>
    <w:p>
      <w:pPr>
        <w:spacing w:before="0" w:after="16" w:line="240" w:lineRule="auto"/>
        <w:ind w:left="259" w:hanging="259"/>
      </w:pPr>
      <w:r>
        <w:rPr>
          <w:rFonts w:ascii="Arial" w:hAnsi="Arial" w:eastAsia="Arial"/>
          <w:sz w:val="16"/>
        </w:rPr>
        <w:t>A. Begin conjoint treatment so the counselor can observe the relationship directly.</w:t>
      </w:r>
    </w:p>
    <w:p>
      <w:pPr>
        <w:spacing w:before="0" w:after="16" w:line="240" w:lineRule="auto"/>
        <w:ind w:left="259" w:hanging="259"/>
      </w:pPr>
      <w:r>
        <w:rPr>
          <w:rFonts w:ascii="Arial" w:hAnsi="Arial" w:eastAsia="Arial"/>
          <w:sz w:val="16"/>
        </w:rPr>
        <w:t>B. Ask the partner to promise not to become angry and proceed if the partner agrees.</w:t>
      </w:r>
    </w:p>
    <w:p>
      <w:pPr>
        <w:spacing w:before="0" w:after="16" w:line="240" w:lineRule="auto"/>
        <w:ind w:left="259" w:hanging="259"/>
      </w:pPr>
      <w:r>
        <w:rPr>
          <w:rFonts w:ascii="Arial" w:hAnsi="Arial" w:eastAsia="Arial"/>
          <w:sz w:val="16"/>
        </w:rPr>
        <w:t>C. Continue individual assessment of safety, coercion, retaliation risk, and options; do not begin conjoint work while free participation is uncertain, and offer specialized resources or consultation as indicated.</w:t>
      </w:r>
    </w:p>
    <w:p>
      <w:pPr>
        <w:spacing w:before="0" w:after="16" w:line="240" w:lineRule="auto"/>
        <w:ind w:left="259" w:hanging="259"/>
      </w:pPr>
      <w:r>
        <w:rPr>
          <w:rFonts w:ascii="Arial" w:hAnsi="Arial" w:eastAsia="Arial"/>
          <w:sz w:val="16"/>
        </w:rPr>
        <w:t>D. Tell Talia to end the relationship before counseling can continue.</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C. Continue individual assessment of safety, coercion, retaliation risk, and options; do not begin conjoint work while free participation is uncertain, and offer specialized resources or consultation as indicated.</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Observation does not justify a format in which one person may be unable to speak safely or voluntarily.</w:t>
      </w:r>
      <w:r>
        <w:rPr>
          <w:rFonts w:ascii="Arial" w:hAnsi="Arial" w:eastAsia="Arial"/>
          <w:sz w:val="16"/>
        </w:rPr>
      </w:r>
    </w:p>
    <w:p>
      <w:pPr>
        <w:spacing w:after="20" w:before="0" w:line="240" w:lineRule="auto"/>
      </w:pPr>
      <w:r>
        <w:rPr>
          <w:rFonts w:ascii="Arial" w:hAnsi="Arial" w:eastAsia="Arial"/>
          <w:b/>
          <w:color w:val="17365D"/>
          <w:sz w:val="16"/>
        </w:rPr>
        <w:t>B. Incorrect. A verbal promise does not resolve coercion, retaliation risk, or the inability to participate freely.</w:t>
      </w:r>
      <w:r>
        <w:rPr>
          <w:rFonts w:ascii="Arial" w:hAnsi="Arial" w:eastAsia="Arial"/>
          <w:sz w:val="16"/>
        </w:rPr>
      </w:r>
    </w:p>
    <w:p>
      <w:pPr>
        <w:spacing w:after="20" w:before="0" w:line="240" w:lineRule="auto"/>
      </w:pPr>
      <w:r>
        <w:rPr>
          <w:rFonts w:ascii="Arial" w:hAnsi="Arial" w:eastAsia="Arial"/>
          <w:b/>
          <w:color w:val="17365D"/>
          <w:sz w:val="16"/>
        </w:rPr>
        <w:t>C. Correct. SYSTEM reasoning places safety, voluntariness, and freedom to speak before conjoint treatment and adds specialized support when needed.</w:t>
      </w:r>
      <w:r>
        <w:rPr>
          <w:rFonts w:ascii="Arial" w:hAnsi="Arial" w:eastAsia="Arial"/>
          <w:sz w:val="16"/>
        </w:rPr>
      </w:r>
    </w:p>
    <w:p>
      <w:pPr>
        <w:spacing w:after="20" w:before="0" w:line="240" w:lineRule="auto"/>
      </w:pPr>
      <w:r>
        <w:rPr>
          <w:rFonts w:ascii="Arial" w:hAnsi="Arial" w:eastAsia="Arial"/>
          <w:b/>
          <w:color w:val="17365D"/>
          <w:sz w:val="16"/>
        </w:rPr>
        <w:t>D. Incorrect. The counselor should support assessment and client-centered planning rather than direct a major relationship decision.</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Conjoint treatment is not the first step when coercion, retaliation, or inability to speak freely is present. Choose safety assessment and individual support over forced relational disclosure.</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S - SYSTEM safety error. Relational format requires voluntary, safe participation; systemic thinking does not override individual protection.</w:t>
            </w:r>
          </w:p>
        </w:tc>
      </w:tr>
    </w:tbl>
    <w:p>
      <w:r>
        <w:br w:type="page"/>
      </w:r>
    </w:p>
    <w:p>
      <w:pPr>
        <w:pStyle w:val="Heading2"/>
        <w:spacing w:before="0" w:after="60" w:line="245" w:lineRule="auto"/>
        <w:keepNext/>
      </w:pPr>
      <w:r>
        <w:rPr>
          <w:rFonts w:ascii="Arial" w:hAnsi="Arial" w:eastAsia="Arial"/>
          <w:b/>
          <w:color w:val="17365D"/>
          <w:sz w:val="21"/>
        </w:rPr>
        <w:t>Question 14 (LPCC-WB11-PB-Q014)</w:t>
      </w:r>
    </w:p>
    <w:p>
      <w:pPr>
        <w:spacing w:before="0" w:after="40" w:line="245" w:lineRule="auto"/>
      </w:pPr>
      <w:r>
        <w:rPr>
          <w:rFonts w:ascii="Arial" w:hAnsi="Arial" w:eastAsia="Arial"/>
          <w:b/>
          <w:i w:val="0"/>
          <w:color w:val="159C9C"/>
          <w:sz w:val="15"/>
        </w:rPr>
        <w:t>LPCC-WB11-PB-Q014 | Application | Moderate | Primary concept: Collateral information and confidentiality</w:t>
      </w:r>
    </w:p>
    <w:p>
      <w:pPr>
        <w:spacing w:before="0" w:after="40" w:line="245" w:lineRule="auto"/>
      </w:pPr>
      <w:r>
        <w:rPr>
          <w:rFonts w:ascii="Arial" w:hAnsi="Arial" w:eastAsia="Arial"/>
          <w:b/>
          <w:i w:val="0"/>
          <w:color w:val="1F2937"/>
          <w:sz w:val="17"/>
        </w:rPr>
        <w:t>Talia’s partner sends an unsolicited email accusing her of exaggerating symptoms and asks for copies of her records. Talia has not authorized disclosure. What is the BEST counselor response?</w:t>
      </w:r>
    </w:p>
    <w:p>
      <w:pPr>
        <w:spacing w:before="0" w:after="16" w:line="240" w:lineRule="auto"/>
        <w:ind w:left="259" w:hanging="259"/>
      </w:pPr>
      <w:r>
        <w:rPr>
          <w:rFonts w:ascii="Arial" w:hAnsi="Arial" w:eastAsia="Arial"/>
          <w:sz w:val="16"/>
        </w:rPr>
        <w:t>A. Send a summary to correct the partner’s misunderstanding because the partner provided information first.</w:t>
      </w:r>
    </w:p>
    <w:p>
      <w:pPr>
        <w:spacing w:before="0" w:after="16" w:line="240" w:lineRule="auto"/>
        <w:ind w:left="259" w:hanging="259"/>
      </w:pPr>
      <w:r>
        <w:rPr>
          <w:rFonts w:ascii="Arial" w:hAnsi="Arial" w:eastAsia="Arial"/>
          <w:sz w:val="16"/>
        </w:rPr>
        <w:t>B. Do not disclose client information; document the source and content as collateral information, assess its relevance and impact with Talia, and clarify any future contact or authorization boundaries.</w:t>
      </w:r>
    </w:p>
    <w:p>
      <w:pPr>
        <w:spacing w:before="0" w:after="16" w:line="240" w:lineRule="auto"/>
        <w:ind w:left="259" w:hanging="259"/>
      </w:pPr>
      <w:r>
        <w:rPr>
          <w:rFonts w:ascii="Arial" w:hAnsi="Arial" w:eastAsia="Arial"/>
          <w:sz w:val="16"/>
        </w:rPr>
        <w:t>C. Promise the partner that the email will remain secret from Talia and add it to the clinical record.</w:t>
      </w:r>
    </w:p>
    <w:p>
      <w:pPr>
        <w:spacing w:before="0" w:after="16" w:line="240" w:lineRule="auto"/>
        <w:ind w:left="259" w:hanging="259"/>
      </w:pPr>
      <w:r>
        <w:rPr>
          <w:rFonts w:ascii="Arial" w:hAnsi="Arial" w:eastAsia="Arial"/>
          <w:sz w:val="16"/>
        </w:rPr>
        <w:t>D. Delete the email without reviewing it because unauthorized collateral information can never be clinically relevant.</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B. Do not disclose client information; document the source and content as collateral information, assess its relevance and impact with Talia, and clarify any future contact or authorization boundaries.</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Receiving information does not authorize the counselor to disclose protected client information in return.</w:t>
      </w:r>
      <w:r>
        <w:rPr>
          <w:rFonts w:ascii="Arial" w:hAnsi="Arial" w:eastAsia="Arial"/>
          <w:sz w:val="16"/>
        </w:rPr>
      </w:r>
    </w:p>
    <w:p>
      <w:pPr>
        <w:spacing w:after="20" w:before="0" w:line="240" w:lineRule="auto"/>
      </w:pPr>
      <w:r>
        <w:rPr>
          <w:rFonts w:ascii="Arial" w:hAnsi="Arial" w:eastAsia="Arial"/>
          <w:b/>
          <w:color w:val="17365D"/>
          <w:sz w:val="16"/>
        </w:rPr>
        <w:t>B. Correct. The counselor distinguishes receipt from disclosure, identifies the source, evaluates relevance with the client, and maintains authorization boundaries.</w:t>
      </w:r>
      <w:r>
        <w:rPr>
          <w:rFonts w:ascii="Arial" w:hAnsi="Arial" w:eastAsia="Arial"/>
          <w:sz w:val="16"/>
        </w:rPr>
      </w:r>
    </w:p>
    <w:p>
      <w:pPr>
        <w:spacing w:after="20" w:before="0" w:line="240" w:lineRule="auto"/>
      </w:pPr>
      <w:r>
        <w:rPr>
          <w:rFonts w:ascii="Arial" w:hAnsi="Arial" w:eastAsia="Arial"/>
          <w:b/>
          <w:color w:val="17365D"/>
          <w:sz w:val="16"/>
        </w:rPr>
        <w:t>C. Incorrect. The counselor should not promise secrecy that may conflict with treatment, documentation, safety, or client access rights.</w:t>
      </w:r>
      <w:r>
        <w:rPr>
          <w:rFonts w:ascii="Arial" w:hAnsi="Arial" w:eastAsia="Arial"/>
          <w:sz w:val="16"/>
        </w:rPr>
      </w:r>
    </w:p>
    <w:p>
      <w:pPr>
        <w:spacing w:after="20" w:before="0" w:line="240" w:lineRule="auto"/>
      </w:pPr>
      <w:r>
        <w:rPr>
          <w:rFonts w:ascii="Arial" w:hAnsi="Arial" w:eastAsia="Arial"/>
          <w:b/>
          <w:color w:val="17365D"/>
          <w:sz w:val="16"/>
        </w:rPr>
        <w:t>D. Incorrect. Unsolicited information may still be relevant; it should be handled carefully rather than automatically erased or treated as fact.</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Collateral questions often test the difference between receiving information and releasing information. Label the source, protect disclosure, and assess relevance without letting the collateral replace direct client assessment.</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C - Consent and collateral-information error. A counselor may receive information without gaining permission to disclose or treating the report as verified fact.</w:t>
            </w:r>
          </w:p>
        </w:tc>
      </w:tr>
    </w:tbl>
    <w:p>
      <w:r>
        <w:br w:type="page"/>
      </w:r>
    </w:p>
    <w:p>
      <w:pPr>
        <w:pStyle w:val="Heading2"/>
        <w:spacing w:before="0" w:after="60" w:line="245" w:lineRule="auto"/>
        <w:keepNext/>
      </w:pPr>
      <w:r>
        <w:rPr>
          <w:rFonts w:ascii="Arial" w:hAnsi="Arial" w:eastAsia="Arial"/>
          <w:b/>
          <w:color w:val="17365D"/>
          <w:sz w:val="21"/>
        </w:rPr>
        <w:t>Question 15 (LPCC-WB11-PB-Q015)</w:t>
      </w:r>
    </w:p>
    <w:p>
      <w:pPr>
        <w:spacing w:before="0" w:after="40" w:line="245" w:lineRule="auto"/>
      </w:pPr>
      <w:r>
        <w:rPr>
          <w:rFonts w:ascii="Arial" w:hAnsi="Arial" w:eastAsia="Arial"/>
          <w:b/>
          <w:i w:val="0"/>
          <w:color w:val="159C9C"/>
          <w:sz w:val="15"/>
        </w:rPr>
        <w:t>LPCC-WB11-PB-Q015 | Integrated Clinical Reasoning | Difficult | Primary concept: TEAM conflicting recommendations and authority</w:t>
      </w:r>
    </w:p>
    <w:p>
      <w:pPr>
        <w:spacing w:before="0" w:after="40" w:line="245" w:lineRule="auto"/>
      </w:pPr>
      <w:r>
        <w:rPr>
          <w:rFonts w:ascii="Arial" w:hAnsi="Arial" w:eastAsia="Arial"/>
          <w:b/>
          <w:i w:val="0"/>
          <w:color w:val="1F2937"/>
          <w:sz w:val="17"/>
        </w:rPr>
        <w:t>The primary-care clinician identifies a possible thyroid problem, the prescriber is considering a medication change, and the group leader recommends a higher level of care after one panic episode. Talia’s current risk is low and she wants to understand the options. What should the counselor do FIRST?</w:t>
      </w:r>
    </w:p>
    <w:p>
      <w:pPr>
        <w:spacing w:before="0" w:after="16" w:line="240" w:lineRule="auto"/>
        <w:ind w:left="259" w:hanging="259"/>
      </w:pPr>
      <w:r>
        <w:rPr>
          <w:rFonts w:ascii="Arial" w:hAnsi="Arial" w:eastAsia="Arial"/>
          <w:sz w:val="16"/>
        </w:rPr>
        <w:t>A. Follow the group leader’s recommendation because higher care is always safest.</w:t>
      </w:r>
    </w:p>
    <w:p>
      <w:pPr>
        <w:spacing w:before="0" w:after="16" w:line="240" w:lineRule="auto"/>
        <w:ind w:left="259" w:hanging="259"/>
      </w:pPr>
      <w:r>
        <w:rPr>
          <w:rFonts w:ascii="Arial" w:hAnsi="Arial" w:eastAsia="Arial"/>
          <w:sz w:val="16"/>
        </w:rPr>
        <w:t>B. Tell Talia to choose one professional’s plan and stop communicating with the others.</w:t>
      </w:r>
    </w:p>
    <w:p>
      <w:pPr>
        <w:spacing w:before="0" w:after="16" w:line="240" w:lineRule="auto"/>
        <w:ind w:left="259" w:hanging="259"/>
      </w:pPr>
      <w:r>
        <w:rPr>
          <w:rFonts w:ascii="Arial" w:hAnsi="Arial" w:eastAsia="Arial"/>
          <w:sz w:val="16"/>
        </w:rPr>
        <w:t>C. Continue the existing plan and wait until the professionals agree on their own.</w:t>
      </w:r>
    </w:p>
    <w:p>
      <w:pPr>
        <w:spacing w:before="0" w:after="16" w:line="240" w:lineRule="auto"/>
        <w:ind w:left="259" w:hanging="259"/>
      </w:pPr>
      <w:r>
        <w:rPr>
          <w:rFonts w:ascii="Arial" w:hAnsi="Arial" w:eastAsia="Arial"/>
          <w:sz w:val="16"/>
        </w:rPr>
        <w:t>D. Clarify the current evidence and rationale from each source, reassess safety and functioning, center Talia’s goals and preferences, define decision roles, and coordinate a time-limited integrated plan with follow-up.</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D. Clarify the current evidence and rationale from each source, reassess safety and functioning, center Talia’s goals and preferences, define decision roles, and coordinate a time-limited integrated plan with follow-up.</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Higher intensity is not automatically the best fit and should be based on current clinical evidence and level-of-care criteria.</w:t>
      </w:r>
      <w:r>
        <w:rPr>
          <w:rFonts w:ascii="Arial" w:hAnsi="Arial" w:eastAsia="Arial"/>
          <w:sz w:val="16"/>
        </w:rPr>
      </w:r>
    </w:p>
    <w:p>
      <w:pPr>
        <w:spacing w:after="20" w:before="0" w:line="240" w:lineRule="auto"/>
      </w:pPr>
      <w:r>
        <w:rPr>
          <w:rFonts w:ascii="Arial" w:hAnsi="Arial" w:eastAsia="Arial"/>
          <w:b/>
          <w:color w:val="17365D"/>
          <w:sz w:val="16"/>
        </w:rPr>
        <w:t>B. Incorrect. This shifts unresolved professional conflict to the client and can fragment care.</w:t>
      </w:r>
      <w:r>
        <w:rPr>
          <w:rFonts w:ascii="Arial" w:hAnsi="Arial" w:eastAsia="Arial"/>
          <w:sz w:val="16"/>
        </w:rPr>
      </w:r>
    </w:p>
    <w:p>
      <w:pPr>
        <w:spacing w:after="20" w:before="0" w:line="240" w:lineRule="auto"/>
      </w:pPr>
      <w:r>
        <w:rPr>
          <w:rFonts w:ascii="Arial" w:hAnsi="Arial" w:eastAsia="Arial"/>
          <w:b/>
          <w:color w:val="17365D"/>
          <w:sz w:val="16"/>
        </w:rPr>
        <w:t>C. Incorrect. Passive waiting leaves medical, medication, and level-of-care questions uncoordinated.</w:t>
      </w:r>
      <w:r>
        <w:rPr>
          <w:rFonts w:ascii="Arial" w:hAnsi="Arial" w:eastAsia="Arial"/>
          <w:sz w:val="16"/>
        </w:rPr>
      </w:r>
    </w:p>
    <w:p>
      <w:pPr>
        <w:spacing w:after="20" w:before="0" w:line="240" w:lineRule="auto"/>
      </w:pPr>
      <w:r>
        <w:rPr>
          <w:rFonts w:ascii="Arial" w:hAnsi="Arial" w:eastAsia="Arial"/>
          <w:b/>
          <w:color w:val="17365D"/>
          <w:sz w:val="16"/>
        </w:rPr>
        <w:t>D. Correct. The counselor integrates current evidence, client preference, safety, role authority, and accountable follow-up before finalizing the plan.</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Conflicting-team items favor clarification before conclusion. Reassess the client, understand each rationale, identify who decides what, and build one coordinated plan.</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T - TEAM integration error. The counselor coordinates evidence and roles rather than defaulting to hierarchy, intensity, or parallel disagreement.</w:t>
            </w:r>
          </w:p>
        </w:tc>
      </w:tr>
    </w:tbl>
    <w:p>
      <w:r>
        <w:br w:type="page"/>
      </w:r>
    </w:p>
    <w:p>
      <w:pPr>
        <w:pStyle w:val="Heading2"/>
        <w:spacing w:before="0" w:after="60" w:line="245" w:lineRule="auto"/>
        <w:keepNext/>
      </w:pPr>
      <w:r>
        <w:rPr>
          <w:rFonts w:ascii="Arial" w:hAnsi="Arial" w:eastAsia="Arial"/>
          <w:b/>
          <w:color w:val="17365D"/>
          <w:sz w:val="21"/>
        </w:rPr>
        <w:t>Question 16 (LPCC-WB11-PB-Q016)</w:t>
      </w:r>
    </w:p>
    <w:p>
      <w:pPr>
        <w:spacing w:before="0" w:after="40" w:line="245" w:lineRule="auto"/>
      </w:pPr>
      <w:r>
        <w:rPr>
          <w:rFonts w:ascii="Arial" w:hAnsi="Arial" w:eastAsia="Arial"/>
          <w:b/>
          <w:i w:val="0"/>
          <w:color w:val="159C9C"/>
          <w:sz w:val="15"/>
        </w:rPr>
        <w:t>LPCC-WB11-PB-Q016 | Integrated Clinical Reasoning | Difficult | Primary concept: HANDOFF barrier repair and continuity</w:t>
      </w:r>
    </w:p>
    <w:p>
      <w:pPr>
        <w:spacing w:before="0" w:after="40" w:line="245" w:lineRule="auto"/>
      </w:pPr>
      <w:r>
        <w:rPr>
          <w:rFonts w:ascii="Arial" w:hAnsi="Arial" w:eastAsia="Arial"/>
          <w:b/>
          <w:i w:val="0"/>
          <w:color w:val="1F2937"/>
          <w:sz w:val="17"/>
        </w:rPr>
        <w:t>Talia misses the specialty trauma intake because the appointment conflicts with childcare and the clinic later reports that her insurance is not accepted. What is the BEST counselor response?</w:t>
      </w:r>
    </w:p>
    <w:p>
      <w:pPr>
        <w:spacing w:before="0" w:after="16" w:line="240" w:lineRule="auto"/>
        <w:ind w:left="259" w:hanging="259"/>
      </w:pPr>
      <w:r>
        <w:rPr>
          <w:rFonts w:ascii="Arial" w:hAnsi="Arial" w:eastAsia="Arial"/>
          <w:sz w:val="16"/>
        </w:rPr>
        <w:t>A. Document noncompliance and close the referral because Talia did not attend.</w:t>
      </w:r>
    </w:p>
    <w:p>
      <w:pPr>
        <w:spacing w:before="0" w:after="16" w:line="240" w:lineRule="auto"/>
        <w:ind w:left="259" w:hanging="259"/>
      </w:pPr>
      <w:r>
        <w:rPr>
          <w:rFonts w:ascii="Arial" w:hAnsi="Arial" w:eastAsia="Arial"/>
          <w:sz w:val="16"/>
        </w:rPr>
        <w:t>B. End current treatment so Talia is more motivated to locate specialty care.</w:t>
      </w:r>
    </w:p>
    <w:p>
      <w:pPr>
        <w:spacing w:before="0" w:after="16" w:line="240" w:lineRule="auto"/>
        <w:ind w:left="259" w:hanging="259"/>
      </w:pPr>
      <w:r>
        <w:rPr>
          <w:rFonts w:ascii="Arial" w:hAnsi="Arial" w:eastAsia="Arial"/>
          <w:sz w:val="16"/>
        </w:rPr>
        <w:t>C. Explore the barriers without blame, identify alternate qualified and accessible options, use authorized coordination or rescheduling, continue appropriate current support, and verify whether the next connection succeeds.</w:t>
      </w:r>
    </w:p>
    <w:p>
      <w:pPr>
        <w:spacing w:before="0" w:after="16" w:line="240" w:lineRule="auto"/>
        <w:ind w:left="259" w:hanging="259"/>
      </w:pPr>
      <w:r>
        <w:rPr>
          <w:rFonts w:ascii="Arial" w:hAnsi="Arial" w:eastAsia="Arial"/>
          <w:sz w:val="16"/>
        </w:rPr>
        <w:t>D. Continue current counseling indefinitely and stop discussing the specialty need.</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C. Explore the barriers without blame, identify alternate qualified and accessible options, use authorized coordination or rescheduling, continue appropriate current support, and verify whether the next connection succeeds.</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The missed appointment reflects concrete access barriers, not sufficient evidence of unwillingness or noncompliance.</w:t>
      </w:r>
      <w:r>
        <w:rPr>
          <w:rFonts w:ascii="Arial" w:hAnsi="Arial" w:eastAsia="Arial"/>
          <w:sz w:val="16"/>
        </w:rPr>
      </w:r>
    </w:p>
    <w:p>
      <w:pPr>
        <w:spacing w:after="20" w:before="0" w:line="240" w:lineRule="auto"/>
      </w:pPr>
      <w:r>
        <w:rPr>
          <w:rFonts w:ascii="Arial" w:hAnsi="Arial" w:eastAsia="Arial"/>
          <w:b/>
          <w:color w:val="17365D"/>
          <w:sz w:val="16"/>
        </w:rPr>
        <w:t>B. Incorrect. Removing current support may increase risk and does not solve childcare or insurance barriers.</w:t>
      </w:r>
      <w:r>
        <w:rPr>
          <w:rFonts w:ascii="Arial" w:hAnsi="Arial" w:eastAsia="Arial"/>
          <w:sz w:val="16"/>
        </w:rPr>
      </w:r>
    </w:p>
    <w:p>
      <w:pPr>
        <w:spacing w:after="20" w:before="0" w:line="240" w:lineRule="auto"/>
      </w:pPr>
      <w:r>
        <w:rPr>
          <w:rFonts w:ascii="Arial" w:hAnsi="Arial" w:eastAsia="Arial"/>
          <w:b/>
          <w:color w:val="17365D"/>
          <w:sz w:val="16"/>
        </w:rPr>
        <w:t>C. Correct. HANDOFF follow-up treats the failed connection as a clinical problem to solve while preserving continuity and the referral’s purpose.</w:t>
      </w:r>
      <w:r>
        <w:rPr>
          <w:rFonts w:ascii="Arial" w:hAnsi="Arial" w:eastAsia="Arial"/>
          <w:sz w:val="16"/>
        </w:rPr>
      </w:r>
    </w:p>
    <w:p>
      <w:pPr>
        <w:spacing w:after="20" w:before="0" w:line="240" w:lineRule="auto"/>
      </w:pPr>
      <w:r>
        <w:rPr>
          <w:rFonts w:ascii="Arial" w:hAnsi="Arial" w:eastAsia="Arial"/>
          <w:b/>
          <w:color w:val="17365D"/>
          <w:sz w:val="16"/>
        </w:rPr>
        <w:t>D. Incorrect. Supportive care can continue, but the unmet specialty need still requires active planning and follow-up.</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A failed referral is not the end of the process. Choose barrier assessment, alternate options, authorized coordination, continuity, and confirmation of connection.</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F - Follow-up and continuity error. Referral success is measured by actual connection and usable care, not by whether a recommendation was documented.</w:t>
            </w:r>
          </w:p>
        </w:tc>
      </w:tr>
    </w:tbl>
    <w:p>
      <w:r>
        <w:br w:type="page"/>
      </w:r>
    </w:p>
    <w:p>
      <w:pPr>
        <w:pStyle w:val="Heading2"/>
        <w:spacing w:before="0" w:after="60" w:line="245" w:lineRule="auto"/>
        <w:keepNext/>
      </w:pPr>
      <w:r>
        <w:rPr>
          <w:rFonts w:ascii="Arial" w:hAnsi="Arial" w:eastAsia="Arial"/>
          <w:b/>
          <w:color w:val="17365D"/>
          <w:sz w:val="21"/>
        </w:rPr>
        <w:t>Question 17 (LPCC-WB11-PB-Q017)</w:t>
      </w:r>
    </w:p>
    <w:p>
      <w:pPr>
        <w:spacing w:before="0" w:after="40" w:line="245" w:lineRule="auto"/>
      </w:pPr>
      <w:r>
        <w:rPr>
          <w:rFonts w:ascii="Arial" w:hAnsi="Arial" w:eastAsia="Arial"/>
          <w:b/>
          <w:i w:val="0"/>
          <w:color w:val="159C9C"/>
          <w:sz w:val="15"/>
        </w:rPr>
        <w:t>LPCC-WB11-PB-Q017 | Integrated Clinical Reasoning | Difficult | Primary concept: TEAM consent-limited coordination plan</w:t>
      </w:r>
    </w:p>
    <w:p>
      <w:pPr>
        <w:spacing w:before="0" w:after="40" w:line="245" w:lineRule="auto"/>
      </w:pPr>
      <w:r>
        <w:rPr>
          <w:rFonts w:ascii="Arial" w:hAnsi="Arial" w:eastAsia="Arial"/>
          <w:b/>
          <w:i w:val="0"/>
          <w:color w:val="1F2937"/>
          <w:sz w:val="17"/>
        </w:rPr>
        <w:t>Talia authorizes limited coordination with her primary-care clinician, prescriber, and trauma clinic, but not her partner or employer. Which plan is BEST?</w:t>
      </w:r>
    </w:p>
    <w:p>
      <w:pPr>
        <w:spacing w:before="0" w:after="16" w:line="240" w:lineRule="auto"/>
        <w:ind w:left="259" w:hanging="259"/>
      </w:pPr>
      <w:r>
        <w:rPr>
          <w:rFonts w:ascii="Arial" w:hAnsi="Arial" w:eastAsia="Arial"/>
          <w:sz w:val="16"/>
        </w:rPr>
        <w:t>A. Clarify each purpose and role, document specific authorization, share only relevant information, assign tasks and follow-up responsibility, monitor medical and referral outcomes, and maintain counseling continuity within competence.</w:t>
      </w:r>
    </w:p>
    <w:p>
      <w:pPr>
        <w:spacing w:before="0" w:after="16" w:line="240" w:lineRule="auto"/>
        <w:ind w:left="259" w:hanging="259"/>
      </w:pPr>
      <w:r>
        <w:rPr>
          <w:rFonts w:ascii="Arial" w:hAnsi="Arial" w:eastAsia="Arial"/>
          <w:sz w:val="16"/>
        </w:rPr>
        <w:t>B. Send the full psychotherapy record to every authorized professional so the team has complete information.</w:t>
      </w:r>
    </w:p>
    <w:p>
      <w:pPr>
        <w:spacing w:before="0" w:after="16" w:line="240" w:lineRule="auto"/>
        <w:ind w:left="259" w:hanging="259"/>
      </w:pPr>
      <w:r>
        <w:rPr>
          <w:rFonts w:ascii="Arial" w:hAnsi="Arial" w:eastAsia="Arial"/>
          <w:sz w:val="16"/>
        </w:rPr>
        <w:t>C. Include the partner because relationship stress is clinically relevant even without authorization.</w:t>
      </w:r>
    </w:p>
    <w:p>
      <w:pPr>
        <w:spacing w:before="0" w:after="16" w:line="240" w:lineRule="auto"/>
        <w:ind w:left="259" w:hanging="259"/>
      </w:pPr>
      <w:r>
        <w:rPr>
          <w:rFonts w:ascii="Arial" w:hAnsi="Arial" w:eastAsia="Arial"/>
          <w:sz w:val="16"/>
        </w:rPr>
        <w:t>D. Transfer all responsibility to the medical team and discontinue counseling once the first message is sent.</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A. Clarify each purpose and role, document specific authorization, share only relevant information, assign tasks and follow-up responsibility, monitor medical and referral outcomes, and maintain counseling continuity within competence.</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Correct. TEAM reasoning protects client control and confidentiality while creating defined, accountable coordination and continued care.</w:t>
      </w:r>
      <w:r>
        <w:rPr>
          <w:rFonts w:ascii="Arial" w:hAnsi="Arial" w:eastAsia="Arial"/>
          <w:sz w:val="16"/>
        </w:rPr>
      </w:r>
    </w:p>
    <w:p>
      <w:pPr>
        <w:spacing w:after="20" w:before="0" w:line="240" w:lineRule="auto"/>
      </w:pPr>
      <w:r>
        <w:rPr>
          <w:rFonts w:ascii="Arial" w:hAnsi="Arial" w:eastAsia="Arial"/>
          <w:b/>
          <w:color w:val="17365D"/>
          <w:sz w:val="16"/>
        </w:rPr>
        <w:t>B. Incorrect. Authorization for coordination does not automatically require or justify the full record; disclosure should match the purpose.</w:t>
      </w:r>
      <w:r>
        <w:rPr>
          <w:rFonts w:ascii="Arial" w:hAnsi="Arial" w:eastAsia="Arial"/>
          <w:sz w:val="16"/>
        </w:rPr>
      </w:r>
    </w:p>
    <w:p>
      <w:pPr>
        <w:spacing w:after="20" w:before="0" w:line="240" w:lineRule="auto"/>
      </w:pPr>
      <w:r>
        <w:rPr>
          <w:rFonts w:ascii="Arial" w:hAnsi="Arial" w:eastAsia="Arial"/>
          <w:b/>
          <w:color w:val="17365D"/>
          <w:sz w:val="16"/>
        </w:rPr>
        <w:t>C. Incorrect. Clinical relevance does not override Talia’s stated authorization boundary.</w:t>
      </w:r>
      <w:r>
        <w:rPr>
          <w:rFonts w:ascii="Arial" w:hAnsi="Arial" w:eastAsia="Arial"/>
          <w:sz w:val="16"/>
        </w:rPr>
      </w:r>
    </w:p>
    <w:p>
      <w:pPr>
        <w:spacing w:after="20" w:before="0" w:line="240" w:lineRule="auto"/>
      </w:pPr>
      <w:r>
        <w:rPr>
          <w:rFonts w:ascii="Arial" w:hAnsi="Arial" w:eastAsia="Arial"/>
          <w:b/>
          <w:color w:val="17365D"/>
          <w:sz w:val="16"/>
        </w:rPr>
        <w:t>D. Incorrect. Coordination does not require abandoning the counseling role when ongoing services remain appropriate and within competence.</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The best coordination answer specifies authorization, purpose, minimum necessary information, defined tasks, follow-up, and continuity. Avoid broad disclosure and role abandonment.</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T - TEAM integration error. Collaboration is effective when roles, disclosures, responsibility, and follow-up are explicit and client-controlled.</w:t>
            </w:r>
          </w:p>
        </w:tc>
      </w:tr>
    </w:tbl>
    <w:p>
      <w:r>
        <w:br w:type="page"/>
      </w:r>
    </w:p>
    <w:p>
      <w:pPr>
        <w:pStyle w:val="Heading1"/>
        <w:spacing w:before="0" w:after="60" w:line="245" w:lineRule="auto"/>
        <w:keepNext/>
      </w:pPr>
      <w:r>
        <w:rPr>
          <w:rFonts w:ascii="Arial" w:hAnsi="Arial" w:eastAsia="Arial"/>
          <w:b/>
          <w:color w:val="159C9C"/>
          <w:sz w:val="28"/>
        </w:rPr>
        <w:t>Scoring and Error Analysis</w:t>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6336"/>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Scoring Area</w:t>
            </w:r>
          </w:p>
        </w:tc>
        <w:tc>
          <w:tcPr>
            <w:tcW w:type="dxa" w:w="374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Result</w:t>
            </w:r>
          </w:p>
        </w:tc>
      </w:tr>
      <w:tr>
        <w:trPr>
          <w:cantSplit/>
          <w:trHeight w:val="403"/>
        </w:trPr>
        <w:tc>
          <w:tcPr>
            <w:tcW w:type="dxa" w:w="63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Raw score</w:t>
            </w:r>
          </w:p>
        </w:tc>
        <w:tc>
          <w:tcPr>
            <w:tcW w:type="dxa" w:w="37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17</w:t>
            </w:r>
          </w:p>
        </w:tc>
      </w:tr>
      <w:tr>
        <w:trPr>
          <w:cantSplit/>
          <w:trHeight w:val="403"/>
        </w:trPr>
        <w:tc>
          <w:tcPr>
            <w:tcW w:type="dxa" w:w="63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Easy</w:t>
            </w:r>
          </w:p>
        </w:tc>
        <w:tc>
          <w:tcPr>
            <w:tcW w:type="dxa" w:w="374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5</w:t>
            </w:r>
          </w:p>
        </w:tc>
      </w:tr>
      <w:tr>
        <w:trPr>
          <w:cantSplit/>
          <w:trHeight w:val="403"/>
        </w:trPr>
        <w:tc>
          <w:tcPr>
            <w:tcW w:type="dxa" w:w="63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Moderate</w:t>
            </w:r>
          </w:p>
        </w:tc>
        <w:tc>
          <w:tcPr>
            <w:tcW w:type="dxa" w:w="37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7</w:t>
            </w:r>
          </w:p>
        </w:tc>
      </w:tr>
      <w:tr>
        <w:trPr>
          <w:cantSplit/>
          <w:trHeight w:val="403"/>
        </w:trPr>
        <w:tc>
          <w:tcPr>
            <w:tcW w:type="dxa" w:w="63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Difficult</w:t>
            </w:r>
          </w:p>
        </w:tc>
        <w:tc>
          <w:tcPr>
            <w:tcW w:type="dxa" w:w="374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5</w:t>
            </w:r>
          </w:p>
        </w:tc>
      </w:tr>
      <w:tr>
        <w:trPr>
          <w:cantSplit/>
          <w:trHeight w:val="403"/>
        </w:trPr>
        <w:tc>
          <w:tcPr>
            <w:tcW w:type="dxa" w:w="63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High-confidence incorrect</w:t>
            </w:r>
          </w:p>
        </w:tc>
        <w:tc>
          <w:tcPr>
            <w:tcW w:type="dxa" w:w="37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w:t>
            </w:r>
          </w:p>
        </w:tc>
      </w:tr>
      <w:tr>
        <w:trPr>
          <w:cantSplit/>
          <w:trHeight w:val="403"/>
        </w:trPr>
        <w:tc>
          <w:tcPr>
            <w:tcW w:type="dxa" w:w="63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Low-confidence correct</w:t>
            </w:r>
          </w:p>
        </w:tc>
        <w:tc>
          <w:tcPr>
            <w:tcW w:type="dxa" w:w="374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w:t>
            </w:r>
          </w:p>
        </w:tc>
      </w:tr>
      <w:tr>
        <w:trPr>
          <w:cantSplit/>
          <w:trHeight w:val="403"/>
        </w:trPr>
        <w:tc>
          <w:tcPr>
            <w:tcW w:type="dxa" w:w="63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Case Questions 6-17</w:t>
            </w:r>
          </w:p>
        </w:tc>
        <w:tc>
          <w:tcPr>
            <w:tcW w:type="dxa" w:w="37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12</w:t>
            </w:r>
          </w:p>
        </w:tc>
      </w:tr>
      <w:tr>
        <w:trPr>
          <w:cantSplit/>
          <w:trHeight w:val="403"/>
        </w:trPr>
        <w:tc>
          <w:tcPr>
            <w:tcW w:type="dxa" w:w="63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Targeted Questions 1-5</w:t>
            </w:r>
          </w:p>
        </w:tc>
        <w:tc>
          <w:tcPr>
            <w:tcW w:type="dxa" w:w="374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5</w:t>
            </w:r>
          </w:p>
        </w:tc>
      </w:tr>
    </w:tbl>
    <w:p>
      <w:pPr>
        <w:pStyle w:val="Heading2"/>
        <w:spacing w:before="0" w:after="60" w:line="245" w:lineRule="auto"/>
        <w:keepNext/>
      </w:pPr>
      <w:r>
        <w:rPr>
          <w:rFonts w:ascii="Arial" w:hAnsi="Arial" w:eastAsia="Arial"/>
          <w:b/>
          <w:color w:val="17365D"/>
          <w:sz w:val="21"/>
        </w:rPr>
        <w:t>Workbook 11 Error-Code Guide</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648"/>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Code</w:t>
            </w:r>
          </w:p>
        </w:tc>
        <w:tc>
          <w:tcPr>
            <w:tcW w:type="dxa" w:w="302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Meaning</w:t>
            </w:r>
          </w:p>
        </w:tc>
        <w:tc>
          <w:tcPr>
            <w:tcW w:type="dxa" w:w="6408"/>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Remediation Question</w:t>
            </w:r>
          </w:p>
        </w:tc>
      </w:tr>
      <w:tr>
        <w:trPr>
          <w:cantSplit/>
        </w:trPr>
        <w:tc>
          <w:tcPr>
            <w:tcW w:type="dxa" w:w="64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 selection error</w:t>
            </w:r>
          </w:p>
        </w:tc>
        <w:tc>
          <w:tcPr>
            <w:tcW w:type="dxa" w:w="64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match modality to clinical purpose, safety, preference, access, evidence, and competence rather than habit?</w:t>
            </w:r>
          </w:p>
        </w:tc>
      </w:tr>
      <w:tr>
        <w:trPr>
          <w:cantSplit/>
        </w:trPr>
        <w:tc>
          <w:tcPr>
            <w:tcW w:type="dxa" w:w="64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G</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GROUP preparation or process error</w:t>
            </w:r>
          </w:p>
        </w:tc>
        <w:tc>
          <w:tcPr>
            <w:tcW w:type="dxa" w:w="64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assess fit and readiness for the specific group and respond to group-as-a-whole dynamics?</w:t>
            </w:r>
          </w:p>
        </w:tc>
      </w:tr>
      <w:tr>
        <w:trPr>
          <w:cantSplit/>
        </w:trPr>
        <w:tc>
          <w:tcPr>
            <w:tcW w:type="dxa" w:w="64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S</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SYSTEM role or safety error</w:t>
            </w:r>
          </w:p>
        </w:tc>
        <w:tc>
          <w:tcPr>
            <w:tcW w:type="dxa" w:w="64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clarify the treatment unit, consent, records, competence, coercion, and freedom to participate?</w:t>
            </w:r>
          </w:p>
        </w:tc>
      </w:tr>
      <w:tr>
        <w:trPr>
          <w:cantSplit/>
        </w:trPr>
        <w:tc>
          <w:tcPr>
            <w:tcW w:type="dxa" w:w="64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H</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HANDOFF referral error</w:t>
            </w:r>
          </w:p>
        </w:tc>
        <w:tc>
          <w:tcPr>
            <w:tcW w:type="dxa" w:w="64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explain the need, identify qualified accessible options, connect actively, preserve support, and follow up?</w:t>
            </w:r>
          </w:p>
        </w:tc>
      </w:tr>
      <w:tr>
        <w:trPr>
          <w:cantSplit/>
        </w:trPr>
        <w:tc>
          <w:tcPr>
            <w:tcW w:type="dxa" w:w="64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TEAM integration error</w:t>
            </w:r>
          </w:p>
        </w:tc>
        <w:tc>
          <w:tcPr>
            <w:tcW w:type="dxa" w:w="64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clarify purpose, authorization, roles, evidence, responsibility, and coordinated follow-through?</w:t>
            </w:r>
          </w:p>
        </w:tc>
      </w:tr>
      <w:tr>
        <w:trPr>
          <w:cantSplit/>
        </w:trPr>
        <w:tc>
          <w:tcPr>
            <w:tcW w:type="dxa" w:w="64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Consent and client-identity error</w:t>
            </w:r>
          </w:p>
        </w:tc>
        <w:tc>
          <w:tcPr>
            <w:tcW w:type="dxa" w:w="64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distinguish collateral, participant, support, representative, and separate-client roles before contact or disclosure?</w:t>
            </w:r>
          </w:p>
        </w:tc>
      </w:tr>
      <w:tr>
        <w:trPr>
          <w:cantSplit/>
        </w:trPr>
        <w:tc>
          <w:tcPr>
            <w:tcW w:type="dxa" w:w="64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R</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Role and scope error</w:t>
            </w:r>
          </w:p>
        </w:tc>
        <w:tc>
          <w:tcPr>
            <w:tcW w:type="dxa" w:w="64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stay within counseling competence while coordinating with prescribers, medical clinicians, or specialists?</w:t>
            </w:r>
          </w:p>
        </w:tc>
      </w:tr>
      <w:tr>
        <w:trPr>
          <w:cantSplit/>
        </w:trPr>
        <w:tc>
          <w:tcPr>
            <w:tcW w:type="dxa" w:w="64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F</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Follow-up and continuity error</w:t>
            </w:r>
          </w:p>
        </w:tc>
        <w:tc>
          <w:tcPr>
            <w:tcW w:type="dxa" w:w="64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verify whether the referral or handoff worked and maintain appropriate care during transition?</w:t>
            </w:r>
          </w:p>
        </w:tc>
      </w:tr>
      <w:tr>
        <w:trPr>
          <w:cantSplit/>
        </w:trPr>
        <w:tc>
          <w:tcPr>
            <w:tcW w:type="dxa" w:w="64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Access and barrier error</w:t>
            </w:r>
          </w:p>
        </w:tc>
        <w:tc>
          <w:tcPr>
            <w:tcW w:type="dxa" w:w="64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address insurance, cost, childcare, language, disability, transportation, scheduling, privacy, or technology barriers?</w:t>
            </w:r>
          </w:p>
        </w:tc>
      </w:tr>
      <w:tr>
        <w:trPr>
          <w:cantSplit/>
        </w:trPr>
        <w:tc>
          <w:tcPr>
            <w:tcW w:type="dxa" w:w="64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Priority and continuity error</w:t>
            </w:r>
          </w:p>
        </w:tc>
        <w:tc>
          <w:tcPr>
            <w:tcW w:type="dxa" w:w="64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assess current safety, level of care, medical needs, and post-discharge status before routine treatment steps?</w:t>
            </w:r>
          </w:p>
        </w:tc>
      </w:tr>
    </w:tbl>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INTERPRETATION RULE</w:t>
            </w:r>
          </w:p>
          <w:p>
            <w:pPr>
              <w:spacing w:before="0" w:after="0" w:line="240" w:lineRule="auto"/>
            </w:pPr>
            <w:r>
              <w:rPr>
                <w:rFonts w:ascii="Arial" w:hAnsi="Arial" w:eastAsia="Arial"/>
                <w:color w:val="1F2937"/>
                <w:sz w:val="16"/>
              </w:rPr>
              <w:t>A correct answer with low confidence still deserves review. A repeated error code is more useful than one raw score because it identifies the decision process to change.</w:t>
            </w:r>
          </w:p>
        </w:tc>
      </w:tr>
    </w:tbl>
    <w:p>
      <w:r>
        <w:br w:type="page"/>
      </w:r>
    </w:p>
    <w:p>
      <w:pPr>
        <w:pStyle w:val="Heading1"/>
        <w:spacing w:before="0" w:after="60" w:line="245" w:lineRule="auto"/>
        <w:keepNext/>
      </w:pPr>
      <w:r>
        <w:rPr>
          <w:rFonts w:ascii="Arial" w:hAnsi="Arial" w:eastAsia="Arial"/>
          <w:b/>
          <w:color w:val="159C9C"/>
          <w:sz w:val="28"/>
        </w:rPr>
        <w:t>Remediation Record</w:t>
      </w:r>
    </w:p>
    <w:tbl>
      <w:tblPr>
        <w:tblW w:type="auto" w:w="0"/>
        <w:jc w:val="center"/>
        <w:tblLayout w:type="fixed"/>
        <w:tblLook w:firstColumn="1" w:firstRow="1" w:lastColumn="0" w:lastRow="0" w:noHBand="0" w:noVBand="1" w:val="04A0"/>
      </w:tblPr>
      <w:tblGrid>
        <w:gridCol w:w="2577"/>
        <w:gridCol w:w="2577"/>
        <w:gridCol w:w="2577"/>
        <w:gridCol w:w="2577"/>
      </w:tblGrid>
      <w:tr>
        <w:trPr>
          <w:tblHeader w:val="true"/>
        </w:trPr>
        <w:tc>
          <w:tcPr>
            <w:tcW w:type="dxa" w:w="936"/>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Question</w:t>
            </w:r>
          </w:p>
        </w:tc>
        <w:tc>
          <w:tcPr>
            <w:tcW w:type="dxa" w:w="144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Error Code</w:t>
            </w:r>
          </w:p>
        </w:tc>
        <w:tc>
          <w:tcPr>
            <w:tcW w:type="dxa" w:w="4176"/>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Why My Answer Was Weaker</w:t>
            </w:r>
          </w:p>
        </w:tc>
        <w:tc>
          <w:tcPr>
            <w:tcW w:type="dxa" w:w="3528"/>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Transferable Correction Rule</w:t>
            </w:r>
          </w:p>
        </w:tc>
      </w:tr>
      <w:tr>
        <w:trPr>
          <w:cantSplit/>
          <w:trHeight w:val="691"/>
        </w:trPr>
        <w:tc>
          <w:tcPr>
            <w:tcW w:type="dxa" w:w="9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691"/>
        </w:trPr>
        <w:tc>
          <w:tcPr>
            <w:tcW w:type="dxa" w:w="9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691"/>
        </w:trPr>
        <w:tc>
          <w:tcPr>
            <w:tcW w:type="dxa" w:w="9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691"/>
        </w:trPr>
        <w:tc>
          <w:tcPr>
            <w:tcW w:type="dxa" w:w="9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691"/>
        </w:trPr>
        <w:tc>
          <w:tcPr>
            <w:tcW w:type="dxa" w:w="9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691"/>
        </w:trPr>
        <w:tc>
          <w:tcPr>
            <w:tcW w:type="dxa" w:w="9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bl>
    <w:p>
      <w:pPr>
        <w:pStyle w:val="Heading2"/>
        <w:spacing w:before="0" w:after="60" w:line="245" w:lineRule="auto"/>
        <w:keepNext/>
      </w:pPr>
      <w:r>
        <w:rPr>
          <w:rFonts w:ascii="Arial" w:hAnsi="Arial" w:eastAsia="Arial"/>
          <w:b/>
          <w:color w:val="17365D"/>
          <w:sz w:val="21"/>
        </w:rPr>
        <w:t>Build a New Application Item</w:t>
      </w:r>
    </w:p>
    <w:p>
      <w:pPr>
        <w:pStyle w:val="ListNumber"/>
        <w:spacing w:before="0" w:after="20" w:line="245" w:lineRule="auto"/>
      </w:pPr>
      <w:r>
        <w:rPr>
          <w:rFonts w:ascii="Arial" w:hAnsi="Arial"/>
          <w:sz w:val="16"/>
        </w:rPr>
        <w:t>Select one missed modality, group, relational, referral, continuity, or coordination rule.</w:t>
      </w:r>
    </w:p>
    <w:p>
      <w:pPr>
        <w:pStyle w:val="ListNumber"/>
        <w:spacing w:before="0" w:after="20" w:line="245" w:lineRule="auto"/>
      </w:pPr>
      <w:r>
        <w:rPr>
          <w:rFonts w:ascii="Arial" w:hAnsi="Arial"/>
          <w:sz w:val="16"/>
        </w:rPr>
        <w:t>Write a new two- or three-sentence clinical stem using different client details and enough evidence to identify the service decision.</w:t>
      </w:r>
    </w:p>
    <w:p>
      <w:pPr>
        <w:pStyle w:val="ListNumber"/>
        <w:spacing w:before="0" w:after="20" w:line="245" w:lineRule="auto"/>
      </w:pPr>
      <w:r>
        <w:rPr>
          <w:rFonts w:ascii="Arial" w:hAnsi="Arial"/>
          <w:sz w:val="16"/>
        </w:rPr>
        <w:t>Create one best answer that follows MODE, GROUP, SYSTEM, HANDOFF, or TEAM.</w:t>
      </w:r>
    </w:p>
    <w:p>
      <w:pPr>
        <w:pStyle w:val="ListNumber"/>
        <w:spacing w:before="0" w:after="20" w:line="245" w:lineRule="auto"/>
      </w:pPr>
      <w:r>
        <w:rPr>
          <w:rFonts w:ascii="Arial" w:hAnsi="Arial"/>
          <w:sz w:val="16"/>
        </w:rPr>
        <w:t>Create three plausible distractors: automatic modality, group exclusion, unsafe conjoint work, passive referral, broad disclosure, medication overreach, role diffusion, or no follow-up.</w:t>
      </w:r>
    </w:p>
    <w:p>
      <w:pPr>
        <w:pStyle w:val="ListNumber"/>
        <w:spacing w:before="0" w:after="20" w:line="245" w:lineRule="auto"/>
      </w:pPr>
      <w:r>
        <w:rPr>
          <w:rFonts w:ascii="Arial" w:hAnsi="Arial"/>
          <w:sz w:val="16"/>
        </w:rPr>
        <w:t>Explain why the best answer is stronger through client purpose, safety, consent, access, competence, role clarity, continuity, and measurable follow-through.</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MY NEXT STUDY PRIORITY</w:t>
            </w:r>
          </w:p>
          <w:p>
            <w:pPr>
              <w:spacing w:before="0" w:after="0" w:line="240" w:lineRule="auto"/>
            </w:pPr>
            <w:r>
              <w:rPr>
                <w:rFonts w:ascii="Arial" w:hAnsi="Arial" w:eastAsia="Arial"/>
                <w:color w:val="1F2937"/>
                <w:sz w:val="16"/>
              </w:rPr>
              <w:t>Tool or topic: ________________________________    Review date: ________________</w:t>
              <w:br/>
              <w:t>New practice item or case to complete: _________________________________</w:t>
            </w:r>
          </w:p>
        </w:tc>
      </w:tr>
    </w:tbl>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PROGRESS, NOT A GUARANTEE</w:t>
            </w:r>
          </w:p>
          <w:p>
            <w:pPr>
              <w:spacing w:before="0" w:after="0" w:line="240" w:lineRule="auto"/>
            </w:pPr>
            <w:r>
              <w:rPr>
                <w:rFonts w:ascii="Arial" w:hAnsi="Arial" w:eastAsia="Arial"/>
                <w:color w:val="1F2937"/>
                <w:sz w:val="15"/>
              </w:rPr>
              <w:t>Use this bank to improve reasoning, not to predict an official examination result. CTA practice scores are not NBCC scaled scores and do not establish licensure readiness by themselves.</w:t>
            </w:r>
          </w:p>
        </w:tc>
      </w:tr>
    </w:tbl>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B7280"/>
        <w:sz w:val="14"/>
      </w:rPr>
      <w:t xml:space="preserve">Clinical Training Academy - LPCC WB11 Practice Bank Answer &amp; Rationales v1.0  |  Page </w:t>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jc w:val="right"/>
          </w:pPr>
          <w:r>
            <w:rPr>
              <w:rFonts w:ascii="Arial" w:hAnsi="Arial" w:eastAsia="Arial"/>
              <w:color w:val="17365D"/>
              <w:sz w:val="14"/>
            </w:rPr>
            <w:t>CTA LPCC WB11 - 17-Question Practice Bank - Answer &amp; Rationales</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11 17-Question Practice Bank - Answer and Rationales</dc:title>
  <dc:subject>Individual, Group, Couple/Family, Referral, Continuity, and Interdisciplinary Collaboration</dc:subject>
  <dc:creator>Clinical Training Academy</dc:creator>
  <cp:keywords>LPCC, NCMHCE, evidence-based interventions, rationales</cp:keywords>
  <dc:description>Answer and Rationales v1.0 - July 2026</dc:description>
  <cp:lastModifiedBy/>
  <cp:revision>1</cp:revision>
  <dcterms:created xsi:type="dcterms:W3CDTF">2013-12-23T23:15:00Z</dcterms:created>
  <dcterms:modified xsi:type="dcterms:W3CDTF">2013-12-23T23:15:00Z</dcterms:modified>
  <cp:category/>
</cp:coreProperties>
</file>