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Candidate Question Form</w:t>
      </w:r>
    </w:p>
    <w:p>
      <w:pPr>
        <w:spacing w:before="0" w:after="60" w:line="245" w:lineRule="auto"/>
        <w:jc w:val="center"/>
      </w:pPr>
      <w:r>
        <w:rPr>
          <w:rFonts w:ascii="Arial" w:hAnsi="Arial" w:eastAsia="Arial"/>
          <w:b/>
          <w:i w:val="0"/>
          <w:color w:val="17365D"/>
          <w:sz w:val="36"/>
        </w:rPr>
        <w:t>Workbook 12: 17-Question Practice Bank</w:t>
      </w:r>
    </w:p>
    <w:p>
      <w:pPr>
        <w:spacing w:before="0" w:after="40" w:line="245" w:lineRule="auto"/>
        <w:jc w:val="center"/>
      </w:pPr>
      <w:r>
        <w:rPr>
          <w:rFonts w:ascii="Arial" w:hAnsi="Arial" w:eastAsia="Arial"/>
          <w:b w:val="0"/>
          <w:i w:val="0"/>
          <w:color w:val="1F2937"/>
          <w:sz w:val="22"/>
        </w:rPr>
        <w:t>California Legal, Ethical, Documentation, Technology, and Professional Practice</w:t>
      </w:r>
    </w:p>
    <w:p>
      <w:pPr>
        <w:spacing w:before="0" w:after="80" w:line="245" w:lineRule="auto"/>
        <w:jc w:val="center"/>
      </w:pPr>
      <w:r>
        <w:rPr>
          <w:rFonts w:ascii="Arial" w:hAnsi="Arial" w:eastAsia="Arial"/>
          <w:b w:val="0"/>
          <w:i/>
          <w:color w:val="4B5563"/>
          <w:sz w:val="17"/>
        </w:rPr>
        <w:t>Complete independently before opening the separate answer-and-rationales document</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Candidate Instructions</w:t>
      </w:r>
    </w:p>
    <w:p>
      <w:pPr>
        <w:pStyle w:val="ListBullet"/>
        <w:spacing w:before="0" w:after="20" w:line="245" w:lineRule="auto"/>
      </w:pPr>
      <w:r>
        <w:rPr>
          <w:rFonts w:ascii="Arial" w:hAnsi="Arial" w:eastAsia="Arial"/>
          <w:sz w:val="17"/>
        </w:rPr>
        <w:t>Complete all 17 questions without opening the Answer &amp; Rationales form.</w:t>
      </w:r>
    </w:p>
    <w:p>
      <w:pPr>
        <w:pStyle w:val="ListBullet"/>
        <w:spacing w:before="0" w:after="20" w:line="245" w:lineRule="auto"/>
      </w:pPr>
      <w:r>
        <w:rPr>
          <w:rFonts w:ascii="Arial" w:hAnsi="Arial" w:eastAsia="Arial"/>
          <w:sz w:val="17"/>
        </w:rPr>
        <w:t>Suggested timing: 27 minutes total. Record one answer, a confidence rating from 1 to 3, and a flag if review is needed.</w:t>
      </w:r>
    </w:p>
    <w:p>
      <w:pPr>
        <w:pStyle w:val="ListBullet"/>
        <w:spacing w:before="0" w:after="20" w:line="245" w:lineRule="auto"/>
      </w:pPr>
      <w:r>
        <w:rPr>
          <w:rFonts w:ascii="Arial" w:hAnsi="Arial" w:eastAsia="Arial"/>
          <w:sz w:val="17"/>
        </w:rPr>
        <w:t>Questions 1-5 are targeted authority, privacy, telehealth, record-integrity, and billing items. Questions 6-17 form one three-part NCMHCE-style case.</w:t>
      </w:r>
    </w:p>
    <w:p>
      <w:pPr>
        <w:pStyle w:val="ListBullet"/>
        <w:spacing w:before="0" w:after="20" w:line="245" w:lineRule="auto"/>
      </w:pPr>
      <w:r>
        <w:rPr>
          <w:rFonts w:ascii="Arial" w:hAnsi="Arial" w:eastAsia="Arial"/>
          <w:sz w:val="17"/>
        </w:rPr>
        <w:t>For the case, use only the facts available in the current section. Once you continue, do not revise earlier case-section answers or use later facts as earlier evidence.</w:t>
      </w:r>
    </w:p>
    <w:p>
      <w:pPr>
        <w:pStyle w:val="ListBullet"/>
        <w:spacing w:before="0" w:after="20" w:line="245" w:lineRule="auto"/>
      </w:pPr>
      <w:r>
        <w:rPr>
          <w:rFonts w:ascii="Arial" w:hAnsi="Arial" w:eastAsia="Arial"/>
          <w:sz w:val="17"/>
        </w:rPr>
        <w:t>Choose one best answer. Give priority to LAYER authority, PRIVACY distinctions, TRIGGER duties, TECH safeguards, and DEFEND documentation and continuity.</w:t>
      </w:r>
    </w:p>
    <w:p>
      <w:pPr>
        <w:pStyle w:val="ListBullet"/>
        <w:spacing w:before="0" w:after="20" w:line="245" w:lineRule="auto"/>
      </w:pPr>
      <w:r>
        <w:rPr>
          <w:rFonts w:ascii="Arial" w:hAnsi="Arial" w:eastAsia="Arial"/>
          <w:sz w:val="17"/>
        </w:rPr>
        <w:t>After completing the bank, use the separate rationale form to review every option and write a transferable correction rule.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WORKBOOK 12 DECISION TOOLS</w:t>
            </w:r>
          </w:p>
          <w:p>
            <w:pPr>
              <w:spacing w:before="0" w:after="0" w:line="240" w:lineRule="auto"/>
            </w:pPr>
            <w:r>
              <w:rPr>
                <w:rFonts w:ascii="Arial" w:hAnsi="Arial" w:eastAsia="Arial"/>
                <w:color w:val="1F2937"/>
                <w:sz w:val="16"/>
              </w:rPr>
              <w:t>LAYER identifies controlling authority, scope, consultation, and documentation. PRIVACY distinguishes confidentiality, privilege, authorization, access, and minimum necessary disclosure. TRIGGER identifies the duty, threshold, recipient, timing, and clinical follow-up. TECH reviews location, consent, data flow, security, accuracy, bias, and human oversight. DEFEND protects record, billing, emergency, termination, and continuity integrity.</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EDUCATIONAL AND NON-AFFILIATION NOTICE</w:t>
            </w:r>
          </w:p>
          <w:p>
            <w:pPr>
              <w:spacing w:before="0" w:after="0" w:line="240" w:lineRule="auto"/>
            </w:pPr>
            <w:r>
              <w:rPr>
                <w:rFonts w:ascii="Arial" w:hAnsi="Arial" w:eastAsia="Arial"/>
                <w:color w:val="1F2937"/>
                <w:sz w:val="15"/>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pStyle w:val="Heading2"/>
        <w:spacing w:before="0" w:after="60" w:line="245" w:lineRule="auto"/>
        <w:keepNext/>
      </w:pPr>
      <w:r>
        <w:rPr>
          <w:rFonts w:ascii="Arial" w:hAnsi="Arial" w:eastAsia="Arial"/>
          <w:b/>
          <w:color w:val="17365D"/>
          <w:sz w:val="21"/>
        </w:rPr>
        <w:t>Candidate Answer Sheet</w:t>
      </w:r>
    </w:p>
    <w:p>
      <w:pPr>
        <w:spacing w:before="0" w:after="40" w:line="245" w:lineRule="auto"/>
      </w:pPr>
      <w:r>
        <w:rPr>
          <w:rFonts w:ascii="Arial" w:hAnsi="Arial" w:eastAsia="Arial"/>
          <w:b/>
          <w:i w:val="0"/>
          <w:color w:val="17365D"/>
          <w:sz w:val="16"/>
        </w:rPr>
        <w:t>Start time: __________    End time: __________    Total time: __________</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10</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2</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11</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3</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12</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4</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13</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5</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14</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6</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15</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7</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16</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8</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17</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9</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r>
        <w:br w:type="page"/>
      </w:r>
    </w:p>
    <w:p>
      <w:pPr>
        <w:pStyle w:val="Heading1"/>
        <w:spacing w:before="0" w:after="60" w:line="245" w:lineRule="auto"/>
        <w:keepNext/>
      </w:pPr>
      <w:r>
        <w:rPr>
          <w:rFonts w:ascii="Arial" w:hAnsi="Arial" w:eastAsia="Arial"/>
          <w:b/>
          <w:color w:val="159C9C"/>
          <w:sz w:val="28"/>
        </w:rPr>
        <w:t>Section I - Targeted Legal, Ethical, Technology, and Professional-Practice Questions</w:t>
      </w:r>
    </w:p>
    <w:p>
      <w:pPr>
        <w:spacing w:before="0" w:after="60" w:line="245" w:lineRule="auto"/>
      </w:pPr>
      <w:r>
        <w:rPr>
          <w:rFonts w:ascii="Arial" w:hAnsi="Arial" w:eastAsia="Arial"/>
          <w:b w:val="0"/>
          <w:i/>
          <w:color w:val="17365D"/>
          <w:sz w:val="16"/>
        </w:rPr>
        <w:t>Complete Questions 1-5 by identifying authority, protecting client information, documenting accurately, using technology responsibly, and preserving billing integrity.</w:t>
      </w:r>
    </w:p>
    <w:p>
      <w:pPr>
        <w:spacing w:before="0" w:after="20" w:line="245" w:lineRule="auto"/>
        <w:keepNext/>
      </w:pPr>
      <w:r>
        <w:rPr>
          <w:rFonts w:ascii="Arial" w:hAnsi="Arial" w:eastAsia="Arial"/>
          <w:b/>
          <w:color w:val="159C9C"/>
          <w:sz w:val="14"/>
        </w:rPr>
        <w:t>LPCC-WB12-PB-Q001 | Knowledge &amp; Application | Easy | Primary concept: LAYER authority and policy conflict</w:t>
      </w:r>
    </w:p>
    <w:p>
      <w:pPr>
        <w:spacing w:before="0" w:after="20" w:line="245" w:lineRule="auto"/>
        <w:keepNext/>
      </w:pPr>
      <w:r>
        <w:rPr>
          <w:rFonts w:ascii="Arial" w:hAnsi="Arial" w:eastAsia="Arial"/>
          <w:b/>
          <w:sz w:val="16"/>
        </w:rPr>
        <w:t>A clinic policy directs counselors to send a payer the complete psychotherapy record whenever payment is questioned. The client has not authorized this disclosure. What should the counselor do FIRST?</w:t>
      </w:r>
    </w:p>
    <w:p>
      <w:pPr>
        <w:spacing w:before="0" w:after="10" w:line="240" w:lineRule="auto"/>
        <w:ind w:left="230" w:hanging="230"/>
      </w:pPr>
      <w:r>
        <w:rPr>
          <w:rFonts w:ascii="Arial" w:hAnsi="Arial" w:eastAsia="Arial"/>
          <w:sz w:val="16"/>
        </w:rPr>
        <w:t>A. Follow the policy because the clinic owns the record.</w:t>
      </w:r>
    </w:p>
    <w:p>
      <w:pPr>
        <w:spacing w:before="0" w:after="10" w:line="240" w:lineRule="auto"/>
        <w:ind w:left="230" w:hanging="230"/>
      </w:pPr>
      <w:r>
        <w:rPr>
          <w:rFonts w:ascii="Arial" w:hAnsi="Arial" w:eastAsia="Arial"/>
          <w:sz w:val="16"/>
        </w:rPr>
        <w:t>B. Identify the lawful authority and permitted scope for disclosure, preserve confidentiality, and clarify the policy conflict before releasing information.</w:t>
      </w:r>
    </w:p>
    <w:p>
      <w:pPr>
        <w:spacing w:before="0" w:after="10" w:line="240" w:lineRule="auto"/>
        <w:ind w:left="230" w:hanging="230"/>
      </w:pPr>
      <w:r>
        <w:rPr>
          <w:rFonts w:ascii="Arial" w:hAnsi="Arial" w:eastAsia="Arial"/>
          <w:sz w:val="16"/>
        </w:rPr>
        <w:t>C. Send only progress notes because they are less sensitive than other records.</w:t>
      </w:r>
    </w:p>
    <w:p>
      <w:pPr>
        <w:spacing w:before="0" w:after="10" w:line="240" w:lineRule="auto"/>
        <w:ind w:left="230" w:hanging="230"/>
      </w:pPr>
      <w:r>
        <w:rPr>
          <w:rFonts w:ascii="Arial" w:hAnsi="Arial" w:eastAsia="Arial"/>
          <w:sz w:val="16"/>
        </w:rPr>
        <w:t>D. Ask the payer to promise not to share the information further.</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LPCC-WB12-PB-Q002 | Knowledge &amp; Application | Easy | Primary concept: PRIVACY confidentiality and privilege</w:t>
      </w:r>
    </w:p>
    <w:p>
      <w:pPr>
        <w:spacing w:before="0" w:after="20" w:line="245" w:lineRule="auto"/>
        <w:keepNext/>
      </w:pPr>
      <w:r>
        <w:rPr>
          <w:rFonts w:ascii="Arial" w:hAnsi="Arial" w:eastAsia="Arial"/>
          <w:b/>
          <w:sz w:val="16"/>
        </w:rPr>
        <w:t>Which statement BEST distinguishes psychotherapist-patient privilege from confidentiality?</w:t>
      </w:r>
    </w:p>
    <w:p>
      <w:pPr>
        <w:spacing w:before="0" w:after="10" w:line="240" w:lineRule="auto"/>
        <w:ind w:left="230" w:hanging="230"/>
      </w:pPr>
      <w:r>
        <w:rPr>
          <w:rFonts w:ascii="Arial" w:hAnsi="Arial" w:eastAsia="Arial"/>
          <w:sz w:val="16"/>
        </w:rPr>
        <w:t>A. Privilege generally governs protected disclosure in legal proceedings and is usually held by the patient, while confidentiality is the counselor's broader duty to protect information.</w:t>
      </w:r>
    </w:p>
    <w:p>
      <w:pPr>
        <w:spacing w:before="0" w:after="10" w:line="240" w:lineRule="auto"/>
        <w:ind w:left="230" w:hanging="230"/>
      </w:pPr>
      <w:r>
        <w:rPr>
          <w:rFonts w:ascii="Arial" w:hAnsi="Arial" w:eastAsia="Arial"/>
          <w:sz w:val="16"/>
        </w:rPr>
        <w:t>B. Privilege and confidentiality are interchangeable terms in every setting.</w:t>
      </w:r>
    </w:p>
    <w:p>
      <w:pPr>
        <w:spacing w:before="0" w:after="10" w:line="240" w:lineRule="auto"/>
        <w:ind w:left="230" w:hanging="230"/>
      </w:pPr>
      <w:r>
        <w:rPr>
          <w:rFonts w:ascii="Arial" w:hAnsi="Arial" w:eastAsia="Arial"/>
          <w:sz w:val="16"/>
        </w:rPr>
        <w:t>C. Confidentiality applies only to written records, while privilege applies only to spoken information.</w:t>
      </w:r>
    </w:p>
    <w:p>
      <w:pPr>
        <w:spacing w:before="0" w:after="10" w:line="240" w:lineRule="auto"/>
        <w:ind w:left="230" w:hanging="230"/>
      </w:pPr>
      <w:r>
        <w:rPr>
          <w:rFonts w:ascii="Arial" w:hAnsi="Arial" w:eastAsia="Arial"/>
          <w:sz w:val="16"/>
        </w:rPr>
        <w:t>D. The counselor always owns and may waive both rights.</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LPCC-WB12-PB-Q003 | Knowledge &amp; Application | Easy | Primary concept: TECH telehealth consent</w:t>
      </w:r>
    </w:p>
    <w:p>
      <w:pPr>
        <w:spacing w:before="0" w:after="20" w:line="245" w:lineRule="auto"/>
        <w:keepNext/>
      </w:pPr>
      <w:r>
        <w:rPr>
          <w:rFonts w:ascii="Arial" w:hAnsi="Arial" w:eastAsia="Arial"/>
          <w:b/>
          <w:sz w:val="16"/>
        </w:rPr>
        <w:t>Before beginning health care through telehealth in California, which action is required?</w:t>
      </w:r>
    </w:p>
    <w:p>
      <w:pPr>
        <w:spacing w:before="0" w:after="10" w:line="240" w:lineRule="auto"/>
        <w:ind w:left="230" w:hanging="230"/>
      </w:pPr>
      <w:r>
        <w:rPr>
          <w:rFonts w:ascii="Arial" w:hAnsi="Arial" w:eastAsia="Arial"/>
          <w:sz w:val="16"/>
        </w:rPr>
        <w:t>A. Obtain only the client's signature on a general office policy.</w:t>
      </w:r>
    </w:p>
    <w:p>
      <w:pPr>
        <w:spacing w:before="0" w:after="10" w:line="240" w:lineRule="auto"/>
        <w:ind w:left="230" w:hanging="230"/>
      </w:pPr>
      <w:r>
        <w:rPr>
          <w:rFonts w:ascii="Arial" w:hAnsi="Arial" w:eastAsia="Arial"/>
          <w:sz w:val="16"/>
        </w:rPr>
        <w:t>B. Wait until the second session to discuss telehealth risks and alternatives.</w:t>
      </w:r>
    </w:p>
    <w:p>
      <w:pPr>
        <w:spacing w:before="0" w:after="10" w:line="240" w:lineRule="auto"/>
        <w:ind w:left="230" w:hanging="230"/>
      </w:pPr>
      <w:r>
        <w:rPr>
          <w:rFonts w:ascii="Arial" w:hAnsi="Arial" w:eastAsia="Arial"/>
          <w:sz w:val="16"/>
        </w:rPr>
        <w:t>C. Obtain consent only when the client is new to the practice.</w:t>
      </w:r>
    </w:p>
    <w:p>
      <w:pPr>
        <w:spacing w:before="0" w:after="10" w:line="240" w:lineRule="auto"/>
        <w:ind w:left="230" w:hanging="230"/>
      </w:pPr>
      <w:r>
        <w:rPr>
          <w:rFonts w:ascii="Arial" w:hAnsi="Arial" w:eastAsia="Arial"/>
          <w:sz w:val="16"/>
        </w:rPr>
        <w:t>D. Inform the client about telehealth, obtain verbal or written consent to use it, and document the consent.</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LPCC-WB12-PB-Q004 | Application | Moderate | Primary concept: DEFEND transparent record correction</w:t>
      </w:r>
    </w:p>
    <w:p>
      <w:pPr>
        <w:spacing w:before="0" w:after="20" w:line="245" w:lineRule="auto"/>
        <w:keepNext/>
      </w:pPr>
      <w:r>
        <w:rPr>
          <w:rFonts w:ascii="Arial" w:hAnsi="Arial" w:eastAsia="Arial"/>
          <w:b/>
          <w:sz w:val="16"/>
        </w:rPr>
        <w:t>A counselor discovers that a copied-forward progress note contains a statement the client never made. What is the BEST correction method?</w:t>
      </w:r>
    </w:p>
    <w:p>
      <w:pPr>
        <w:spacing w:before="0" w:after="10" w:line="240" w:lineRule="auto"/>
        <w:ind w:left="230" w:hanging="230"/>
      </w:pPr>
      <w:r>
        <w:rPr>
          <w:rFonts w:ascii="Arial" w:hAnsi="Arial" w:eastAsia="Arial"/>
          <w:sz w:val="16"/>
        </w:rPr>
        <w:t>A. Delete the original entry so no one can see the error.</w:t>
      </w:r>
    </w:p>
    <w:p>
      <w:pPr>
        <w:spacing w:before="0" w:after="10" w:line="240" w:lineRule="auto"/>
        <w:ind w:left="230" w:hanging="230"/>
      </w:pPr>
      <w:r>
        <w:rPr>
          <w:rFonts w:ascii="Arial" w:hAnsi="Arial" w:eastAsia="Arial"/>
          <w:sz w:val="16"/>
        </w:rPr>
        <w:t>B. Backdate a replacement note to the original service date.</w:t>
      </w:r>
    </w:p>
    <w:p>
      <w:pPr>
        <w:spacing w:before="0" w:after="10" w:line="240" w:lineRule="auto"/>
        <w:ind w:left="230" w:hanging="230"/>
      </w:pPr>
      <w:r>
        <w:rPr>
          <w:rFonts w:ascii="Arial" w:hAnsi="Arial" w:eastAsia="Arial"/>
          <w:sz w:val="16"/>
        </w:rPr>
        <w:t>C. Preserve the original audit trail and add a dated correction or addendum that identifies the error and accurate information.</w:t>
      </w:r>
    </w:p>
    <w:p>
      <w:pPr>
        <w:spacing w:before="0" w:after="10" w:line="240" w:lineRule="auto"/>
        <w:ind w:left="230" w:hanging="230"/>
      </w:pPr>
      <w:r>
        <w:rPr>
          <w:rFonts w:ascii="Arial" w:hAnsi="Arial" w:eastAsia="Arial"/>
          <w:sz w:val="16"/>
        </w:rPr>
        <w:t>D. Leave the error unchanged because altering any record is prohibited.</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LPCC-WB12-PB-Q005 | Integrated Clinical Reasoning | Difficult | Primary concept: DEFEND billing and diagnosis integrity</w:t>
      </w:r>
    </w:p>
    <w:p>
      <w:pPr>
        <w:spacing w:before="0" w:after="20" w:line="245" w:lineRule="auto"/>
        <w:keepNext/>
      </w:pPr>
      <w:r>
        <w:rPr>
          <w:rFonts w:ascii="Arial" w:hAnsi="Arial" w:eastAsia="Arial"/>
          <w:b/>
          <w:sz w:val="16"/>
        </w:rPr>
        <w:t>An insurer asks a counselor to add a more severe diagnosis that is not clinically supported so previously denied sessions will be reimbursed. What is the BEST response?</w:t>
      </w:r>
    </w:p>
    <w:p>
      <w:pPr>
        <w:spacing w:before="0" w:after="10" w:line="240" w:lineRule="auto"/>
        <w:ind w:left="230" w:hanging="230"/>
      </w:pPr>
      <w:r>
        <w:rPr>
          <w:rFonts w:ascii="Arial" w:hAnsi="Arial" w:eastAsia="Arial"/>
          <w:sz w:val="16"/>
        </w:rPr>
        <w:t>A. Add the diagnosis temporarily and remove it after payment.</w:t>
      </w:r>
    </w:p>
    <w:p>
      <w:pPr>
        <w:spacing w:before="0" w:after="10" w:line="240" w:lineRule="auto"/>
        <w:ind w:left="230" w:hanging="230"/>
      </w:pPr>
      <w:r>
        <w:rPr>
          <w:rFonts w:ascii="Arial" w:hAnsi="Arial" w:eastAsia="Arial"/>
          <w:sz w:val="16"/>
        </w:rPr>
        <w:t>B. Refuse to falsify the diagnosis or claim, provide only clinically supportable documentation, and use appropriate billing or consultation channels to address the denial.</w:t>
      </w:r>
    </w:p>
    <w:p>
      <w:pPr>
        <w:spacing w:before="0" w:after="10" w:line="240" w:lineRule="auto"/>
        <w:ind w:left="230" w:hanging="230"/>
      </w:pPr>
      <w:r>
        <w:rPr>
          <w:rFonts w:ascii="Arial" w:hAnsi="Arial" w:eastAsia="Arial"/>
          <w:sz w:val="16"/>
        </w:rPr>
        <w:t>C. Ask the client to select the diagnosis that creates the best coverage.</w:t>
      </w:r>
    </w:p>
    <w:p>
      <w:pPr>
        <w:spacing w:before="0" w:after="10" w:line="240" w:lineRule="auto"/>
        <w:ind w:left="230" w:hanging="230"/>
      </w:pPr>
      <w:r>
        <w:rPr>
          <w:rFonts w:ascii="Arial" w:hAnsi="Arial" w:eastAsia="Arial"/>
          <w:sz w:val="16"/>
        </w:rPr>
        <w:t>D. Add the diagnosis but note privately that it was entered for reimbursement.</w:t>
      </w:r>
    </w:p>
    <w:p>
      <w:pPr>
        <w:spacing w:before="0" w:after="40" w:line="245" w:lineRule="auto"/>
      </w:pPr>
      <w:r>
        <w:rPr>
          <w:rFonts w:ascii="Arial" w:hAnsi="Arial" w:eastAsia="Arial"/>
          <w:b w:val="0"/>
          <w:i/>
          <w:color w:val="4B5563"/>
          <w:sz w:val="15"/>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1</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Marcella Ruiz - Telehealth Jurisdiction and Undisclosed AI Processing</w:t>
            </w:r>
          </w:p>
        </w:tc>
      </w:tr>
    </w:tbl>
    <w:p>
      <w:pPr>
        <w:spacing w:before="60" w:after="20" w:line="245" w:lineRule="auto"/>
      </w:pPr>
      <w:r>
        <w:rPr>
          <w:rFonts w:ascii="Arial" w:hAnsi="Arial" w:eastAsia="Arial"/>
          <w:b/>
          <w:i w:val="0"/>
          <w:color w:val="17365D"/>
          <w:sz w:val="16"/>
        </w:rPr>
        <w:t>CASE NARRATIVE - PART 1</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Dana Cho is a California LPCC in a group practice. Marcella Ruiz, age 38, begins counseling for panic symptoms, insomnia, and workplace stress. At the first video appointment, Marcella reports that she is temporarily staying in an Oregon hotel and will return to California in four days. She denies suicidal or violent intent and asks to continue because the trip was unexpected. Dana verifies Marcella's identity but has not yet confirmed whether Dana may provide routine services while Marcella is physically in Oregon. During the session, Dana notices that the clinic's AI meeting assistant is enabled by default and is transmitting audio to a third-party vendor. The practice consent materials discuss telehealth and appointment texts but do not mention recording, transcription, AI processing, data retention, subcontractors, or secondary use. The clinic administrator cannot immediately explain what data were captured or where they are stored.</w:t>
            </w:r>
          </w:p>
        </w:tc>
      </w:tr>
    </w:tbl>
    <w:p>
      <w:pPr>
        <w:spacing w:before="0" w:after="40" w:line="245" w:lineRule="auto"/>
      </w:pPr>
      <w:r>
        <w:rPr>
          <w:rFonts w:ascii="Arial" w:hAnsi="Arial" w:eastAsia="Arial"/>
          <w:b/>
          <w:i w:val="0"/>
          <w:color w:val="159C9C"/>
          <w:sz w:val="16"/>
        </w:rPr>
        <w:t>Answer Questions 6-9 using only the information in this section.</w:t>
      </w:r>
    </w:p>
    <w:p>
      <w:pPr>
        <w:spacing w:before="0" w:after="14" w:line="245" w:lineRule="auto"/>
        <w:keepNext/>
      </w:pPr>
      <w:r>
        <w:rPr>
          <w:rFonts w:ascii="Arial" w:hAnsi="Arial" w:eastAsia="Arial"/>
          <w:b/>
          <w:color w:val="159C9C"/>
          <w:sz w:val="14"/>
        </w:rPr>
        <w:t>LPCC-WB12-PB-Q006 | Knowledge &amp; Application | Easy | Primary concept: TECH location and jurisdiction</w:t>
      </w:r>
    </w:p>
    <w:p>
      <w:pPr>
        <w:spacing w:before="0" w:after="14" w:line="245" w:lineRule="auto"/>
        <w:keepNext/>
      </w:pPr>
      <w:r>
        <w:rPr>
          <w:rFonts w:ascii="Arial" w:hAnsi="Arial" w:eastAsia="Arial"/>
          <w:b/>
          <w:sz w:val="16"/>
        </w:rPr>
        <w:t>Marcella joins the first video session from a hotel in Oregon and says she will return to California in four days. What should Dana do FIRST?</w:t>
      </w:r>
    </w:p>
    <w:p>
      <w:pPr>
        <w:spacing w:before="0" w:after="5" w:line="235" w:lineRule="auto"/>
        <w:ind w:left="216" w:hanging="216"/>
      </w:pPr>
      <w:r>
        <w:rPr>
          <w:rFonts w:ascii="Arial" w:hAnsi="Arial" w:eastAsia="Arial"/>
          <w:sz w:val="15"/>
        </w:rPr>
        <w:t>A. Verify Marcella's exact location and immediate needs, determine whether Dana is authorized to provide routine care in that jurisdiction, and use an appropriate emergency or continuity response if needed.</w:t>
      </w:r>
    </w:p>
    <w:p>
      <w:pPr>
        <w:spacing w:before="0" w:after="5" w:line="235" w:lineRule="auto"/>
        <w:ind w:left="216" w:hanging="216"/>
      </w:pPr>
      <w:r>
        <w:rPr>
          <w:rFonts w:ascii="Arial" w:hAnsi="Arial" w:eastAsia="Arial"/>
          <w:sz w:val="15"/>
        </w:rPr>
        <w:t>B. Continue because Dana is licensed in California and Marcella is a California resident.</w:t>
      </w:r>
    </w:p>
    <w:p>
      <w:pPr>
        <w:spacing w:before="0" w:after="5" w:line="235" w:lineRule="auto"/>
        <w:ind w:left="216" w:hanging="216"/>
      </w:pPr>
      <w:r>
        <w:rPr>
          <w:rFonts w:ascii="Arial" w:hAnsi="Arial" w:eastAsia="Arial"/>
          <w:sz w:val="15"/>
        </w:rPr>
        <w:t>C. Ask Marcella not to mention the travel in the clinical record.</w:t>
      </w:r>
    </w:p>
    <w:p>
      <w:pPr>
        <w:spacing w:before="0" w:after="5" w:line="235" w:lineRule="auto"/>
        <w:ind w:left="216" w:hanging="216"/>
      </w:pPr>
      <w:r>
        <w:rPr>
          <w:rFonts w:ascii="Arial" w:hAnsi="Arial" w:eastAsia="Arial"/>
          <w:sz w:val="15"/>
        </w:rPr>
        <w:t>D. Convert the session to messaging so jurisdiction no longer matters.</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LPCC-WB12-PB-Q007 | Application | Moderate | Primary concept: TECH AI consent, vendor review, and human oversight</w:t>
      </w:r>
    </w:p>
    <w:p>
      <w:pPr>
        <w:spacing w:before="0" w:after="14" w:line="245" w:lineRule="auto"/>
        <w:keepNext/>
      </w:pPr>
      <w:r>
        <w:rPr>
          <w:rFonts w:ascii="Arial" w:hAnsi="Arial" w:eastAsia="Arial"/>
          <w:b/>
          <w:sz w:val="16"/>
        </w:rPr>
        <w:t>Dana notices that the clinic's AI meeting assistant is enabled and sending session audio to a third-party service that was not described in Marcella's consent materials. What is the BEST initial response?</w:t>
      </w:r>
    </w:p>
    <w:p>
      <w:pPr>
        <w:spacing w:before="0" w:after="5" w:line="235" w:lineRule="auto"/>
        <w:ind w:left="216" w:hanging="216"/>
      </w:pPr>
      <w:r>
        <w:rPr>
          <w:rFonts w:ascii="Arial" w:hAnsi="Arial" w:eastAsia="Arial"/>
          <w:sz w:val="15"/>
        </w:rPr>
        <w:t>A. Ignore it because the clinic purchased the software.</w:t>
      </w:r>
    </w:p>
    <w:p>
      <w:pPr>
        <w:spacing w:before="0" w:after="5" w:line="235" w:lineRule="auto"/>
        <w:ind w:left="216" w:hanging="216"/>
      </w:pPr>
      <w:r>
        <w:rPr>
          <w:rFonts w:ascii="Arial" w:hAnsi="Arial" w:eastAsia="Arial"/>
          <w:sz w:val="15"/>
        </w:rPr>
        <w:t>B. Continue using it and add a consent form after several sessions.</w:t>
      </w:r>
    </w:p>
    <w:p>
      <w:pPr>
        <w:spacing w:before="0" w:after="5" w:line="235" w:lineRule="auto"/>
        <w:ind w:left="216" w:hanging="216"/>
      </w:pPr>
      <w:r>
        <w:rPr>
          <w:rFonts w:ascii="Arial" w:hAnsi="Arial" w:eastAsia="Arial"/>
          <w:sz w:val="15"/>
        </w:rPr>
        <w:t>C. Stop or disable the unreviewed function, determine what data were captured and how they are handled, assess privacy and security obligations, address consent with Marcella, and require human review before any output is used.</w:t>
      </w:r>
    </w:p>
    <w:p>
      <w:pPr>
        <w:spacing w:before="0" w:after="5" w:line="235" w:lineRule="auto"/>
        <w:ind w:left="216" w:hanging="216"/>
      </w:pPr>
      <w:r>
        <w:rPr>
          <w:rFonts w:ascii="Arial" w:hAnsi="Arial" w:eastAsia="Arial"/>
          <w:sz w:val="15"/>
        </w:rPr>
        <w:t>D. Ask Marcella to sign a blanket waiver releasing Dana from all technology responsibility.</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LPCC-WB12-PB-Q008 | Application | Moderate | Primary concept: DEFEND immediate documentation after technology incident</w:t>
      </w:r>
    </w:p>
    <w:p>
      <w:pPr>
        <w:spacing w:before="0" w:after="14" w:line="245" w:lineRule="auto"/>
        <w:keepNext/>
      </w:pPr>
      <w:r>
        <w:rPr>
          <w:rFonts w:ascii="Arial" w:hAnsi="Arial" w:eastAsia="Arial"/>
          <w:b/>
          <w:sz w:val="16"/>
        </w:rPr>
        <w:t>Which information should Dana document after discovering the undisclosed AI function?</w:t>
      </w:r>
    </w:p>
    <w:p>
      <w:pPr>
        <w:spacing w:before="0" w:after="5" w:line="235" w:lineRule="auto"/>
        <w:ind w:left="216" w:hanging="216"/>
      </w:pPr>
      <w:r>
        <w:rPr>
          <w:rFonts w:ascii="Arial" w:hAnsi="Arial" w:eastAsia="Arial"/>
          <w:sz w:val="15"/>
        </w:rPr>
        <w:t>A. Only that the client attended the session.</w:t>
      </w:r>
    </w:p>
    <w:p>
      <w:pPr>
        <w:spacing w:before="0" w:after="5" w:line="235" w:lineRule="auto"/>
        <w:ind w:left="216" w:hanging="216"/>
      </w:pPr>
      <w:r>
        <w:rPr>
          <w:rFonts w:ascii="Arial" w:hAnsi="Arial" w:eastAsia="Arial"/>
          <w:sz w:val="15"/>
        </w:rPr>
        <w:t>B. A rewritten note that omits the AI issue so the record remains concise.</w:t>
      </w:r>
    </w:p>
    <w:p>
      <w:pPr>
        <w:spacing w:before="0" w:after="5" w:line="235" w:lineRule="auto"/>
        <w:ind w:left="216" w:hanging="216"/>
      </w:pPr>
      <w:r>
        <w:rPr>
          <w:rFonts w:ascii="Arial" w:hAnsi="Arial" w:eastAsia="Arial"/>
          <w:sz w:val="15"/>
        </w:rPr>
        <w:t>C. The vendor's marketing claims copied into the progress note.</w:t>
      </w:r>
    </w:p>
    <w:p>
      <w:pPr>
        <w:spacing w:before="0" w:after="5" w:line="235" w:lineRule="auto"/>
        <w:ind w:left="216" w:hanging="216"/>
      </w:pPr>
      <w:r>
        <w:rPr>
          <w:rFonts w:ascii="Arial" w:hAnsi="Arial" w:eastAsia="Arial"/>
          <w:sz w:val="15"/>
        </w:rPr>
        <w:t>D. Marcella's location and session status, what Dana discovered, any data known to be captured, steps taken to stop and investigate it, the consent discussion, client response, safety or continuity decisions, and follow-up responsibilities.</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LPCC-WB12-PB-Q009 | Application | Moderate | Primary concept: TECH vendor uncertainty and safer continuation</w:t>
      </w:r>
    </w:p>
    <w:p>
      <w:pPr>
        <w:spacing w:before="0" w:after="14" w:line="245" w:lineRule="auto"/>
        <w:keepNext/>
      </w:pPr>
      <w:r>
        <w:rPr>
          <w:rFonts w:ascii="Arial" w:hAnsi="Arial" w:eastAsia="Arial"/>
          <w:b/>
          <w:sz w:val="16"/>
        </w:rPr>
        <w:t>The clinic cannot explain where the AI data are stored, how long they are retained, or whether subcontractors receive them. Marcella wants counseling to continue. What is the BEST plan?</w:t>
      </w:r>
    </w:p>
    <w:p>
      <w:pPr>
        <w:spacing w:before="0" w:after="5" w:line="235" w:lineRule="auto"/>
        <w:ind w:left="216" w:hanging="216"/>
      </w:pPr>
      <w:r>
        <w:rPr>
          <w:rFonts w:ascii="Arial" w:hAnsi="Arial" w:eastAsia="Arial"/>
          <w:sz w:val="15"/>
        </w:rPr>
        <w:t>A. Continue using the AI tool because stopping it may inconvenience the clinic.</w:t>
      </w:r>
    </w:p>
    <w:p>
      <w:pPr>
        <w:spacing w:before="0" w:after="5" w:line="235" w:lineRule="auto"/>
        <w:ind w:left="216" w:hanging="216"/>
      </w:pPr>
      <w:r>
        <w:rPr>
          <w:rFonts w:ascii="Arial" w:hAnsi="Arial" w:eastAsia="Arial"/>
          <w:sz w:val="15"/>
        </w:rPr>
        <w:t>B. Do not use the AI function until privacy, security, data handling, authorization, and clinical fit are adequately reviewed; continue care through a safer authorized method if jurisdiction and clinical conditions permit.</w:t>
      </w:r>
    </w:p>
    <w:p>
      <w:pPr>
        <w:spacing w:before="0" w:after="5" w:line="235" w:lineRule="auto"/>
        <w:ind w:left="216" w:hanging="216"/>
      </w:pPr>
      <w:r>
        <w:rPr>
          <w:rFonts w:ascii="Arial" w:hAnsi="Arial" w:eastAsia="Arial"/>
          <w:sz w:val="15"/>
        </w:rPr>
        <w:t>C. Let Marcella decide whether the vendor is legally compliant.</w:t>
      </w:r>
    </w:p>
    <w:p>
      <w:pPr>
        <w:spacing w:before="0" w:after="5" w:line="235" w:lineRule="auto"/>
        <w:ind w:left="216" w:hanging="216"/>
      </w:pPr>
      <w:r>
        <w:rPr>
          <w:rFonts w:ascii="Arial" w:hAnsi="Arial" w:eastAsia="Arial"/>
          <w:sz w:val="15"/>
        </w:rPr>
        <w:t>D. End all counseling permanently because one technology system is uncertain.</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2, answer every Part 1 item and review flagged responses. Once you continue, do not revise Questions 6-9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2</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Marcella Ruiz - Serious Threat, Duty to Protect, and EAP Disclosure</w:t>
            </w:r>
          </w:p>
        </w:tc>
      </w:tr>
    </w:tbl>
    <w:p>
      <w:pPr>
        <w:spacing w:before="60" w:after="20" w:line="245" w:lineRule="auto"/>
      </w:pPr>
      <w:r>
        <w:rPr>
          <w:rFonts w:ascii="Arial" w:hAnsi="Arial" w:eastAsia="Arial"/>
          <w:b/>
          <w:i w:val="0"/>
          <w:color w:val="17365D"/>
          <w:sz w:val="16"/>
        </w:rPr>
        <w:t>CASE NARRATIVE - PART 2</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At the next appointment, Marcella is back in California. During a detailed risk discussion, she states, "Tomorrow I am going to shoot my former supervisor, Erica Wells, in the employee parking lot." Marcella identifies the location and time, reports access to a handgun, and says the supervisor "deserves it." She asks Dana not to tell anyone. Dana begins an emergency and protective response. Later that day, the employer's EAP coordinator requests Marcella's diagnosis, complete notes, and the threat assessment. Marcella's signed EAP authorization permits only confirmation of attendance and general participation. No broader authorization is on file.</w:t>
            </w:r>
          </w:p>
        </w:tc>
      </w:tr>
    </w:tbl>
    <w:p>
      <w:pPr>
        <w:spacing w:before="0" w:after="40" w:line="245" w:lineRule="auto"/>
      </w:pPr>
      <w:r>
        <w:rPr>
          <w:rFonts w:ascii="Arial" w:hAnsi="Arial" w:eastAsia="Arial"/>
          <w:b/>
          <w:i w:val="0"/>
          <w:color w:val="159C9C"/>
          <w:sz w:val="16"/>
        </w:rPr>
        <w:t>Answer Questions 10-13 using only the information in this section.</w:t>
      </w:r>
    </w:p>
    <w:p>
      <w:pPr>
        <w:spacing w:before="0" w:after="14" w:line="245" w:lineRule="auto"/>
        <w:keepNext/>
      </w:pPr>
      <w:r>
        <w:rPr>
          <w:rFonts w:ascii="Arial" w:hAnsi="Arial" w:eastAsia="Arial"/>
          <w:b/>
          <w:color w:val="159C9C"/>
          <w:sz w:val="14"/>
        </w:rPr>
        <w:t>LPCC-WB12-PB-Q010 | Application | Moderate | Primary concept: TRIGGER serious threat and immediate protective response</w:t>
      </w:r>
    </w:p>
    <w:p>
      <w:pPr>
        <w:spacing w:before="0" w:after="14" w:line="245" w:lineRule="auto"/>
        <w:keepNext/>
      </w:pPr>
      <w:r>
        <w:rPr>
          <w:rFonts w:ascii="Arial" w:hAnsi="Arial" w:eastAsia="Arial"/>
          <w:b/>
          <w:sz w:val="16"/>
        </w:rPr>
        <w:t>Back in California, Marcella states, "Tomorrow I am going to shoot my former supervisor, Erica Wells, in the employee parking lot," and reports access to a handgun. What should Dana do FIRST?</w:t>
      </w:r>
    </w:p>
    <w:p>
      <w:pPr>
        <w:spacing w:before="0" w:after="5" w:line="235" w:lineRule="auto"/>
        <w:ind w:left="216" w:hanging="216"/>
      </w:pPr>
      <w:r>
        <w:rPr>
          <w:rFonts w:ascii="Arial" w:hAnsi="Arial" w:eastAsia="Arial"/>
          <w:sz w:val="15"/>
        </w:rPr>
        <w:t>A. Promise secrecy so Marcella continues talking.</w:t>
      </w:r>
    </w:p>
    <w:p>
      <w:pPr>
        <w:spacing w:before="0" w:after="5" w:line="235" w:lineRule="auto"/>
        <w:ind w:left="216" w:hanging="216"/>
      </w:pPr>
      <w:r>
        <w:rPr>
          <w:rFonts w:ascii="Arial" w:hAnsi="Arial" w:eastAsia="Arial"/>
          <w:sz w:val="15"/>
        </w:rPr>
        <w:t>B. Wait until the next session to determine whether the statement persists.</w:t>
      </w:r>
    </w:p>
    <w:p>
      <w:pPr>
        <w:spacing w:before="0" w:after="5" w:line="235" w:lineRule="auto"/>
        <w:ind w:left="216" w:hanging="216"/>
      </w:pPr>
      <w:r>
        <w:rPr>
          <w:rFonts w:ascii="Arial" w:hAnsi="Arial" w:eastAsia="Arial"/>
          <w:sz w:val="15"/>
        </w:rPr>
        <w:t>C. Clarify immediacy, intent, means, target, time and place while initiating the emergency and protective response required by the serious threat.</w:t>
      </w:r>
    </w:p>
    <w:p>
      <w:pPr>
        <w:spacing w:before="0" w:after="5" w:line="235" w:lineRule="auto"/>
        <w:ind w:left="216" w:hanging="216"/>
      </w:pPr>
      <w:r>
        <w:rPr>
          <w:rFonts w:ascii="Arial" w:hAnsi="Arial" w:eastAsia="Arial"/>
          <w:sz w:val="15"/>
        </w:rPr>
        <w:t>D. Call the employer and disclose Marcella's complete treatment record.</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LPCC-WB12-PB-Q011 | Knowledge &amp; Application | Easy | Primary concept: TRIGGER California duty to protect</w:t>
      </w:r>
    </w:p>
    <w:p>
      <w:pPr>
        <w:spacing w:before="0" w:after="14" w:line="245" w:lineRule="auto"/>
        <w:keepNext/>
      </w:pPr>
      <w:r>
        <w:rPr>
          <w:rFonts w:ascii="Arial" w:hAnsi="Arial" w:eastAsia="Arial"/>
          <w:b/>
          <w:sz w:val="16"/>
        </w:rPr>
        <w:t>Under the California duty-to-protect framework described in the workbook, which action is central when a patient communicates a serious threat of physical violence against a reasonably identifiable victim?</w:t>
      </w:r>
    </w:p>
    <w:p>
      <w:pPr>
        <w:spacing w:before="0" w:after="5" w:line="235" w:lineRule="auto"/>
        <w:ind w:left="216" w:hanging="216"/>
      </w:pPr>
      <w:r>
        <w:rPr>
          <w:rFonts w:ascii="Arial" w:hAnsi="Arial" w:eastAsia="Arial"/>
          <w:sz w:val="15"/>
        </w:rPr>
        <w:t>A. Make reasonable efforts to communicate the threat to the victim and to a law enforcement agency, while addressing the clinical emergency.</w:t>
      </w:r>
    </w:p>
    <w:p>
      <w:pPr>
        <w:spacing w:before="0" w:after="5" w:line="235" w:lineRule="auto"/>
        <w:ind w:left="216" w:hanging="216"/>
      </w:pPr>
      <w:r>
        <w:rPr>
          <w:rFonts w:ascii="Arial" w:hAnsi="Arial" w:eastAsia="Arial"/>
          <w:sz w:val="15"/>
        </w:rPr>
        <w:t>B. Warn only the counselor's supervisor because internal notice completes the duty.</w:t>
      </w:r>
    </w:p>
    <w:p>
      <w:pPr>
        <w:spacing w:before="0" w:after="5" w:line="235" w:lineRule="auto"/>
        <w:ind w:left="216" w:hanging="216"/>
      </w:pPr>
      <w:r>
        <w:rPr>
          <w:rFonts w:ascii="Arial" w:hAnsi="Arial" w:eastAsia="Arial"/>
          <w:sz w:val="15"/>
        </w:rPr>
        <w:t>C. Notify the victim only if the client signs an authorization.</w:t>
      </w:r>
    </w:p>
    <w:p>
      <w:pPr>
        <w:spacing w:before="0" w:after="5" w:line="235" w:lineRule="auto"/>
        <w:ind w:left="216" w:hanging="216"/>
      </w:pPr>
      <w:r>
        <w:rPr>
          <w:rFonts w:ascii="Arial" w:hAnsi="Arial" w:eastAsia="Arial"/>
          <w:sz w:val="15"/>
        </w:rPr>
        <w:t>D. Document the threat but avoid any disclosure because confidentiality is absolute.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LPCC-WB12-PB-Q012 | Application | Moderate | Primary concept: PRIVACY limited EAP authorization</w:t>
      </w:r>
    </w:p>
    <w:p>
      <w:pPr>
        <w:spacing w:before="0" w:after="14" w:line="245" w:lineRule="auto"/>
        <w:keepNext/>
      </w:pPr>
      <w:r>
        <w:rPr>
          <w:rFonts w:ascii="Arial" w:hAnsi="Arial" w:eastAsia="Arial"/>
          <w:b/>
          <w:sz w:val="16"/>
        </w:rPr>
        <w:t>Marcella's EAP authorization permits confirmation of attendance and general participation only. The EAP coordinator requests her diagnosis, threat assessment, and complete notes. What is the BEST response?</w:t>
      </w:r>
    </w:p>
    <w:p>
      <w:pPr>
        <w:spacing w:before="0" w:after="5" w:line="235" w:lineRule="auto"/>
        <w:ind w:left="216" w:hanging="216"/>
      </w:pPr>
      <w:r>
        <w:rPr>
          <w:rFonts w:ascii="Arial" w:hAnsi="Arial" w:eastAsia="Arial"/>
          <w:sz w:val="15"/>
        </w:rPr>
        <w:t>A. Send everything because the employer is funding the sessions.</w:t>
      </w:r>
    </w:p>
    <w:p>
      <w:pPr>
        <w:spacing w:before="0" w:after="5" w:line="235" w:lineRule="auto"/>
        <w:ind w:left="216" w:hanging="216"/>
      </w:pPr>
      <w:r>
        <w:rPr>
          <w:rFonts w:ascii="Arial" w:hAnsi="Arial" w:eastAsia="Arial"/>
          <w:sz w:val="15"/>
        </w:rPr>
        <w:t>B. Send the diagnosis and threat details but withhold the notes.</w:t>
      </w:r>
    </w:p>
    <w:p>
      <w:pPr>
        <w:spacing w:before="0" w:after="5" w:line="235" w:lineRule="auto"/>
        <w:ind w:left="216" w:hanging="216"/>
      </w:pPr>
      <w:r>
        <w:rPr>
          <w:rFonts w:ascii="Arial" w:hAnsi="Arial" w:eastAsia="Arial"/>
          <w:sz w:val="15"/>
        </w:rPr>
        <w:t>C. Ask the coordinator to keep the information confidential and then disclose it.</w:t>
      </w:r>
    </w:p>
    <w:p>
      <w:pPr>
        <w:spacing w:before="0" w:after="5" w:line="235" w:lineRule="auto"/>
        <w:ind w:left="216" w:hanging="216"/>
      </w:pPr>
      <w:r>
        <w:rPr>
          <w:rFonts w:ascii="Arial" w:hAnsi="Arial" w:eastAsia="Arial"/>
          <w:sz w:val="15"/>
        </w:rPr>
        <w:t>D. Verify the authorization and disclose only what it permits, declining or seeking a new valid authorization for additional information unless another lawful basis applies.</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LPCC-WB12-PB-Q013 | Integrated Clinical Reasoning | Difficult | Primary concept: TRIGGER documentation and continuity after protective action</w:t>
      </w:r>
    </w:p>
    <w:p>
      <w:pPr>
        <w:spacing w:before="0" w:after="14" w:line="245" w:lineRule="auto"/>
        <w:keepNext/>
      </w:pPr>
      <w:r>
        <w:rPr>
          <w:rFonts w:ascii="Arial" w:hAnsi="Arial" w:eastAsia="Arial"/>
          <w:b/>
          <w:sz w:val="16"/>
        </w:rPr>
        <w:t>Which documentation and follow-up plan is MOST defensible after Dana responds to Marcella's serious threat?</w:t>
      </w:r>
    </w:p>
    <w:p>
      <w:pPr>
        <w:spacing w:before="0" w:after="5" w:line="235" w:lineRule="auto"/>
        <w:ind w:left="216" w:hanging="216"/>
      </w:pPr>
      <w:r>
        <w:rPr>
          <w:rFonts w:ascii="Arial" w:hAnsi="Arial" w:eastAsia="Arial"/>
          <w:sz w:val="15"/>
        </w:rPr>
        <w:t>A. Write only, "Tarasoff completed," to avoid unnecessary detail.</w:t>
      </w:r>
    </w:p>
    <w:p>
      <w:pPr>
        <w:spacing w:before="0" w:after="5" w:line="235" w:lineRule="auto"/>
        <w:ind w:left="216" w:hanging="216"/>
      </w:pPr>
      <w:r>
        <w:rPr>
          <w:rFonts w:ascii="Arial" w:hAnsi="Arial" w:eastAsia="Arial"/>
          <w:sz w:val="15"/>
        </w:rPr>
        <w:t>B. Record the complete psychotherapy history and send it to every person contacted.</w:t>
      </w:r>
    </w:p>
    <w:p>
      <w:pPr>
        <w:spacing w:before="0" w:after="5" w:line="235" w:lineRule="auto"/>
        <w:ind w:left="216" w:hanging="216"/>
      </w:pPr>
      <w:r>
        <w:rPr>
          <w:rFonts w:ascii="Arial" w:hAnsi="Arial" w:eastAsia="Arial"/>
          <w:sz w:val="15"/>
        </w:rPr>
        <w:t>C. Document Marcella's words and relevant context, risk assessment, means and target information, consultations, notifications and attempts, timing, rationale, emergency disposition, client communication, and the plan for ongoing safety and continuity.</w:t>
      </w:r>
    </w:p>
    <w:p>
      <w:pPr>
        <w:spacing w:before="0" w:after="5" w:line="235" w:lineRule="auto"/>
        <w:ind w:left="216" w:hanging="216"/>
      </w:pPr>
      <w:r>
        <w:rPr>
          <w:rFonts w:ascii="Arial" w:hAnsi="Arial" w:eastAsia="Arial"/>
          <w:sz w:val="15"/>
        </w:rPr>
        <w:t>D. Wait until the case is resolved so the final outcome can be summarized in one note.</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3, answer every Part 2 item and review flagged responses. Once you continue, do not revise Questions 10-13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3</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Marcella Ruiz - Subpoena, Record Integrity, Billing, and Continuity</w:t>
            </w:r>
          </w:p>
        </w:tc>
      </w:tr>
    </w:tbl>
    <w:p>
      <w:pPr>
        <w:spacing w:before="60" w:after="20" w:line="245" w:lineRule="auto"/>
      </w:pPr>
      <w:r>
        <w:rPr>
          <w:rFonts w:ascii="Arial" w:hAnsi="Arial" w:eastAsia="Arial"/>
          <w:b/>
          <w:i w:val="0"/>
          <w:color w:val="17365D"/>
          <w:sz w:val="16"/>
        </w:rPr>
        <w:t>CASE NARRATIVE - PART 3</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Two months later, Marcella has completed an emergency evaluation, has no current violent intent, and remains engaged in outpatient follow-up. Dana receives an attorney subpoena for the complete clinical record. Marcella asks Dana to delete the accurate note describing the threat because she is embarrassed. Dana also discovers that an AI-generated sentence in the record attributes a statement to Marcella that she never made. An insurer asks Dana to move the original diagnosis date earlier and add a severe depressive diagnosis that is not clinically supported so denied sessions will be paid. Dana is leaving the clinic unexpectedly the following week, and the manager tells Dana to cancel all future appointments without further contact even though Marcella still needs active follow-up and continuity planning.</w:t>
            </w:r>
          </w:p>
        </w:tc>
      </w:tr>
    </w:tbl>
    <w:p>
      <w:pPr>
        <w:spacing w:before="0" w:after="40" w:line="245" w:lineRule="auto"/>
      </w:pPr>
      <w:r>
        <w:rPr>
          <w:rFonts w:ascii="Arial" w:hAnsi="Arial" w:eastAsia="Arial"/>
          <w:b/>
          <w:i w:val="0"/>
          <w:color w:val="159C9C"/>
          <w:sz w:val="16"/>
        </w:rPr>
        <w:t>Answer Questions 14-17 using only the information in this section.</w:t>
      </w:r>
    </w:p>
    <w:p>
      <w:pPr>
        <w:spacing w:before="0" w:after="14" w:line="245" w:lineRule="auto"/>
        <w:keepNext/>
      </w:pPr>
      <w:r>
        <w:rPr>
          <w:rFonts w:ascii="Arial" w:hAnsi="Arial" w:eastAsia="Arial"/>
          <w:b/>
          <w:color w:val="159C9C"/>
          <w:sz w:val="14"/>
        </w:rPr>
        <w:t>LPCC-WB12-PB-Q014 | Application | Moderate | Primary concept: TRIGGER subpoena response</w:t>
      </w:r>
    </w:p>
    <w:p>
      <w:pPr>
        <w:spacing w:before="0" w:after="14" w:line="245" w:lineRule="auto"/>
        <w:keepNext/>
      </w:pPr>
      <w:r>
        <w:rPr>
          <w:rFonts w:ascii="Arial" w:hAnsi="Arial" w:eastAsia="Arial"/>
          <w:b/>
          <w:sz w:val="16"/>
        </w:rPr>
        <w:t>Two months later, Dana receives an attorney subpoena for Marcella's complete record. What should Dana do FIRST?</w:t>
      </w:r>
    </w:p>
    <w:p>
      <w:pPr>
        <w:spacing w:before="0" w:after="5" w:line="235" w:lineRule="auto"/>
        <w:ind w:left="216" w:hanging="216"/>
      </w:pPr>
      <w:r>
        <w:rPr>
          <w:rFonts w:ascii="Arial" w:hAnsi="Arial" w:eastAsia="Arial"/>
          <w:sz w:val="15"/>
        </w:rPr>
        <w:t>A. Send the complete record immediately because a subpoena is a court document.</w:t>
      </w:r>
    </w:p>
    <w:p>
      <w:pPr>
        <w:spacing w:before="0" w:after="5" w:line="235" w:lineRule="auto"/>
        <w:ind w:left="216" w:hanging="216"/>
      </w:pPr>
      <w:r>
        <w:rPr>
          <w:rFonts w:ascii="Arial" w:hAnsi="Arial" w:eastAsia="Arial"/>
          <w:sz w:val="15"/>
        </w:rPr>
        <w:t>B. Preserve the subpoena and records, protect confidentiality and privilege, notify the appropriate custodian or leadership, and obtain qualified legal or organizational guidance about the response and scope.</w:t>
      </w:r>
    </w:p>
    <w:p>
      <w:pPr>
        <w:spacing w:before="0" w:after="5" w:line="235" w:lineRule="auto"/>
        <w:ind w:left="216" w:hanging="216"/>
      </w:pPr>
      <w:r>
        <w:rPr>
          <w:rFonts w:ascii="Arial" w:hAnsi="Arial" w:eastAsia="Arial"/>
          <w:sz w:val="15"/>
        </w:rPr>
        <w:t>C. Ignore it unless a judge calls Dana personally.</w:t>
      </w:r>
    </w:p>
    <w:p>
      <w:pPr>
        <w:spacing w:before="0" w:after="5" w:line="235" w:lineRule="auto"/>
        <w:ind w:left="216" w:hanging="216"/>
      </w:pPr>
      <w:r>
        <w:rPr>
          <w:rFonts w:ascii="Arial" w:hAnsi="Arial" w:eastAsia="Arial"/>
          <w:sz w:val="15"/>
        </w:rPr>
        <w:t>D. Delete sensitive notes before anyone reviews the file.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LPCC-WB12-PB-Q015 | Integrated Clinical Reasoning | Difficult | Primary concept: PRIVACY access, amendment, and record integrity</w:t>
      </w:r>
    </w:p>
    <w:p>
      <w:pPr>
        <w:spacing w:before="0" w:after="14" w:line="245" w:lineRule="auto"/>
        <w:keepNext/>
      </w:pPr>
      <w:r>
        <w:rPr>
          <w:rFonts w:ascii="Arial" w:hAnsi="Arial" w:eastAsia="Arial"/>
          <w:b/>
          <w:sz w:val="16"/>
        </w:rPr>
        <w:t>Marcella asks Dana to delete the accurate threat note because it is embarrassing. Dana also finds an AI-generated sentence in the same record that Marcella never said. What is the BEST response?</w:t>
      </w:r>
    </w:p>
    <w:p>
      <w:pPr>
        <w:spacing w:before="0" w:after="5" w:line="235" w:lineRule="auto"/>
        <w:ind w:left="216" w:hanging="216"/>
      </w:pPr>
      <w:r>
        <w:rPr>
          <w:rFonts w:ascii="Arial" w:hAnsi="Arial" w:eastAsia="Arial"/>
          <w:sz w:val="15"/>
        </w:rPr>
        <w:t>A. Delete the entire note because the client owns all clinical records.</w:t>
      </w:r>
    </w:p>
    <w:p>
      <w:pPr>
        <w:spacing w:before="0" w:after="5" w:line="235" w:lineRule="auto"/>
        <w:ind w:left="216" w:hanging="216"/>
      </w:pPr>
      <w:r>
        <w:rPr>
          <w:rFonts w:ascii="Arial" w:hAnsi="Arial" w:eastAsia="Arial"/>
          <w:sz w:val="15"/>
        </w:rPr>
        <w:t>B. Refuse to discuss the request because clients have no record-access or amendment rights.</w:t>
      </w:r>
    </w:p>
    <w:p>
      <w:pPr>
        <w:spacing w:before="0" w:after="5" w:line="235" w:lineRule="auto"/>
        <w:ind w:left="216" w:hanging="216"/>
      </w:pPr>
      <w:r>
        <w:rPr>
          <w:rFonts w:ascii="Arial" w:hAnsi="Arial" w:eastAsia="Arial"/>
          <w:sz w:val="15"/>
        </w:rPr>
        <w:t>C. Replace the note silently with a shorter version that removes both statements.</w:t>
      </w:r>
    </w:p>
    <w:p>
      <w:pPr>
        <w:spacing w:before="0" w:after="5" w:line="235" w:lineRule="auto"/>
        <w:ind w:left="216" w:hanging="216"/>
      </w:pPr>
      <w:r>
        <w:rPr>
          <w:rFonts w:ascii="Arial" w:hAnsi="Arial" w:eastAsia="Arial"/>
          <w:sz w:val="15"/>
        </w:rPr>
        <w:t>D. Preserve the accurate original documentation, explain the applicable access or amendment process, and correct the inaccurate AI sentence through a dated, transparent addendum or correction that maintains the audit trail.</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LPCC-WB12-PB-Q016 | Integrated Clinical Reasoning | Difficult | Primary concept: DEFEND billing date and diagnosis pressure</w:t>
      </w:r>
    </w:p>
    <w:p>
      <w:pPr>
        <w:spacing w:before="0" w:after="14" w:line="245" w:lineRule="auto"/>
        <w:keepNext/>
      </w:pPr>
      <w:r>
        <w:rPr>
          <w:rFonts w:ascii="Arial" w:hAnsi="Arial" w:eastAsia="Arial"/>
          <w:b/>
          <w:sz w:val="16"/>
        </w:rPr>
        <w:t>An insurer asks Dana to move the diagnosis date to an earlier session and add major depressive disorder, severe, even though the record does not support either change. What is the BEST response?</w:t>
      </w:r>
    </w:p>
    <w:p>
      <w:pPr>
        <w:spacing w:before="0" w:after="5" w:line="235" w:lineRule="auto"/>
        <w:ind w:left="216" w:hanging="216"/>
      </w:pPr>
      <w:r>
        <w:rPr>
          <w:rFonts w:ascii="Arial" w:hAnsi="Arial" w:eastAsia="Arial"/>
          <w:sz w:val="15"/>
        </w:rPr>
        <w:t>A. Refuse the false changes, maintain accurate dates and clinically supportable diagnoses, correct any legitimate claim error transparently, and use consultation or appeal channels as appropriate.</w:t>
      </w:r>
    </w:p>
    <w:p>
      <w:pPr>
        <w:spacing w:before="0" w:after="5" w:line="235" w:lineRule="auto"/>
        <w:ind w:left="216" w:hanging="216"/>
      </w:pPr>
      <w:r>
        <w:rPr>
          <w:rFonts w:ascii="Arial" w:hAnsi="Arial" w:eastAsia="Arial"/>
          <w:sz w:val="15"/>
        </w:rPr>
        <w:t>B. Make the changes because the client benefited from treatment.</w:t>
      </w:r>
    </w:p>
    <w:p>
      <w:pPr>
        <w:spacing w:before="0" w:after="5" w:line="235" w:lineRule="auto"/>
        <w:ind w:left="216" w:hanging="216"/>
      </w:pPr>
      <w:r>
        <w:rPr>
          <w:rFonts w:ascii="Arial" w:hAnsi="Arial" w:eastAsia="Arial"/>
          <w:sz w:val="15"/>
        </w:rPr>
        <w:t>C. Ask the practice manager to alter the claim so Dana is not personally involved.</w:t>
      </w:r>
    </w:p>
    <w:p>
      <w:pPr>
        <w:spacing w:before="0" w:after="5" w:line="235" w:lineRule="auto"/>
        <w:ind w:left="216" w:hanging="216"/>
      </w:pPr>
      <w:r>
        <w:rPr>
          <w:rFonts w:ascii="Arial" w:hAnsi="Arial" w:eastAsia="Arial"/>
          <w:sz w:val="15"/>
        </w:rPr>
        <w:t>D. Backdate a separate billing note while leaving the clinical record unchanged.</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LPCC-WB12-PB-Q017 | Integrated Clinical Reasoning | Difficult | Primary concept: DEFEND termination and continuity plan</w:t>
      </w:r>
    </w:p>
    <w:p>
      <w:pPr>
        <w:spacing w:before="0" w:after="14" w:line="245" w:lineRule="auto"/>
        <w:keepNext/>
      </w:pPr>
      <w:r>
        <w:rPr>
          <w:rFonts w:ascii="Arial" w:hAnsi="Arial" w:eastAsia="Arial"/>
          <w:b/>
          <w:sz w:val="16"/>
        </w:rPr>
        <w:t>Dana is leaving the clinic unexpectedly next week, and the manager says to cancel all future appointments without further contact. Marcella still needs active follow-up. What is the BEST professional response?</w:t>
      </w:r>
    </w:p>
    <w:p>
      <w:pPr>
        <w:spacing w:before="0" w:after="5" w:line="235" w:lineRule="auto"/>
        <w:ind w:left="216" w:hanging="216"/>
      </w:pPr>
      <w:r>
        <w:rPr>
          <w:rFonts w:ascii="Arial" w:hAnsi="Arial" w:eastAsia="Arial"/>
          <w:sz w:val="15"/>
        </w:rPr>
        <w:t>A. Follow the manager's instruction because employment policy controls termination.</w:t>
      </w:r>
    </w:p>
    <w:p>
      <w:pPr>
        <w:spacing w:before="0" w:after="5" w:line="235" w:lineRule="auto"/>
        <w:ind w:left="216" w:hanging="216"/>
      </w:pPr>
      <w:r>
        <w:rPr>
          <w:rFonts w:ascii="Arial" w:hAnsi="Arial" w:eastAsia="Arial"/>
          <w:sz w:val="15"/>
        </w:rPr>
        <w:t>B. Transfer Marcella to any available counselor without informing her.</w:t>
      </w:r>
    </w:p>
    <w:p>
      <w:pPr>
        <w:spacing w:before="0" w:after="5" w:line="235" w:lineRule="auto"/>
        <w:ind w:left="216" w:hanging="216"/>
      </w:pPr>
      <w:r>
        <w:rPr>
          <w:rFonts w:ascii="Arial" w:hAnsi="Arial" w:eastAsia="Arial"/>
          <w:sz w:val="15"/>
        </w:rPr>
        <w:t>C. Activate the practice continuity plan, provide reasonable communication and notice within the circumstances, arrange appropriate coverage or referrals, explain crisis and records procedures, obtain needed consent, and document the transition.</w:t>
      </w:r>
    </w:p>
    <w:p>
      <w:pPr>
        <w:spacing w:before="0" w:after="5" w:line="235" w:lineRule="auto"/>
        <w:ind w:left="216" w:hanging="216"/>
      </w:pPr>
      <w:r>
        <w:rPr>
          <w:rFonts w:ascii="Arial" w:hAnsi="Arial" w:eastAsia="Arial"/>
          <w:sz w:val="15"/>
        </w:rPr>
        <w:t>D. Leave one voicemail stating that Dana is no longer available and close the record.</w:t>
      </w:r>
    </w:p>
    <w:p>
      <w:pPr>
        <w:spacing w:before="0" w:after="26" w:line="245" w:lineRule="auto"/>
      </w:pPr>
      <w:r>
        <w:rPr>
          <w:rFonts w:ascii="Arial" w:hAnsi="Arial" w:eastAsia="Arial"/>
          <w:b w:val="0"/>
          <w:i/>
          <w:color w:val="4B5563"/>
          <w:sz w:val="14"/>
        </w:rPr>
        <w:t>My answer: ______    Confidence: 1  2  3</w:t>
      </w:r>
    </w:p>
    <w:p>
      <w:r>
        <w:br w:type="page"/>
      </w:r>
    </w:p>
    <w:p>
      <w:pPr>
        <w:pStyle w:val="Heading1"/>
        <w:spacing w:before="0" w:after="60" w:line="245" w:lineRule="auto"/>
        <w:keepNext/>
      </w:pPr>
      <w:r>
        <w:rPr>
          <w:rFonts w:ascii="Arial" w:hAnsi="Arial" w:eastAsia="Arial"/>
          <w:b/>
          <w:color w:val="159C9C"/>
          <w:sz w:val="28"/>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3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Reflection Prompt</w:t>
            </w:r>
          </w:p>
        </w:tc>
        <w:tc>
          <w:tcPr>
            <w:tcW w:type="dxa" w:w="475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My Notes</w:t>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treat policy, payment, supervision, or technology as more authoritative than law and client rights?</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distinguish confidentiality, privilege, authorization, access, and minimum-necessary disclosure?</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identify the exact trigger and recipient before making or withholding a disclosure?</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verify location, consent, data flow, vendor safeguards, and human oversight before using technology?</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my documentation preserve accuracy, timing, audit history, and the reasoning behind action?</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Could I explain how billing, termination, emergency planning, and continuity protect client welfare?</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SCORE USE</w:t>
            </w:r>
          </w:p>
          <w:p>
            <w:pPr>
              <w:spacing w:before="0" w:after="0" w:line="240" w:lineRule="auto"/>
            </w:pPr>
            <w:r>
              <w:rPr>
                <w:rFonts w:ascii="Arial" w:hAnsi="Arial" w:eastAsia="Arial"/>
                <w:color w:val="1F2937"/>
                <w:sz w:val="16"/>
              </w:rPr>
              <w:t>This 17-item bank is a targeted learning assessment, not an official NCMHCE passing standard. Use the pattern of errors to select remediation.</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WB12 Practice Bank Candidate Form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WB12 - 17-Question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12 17-Question Practice Bank - Candidate Form</dc:title>
  <dc:subject>California Legal, Ethical, Documentation, Technology, and Professional Practice</dc:subject>
  <dc:creator>Clinical Training Academy</dc:creator>
  <cp:keywords>LPCC, NCMHCE, evidence-based interventions, practice bank, candidate form</cp:keywords>
  <dc:description>Candidate Form v1.0 - July 2026</dc:description>
  <cp:lastModifiedBy/>
  <cp:revision>1</cp:revision>
  <dcterms:created xsi:type="dcterms:W3CDTF">2013-12-23T23:15:00Z</dcterms:created>
  <dcterms:modified xsi:type="dcterms:W3CDTF">2013-12-23T23:15:00Z</dcterms:modified>
  <cp:category/>
</cp:coreProperties>
</file>