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
        <w:jc w:val="center"/>
      </w:pPr>
      <w:r>
        <w:drawing>
          <wp:inline xmlns:a="http://schemas.openxmlformats.org/drawingml/2006/main" xmlns:pic="http://schemas.openxmlformats.org/drawingml/2006/picture">
            <wp:extent cx="2148840" cy="1553281"/>
            <wp:docPr id="1" name="CTA stacked logo" descr="Clinical Training and Supervision Academy logo"/>
            <wp:cNvGraphicFramePr>
              <a:graphicFrameLocks noChangeAspect="1"/>
            </wp:cNvGraphicFramePr>
            <a:graphic>
              <a:graphicData uri="http://schemas.openxmlformats.org/drawingml/2006/picture">
                <pic:pic>
                  <pic:nvPicPr>
                    <pic:cNvPr id="0" name="CTA_Stacked_Logo(3).png"/>
                    <pic:cNvPicPr/>
                  </pic:nvPicPr>
                  <pic:blipFill>
                    <a:blip r:embed="rId11"/>
                    <a:stretch>
                      <a:fillRect/>
                    </a:stretch>
                  </pic:blipFill>
                  <pic:spPr>
                    <a:xfrm>
                      <a:off x="0" y="0"/>
                      <a:ext cx="2148840" cy="1553281"/>
                    </a:xfrm>
                    <a:prstGeom prst="rect"/>
                  </pic:spPr>
                </pic:pic>
              </a:graphicData>
            </a:graphic>
          </wp:inline>
        </w:drawing>
      </w:r>
    </w:p>
    <w:p>
      <w:pPr>
        <w:spacing w:before="40" w:after="100" w:line="254" w:lineRule="auto"/>
        <w:jc w:val="center"/>
      </w:pPr>
      <w:r>
        <w:rPr>
          <w:rFonts w:ascii="Arial" w:hAnsi="Arial" w:eastAsia="Arial"/>
          <w:b/>
          <w:i w:val="0"/>
          <w:color w:val="1F7A8C"/>
          <w:sz w:val="25"/>
        </w:rPr>
        <w:t>LPCC NCMHCE EXAM PREPARATION PROGRAM</w:t>
      </w:r>
    </w:p>
    <w:p>
      <w:pPr>
        <w:spacing w:before="0" w:after="160" w:line="254" w:lineRule="auto"/>
        <w:jc w:val="center"/>
      </w:pPr>
      <w:r>
        <w:rPr>
          <w:rFonts w:ascii="Arial" w:hAnsi="Arial" w:eastAsia="Arial"/>
          <w:b/>
          <w:i w:val="0"/>
          <w:color w:val="C6922F"/>
          <w:sz w:val="31"/>
        </w:rPr>
        <w:t>Answer &amp; Rationales</w:t>
      </w:r>
    </w:p>
    <w:p>
      <w:pPr>
        <w:spacing w:before="0" w:after="60" w:line="240" w:lineRule="auto"/>
        <w:jc w:val="center"/>
        <w:pBdr>
          <w:bottom w:val="single" w:sz="12" w:space="1" w:color="159C9C"/>
        </w:pBdr>
      </w:pPr>
      <w:r>
        <w:rPr>
          <w:rFonts w:ascii="Arial" w:hAnsi="Arial" w:eastAsia="Arial"/>
          <w:b/>
          <w:i w:val="0"/>
          <w:color w:val="17365D"/>
          <w:sz w:val="44"/>
        </w:rPr>
        <w:t>Workbook 1: 17-Question Practice Bank</w:t>
      </w:r>
    </w:p>
    <w:p>
      <w:pPr>
        <w:spacing w:before="100" w:after="120" w:line="254" w:lineRule="auto"/>
        <w:jc w:val="center"/>
      </w:pPr>
      <w:r>
        <w:rPr>
          <w:rFonts w:ascii="Arial" w:hAnsi="Arial" w:eastAsia="Arial"/>
          <w:b/>
          <w:i w:val="0"/>
          <w:color w:val="17365D"/>
          <w:sz w:val="26"/>
        </w:rPr>
        <w:t>NCMHCE Case-Study Strategy and Applied Clinical Counselor Reasoning</w:t>
      </w:r>
    </w:p>
    <w:p>
      <w:pPr>
        <w:spacing w:before="0" w:after="260" w:line="254" w:lineRule="auto"/>
        <w:jc w:val="center"/>
      </w:pPr>
      <w:r>
        <w:rPr>
          <w:rFonts w:ascii="Arial" w:hAnsi="Arial" w:eastAsia="Arial"/>
          <w:b w:val="0"/>
          <w:i/>
          <w:color w:val="4E5B6B"/>
          <w:sz w:val="23"/>
        </w:rPr>
        <w:t>Controlled review form - open only after completing the candidate form</w:t>
      </w:r>
    </w:p>
    <w:p>
      <w:pPr>
        <w:spacing w:before="0" w:after="240" w:line="254" w:lineRule="auto"/>
        <w:jc w:val="center"/>
      </w:pPr>
      <w:r>
        <w:rPr>
          <w:rFonts w:ascii="Arial" w:hAnsi="Arial" w:eastAsia="Arial"/>
          <w:b w:val="0"/>
          <w:i w:val="0"/>
          <w:color w:val="4E5B6B"/>
          <w:sz w:val="20"/>
        </w:rPr>
        <w:t>Version 1.0 - July 2026</w:t>
      </w:r>
    </w:p>
    <w:tbl>
      <w:tblPr>
        <w:tblW w:type="auto" w:w="0"/>
        <w:jc w:val="center"/>
        <w:tblLook w:firstColumn="1" w:firstRow="1" w:lastColumn="0" w:lastRow="0" w:noHBand="0" w:noVBand="1" w:val="04A0"/>
      </w:tblPr>
      <w:tblGrid>
        <w:gridCol w:w="10310"/>
      </w:tblGrid>
      <w:tr>
        <w:trPr>
          <w:cantSplit/>
          <w:tblHeader w:val="true"/>
        </w:trPr>
        <w:tc>
          <w:tcPr>
            <w:tcW w:type="dxa" w:w="10310"/>
            <w:shd w:fill="FFF3D6"/>
            <w:tcBorders>
              <w:top w:val="single" w:sz="10" w:color="C6922F"/>
              <w:left w:val="single" w:sz="10" w:color="C6922F"/>
              <w:bottom w:val="single" w:sz="10" w:color="C6922F"/>
              <w:right w:val="single" w:sz="10" w:color="C6922F"/>
            </w:tcBorders>
            <w:tcMar>
              <w:top w:w="110" w:type="dxa"/>
              <w:start w:w="140" w:type="dxa"/>
              <w:bottom w:w="110" w:type="dxa"/>
              <w:end w:w="140" w:type="dxa"/>
            </w:tcMar>
          </w:tcPr>
          <w:p>
            <w:pPr>
              <w:spacing w:after="60"/>
            </w:pPr>
            <w:r>
              <w:rPr>
                <w:rFonts w:ascii="Arial" w:hAnsi="Arial" w:eastAsia="Arial"/>
                <w:b/>
                <w:color w:val="17365D"/>
                <w:sz w:val="21"/>
              </w:rPr>
              <w:t>ORIGINAL CTA PRACTICE MATERIAL</w:t>
            </w:r>
          </w:p>
          <w:p>
            <w:pPr>
              <w:spacing w:after="20" w:line="250" w:lineRule="auto"/>
            </w:pPr>
            <w:r>
              <w:rPr>
                <w:rFonts w:ascii="Arial" w:hAnsi="Arial" w:eastAsia="Arial"/>
                <w:color w:val="1F2937"/>
                <w:sz w:val="20"/>
              </w:rPr>
              <w:t>Every question and case detail in this bank is an original CTA educational item. No item is an actual, recalled, reconstructed, or purported licensing-examination question.</w:t>
            </w:r>
          </w:p>
        </w:tc>
      </w:tr>
    </w:tbl>
    <w:p>
      <w:pPr>
        <w:spacing w:after="0"/>
      </w:pPr>
    </w:p>
    <w:p>
      <w:pPr>
        <w:spacing w:before="80" w:after="0" w:line="254" w:lineRule="auto"/>
        <w:jc w:val="center"/>
      </w:pPr>
      <w:r>
        <w:rPr>
          <w:rFonts w:ascii="Arial" w:hAnsi="Arial" w:eastAsia="Arial"/>
          <w:b/>
          <w:i w:val="0"/>
          <w:color w:val="17365D"/>
          <w:sz w:val="22"/>
        </w:rPr>
        <w:t>Clinical Training Academy</w:t>
      </w:r>
    </w:p>
    <w:p>
      <w:r>
        <w:br w:type="page"/>
      </w:r>
    </w:p>
    <w:p>
      <w:pPr>
        <w:pStyle w:val="Heading1"/>
      </w:pPr>
      <w:r>
        <w:rPr>
          <w:rFonts w:ascii="Arial" w:hAnsi="Arial" w:eastAsia="Arial"/>
          <w:b/>
          <w:color w:val="17365D"/>
          <w:sz w:val="34"/>
        </w:rPr>
        <w:t>How to Use the Rationales</w:t>
      </w:r>
    </w:p>
    <w:p>
      <w:pPr>
        <w:pStyle w:val="ListBullet"/>
        <w:spacing w:after="50" w:line="250" w:lineRule="auto"/>
        <w:keepLines/>
      </w:pPr>
      <w:r>
        <w:rPr>
          <w:rFonts w:ascii="Arial" w:hAnsi="Arial" w:eastAsia="Arial"/>
          <w:color w:val="1F2937"/>
          <w:sz w:val="20"/>
        </w:rPr>
        <w:t>Score the bank, but do not stop at the total. Mark every incorrect response and every correct response with confidence 1.</w:t>
      </w:r>
    </w:p>
    <w:p>
      <w:pPr>
        <w:pStyle w:val="ListBullet"/>
        <w:spacing w:after="50" w:line="250" w:lineRule="auto"/>
        <w:keepLines/>
      </w:pPr>
      <w:r>
        <w:rPr>
          <w:rFonts w:ascii="Arial" w:hAnsi="Arial" w:eastAsia="Arial"/>
          <w:color w:val="1F2937"/>
          <w:sz w:val="20"/>
        </w:rPr>
        <w:t>For each item, restate the task word, identify the decisive facts, and explain why each distractor is weaker.</w:t>
      </w:r>
    </w:p>
    <w:p>
      <w:pPr>
        <w:pStyle w:val="ListBullet"/>
        <w:spacing w:after="50" w:line="250" w:lineRule="auto"/>
        <w:keepLines/>
      </w:pPr>
      <w:r>
        <w:rPr>
          <w:rFonts w:ascii="Arial" w:hAnsi="Arial" w:eastAsia="Arial"/>
          <w:color w:val="1F2937"/>
          <w:sz w:val="20"/>
        </w:rPr>
        <w:t>Apply the listed CTA error code or select a different code from Workbook 1 when it better describes your reasoning.</w:t>
      </w:r>
    </w:p>
    <w:p>
      <w:pPr>
        <w:pStyle w:val="ListBullet"/>
        <w:spacing w:after="50" w:line="250" w:lineRule="auto"/>
        <w:keepLines/>
      </w:pPr>
      <w:r>
        <w:rPr>
          <w:rFonts w:ascii="Arial" w:hAnsi="Arial" w:eastAsia="Arial"/>
          <w:color w:val="1F2937"/>
          <w:sz w:val="20"/>
        </w:rPr>
        <w:t>Write one transferable correction rule and complete a new application item after targeted review.</w:t>
      </w:r>
    </w:p>
    <w:p>
      <w:pPr>
        <w:pStyle w:val="ListBullet"/>
        <w:spacing w:after="50" w:line="250" w:lineRule="auto"/>
        <w:keepLines/>
      </w:pPr>
      <w:r>
        <w:rPr>
          <w:rFonts w:ascii="Arial" w:hAnsi="Arial" w:eastAsia="Arial"/>
          <w:color w:val="1F2937"/>
          <w:sz w:val="20"/>
        </w:rPr>
        <w:t>Do not treat this bank score as an official NCMHCE passing score or guarantee.</w:t>
      </w:r>
    </w:p>
    <w:tbl>
      <w:tblPr>
        <w:tblW w:type="auto" w:w="0"/>
        <w:jc w:val="center"/>
        <w:tblLook w:firstColumn="1" w:firstRow="1" w:lastColumn="0" w:lastRow="0" w:noHBand="0" w:noVBand="1" w:val="04A0"/>
      </w:tblPr>
      <w:tblGrid>
        <w:gridCol w:w="10310"/>
      </w:tblGrid>
      <w:tr>
        <w:trPr>
          <w:cantSplit/>
          <w:tblHeader w:val="true"/>
        </w:trPr>
        <w:tc>
          <w:tcPr>
            <w:tcW w:type="dxa" w:w="10310"/>
            <w:shd w:fill="E7F3F3"/>
            <w:tcBorders>
              <w:top w:val="single" w:sz="10" w:color="159C9C"/>
              <w:left w:val="single" w:sz="10" w:color="159C9C"/>
              <w:bottom w:val="single" w:sz="10" w:color="159C9C"/>
              <w:right w:val="single" w:sz="10" w:color="159C9C"/>
            </w:tcBorders>
            <w:tcMar>
              <w:top w:w="110" w:type="dxa"/>
              <w:start w:w="140" w:type="dxa"/>
              <w:bottom w:w="110" w:type="dxa"/>
              <w:end w:w="140" w:type="dxa"/>
            </w:tcMar>
          </w:tcPr>
          <w:p>
            <w:pPr>
              <w:spacing w:after="60"/>
            </w:pPr>
            <w:r>
              <w:rPr>
                <w:rFonts w:ascii="Arial" w:hAnsi="Arial" w:eastAsia="Arial"/>
                <w:b/>
                <w:color w:val="1F7A8C"/>
                <w:sz w:val="21"/>
              </w:rPr>
              <w:t>DIFFICULTY CONTROL</w:t>
            </w:r>
          </w:p>
          <w:p>
            <w:pPr>
              <w:spacing w:after="20" w:line="250" w:lineRule="auto"/>
            </w:pPr>
            <w:r>
              <w:rPr>
                <w:rFonts w:ascii="Arial" w:hAnsi="Arial" w:eastAsia="Arial"/>
                <w:color w:val="1F2937"/>
                <w:sz w:val="20"/>
              </w:rPr>
              <w:t>5 Easy, 7 Moderate, and 5 Difficult items. The bank contains five targeted strategy questions and one three-part, 12-question case.</w:t>
            </w:r>
          </w:p>
        </w:tc>
      </w:tr>
    </w:tbl>
    <w:p>
      <w:pPr>
        <w:spacing w:after="0"/>
      </w:pPr>
    </w:p>
    <w:p>
      <w:pPr>
        <w:pStyle w:val="Heading2"/>
        <w:spacing w:before="140" w:after="80"/>
        <w:keepNext/>
      </w:pPr>
      <w:r>
        <w:rPr>
          <w:rFonts w:ascii="Arial" w:hAnsi="Arial" w:eastAsia="Arial"/>
          <w:b/>
          <w:color w:val="159C9C"/>
          <w:sz w:val="26"/>
        </w:rPr>
        <w:t>Answer Key Overview</w:t>
      </w:r>
    </w:p>
    <w:tbl>
      <w:tblPr>
        <w:tblW w:type="auto" w:w="0"/>
        <w:jc w:val="center"/>
        <w:tblLayout w:type="fixed"/>
        <w:tblLook w:firstColumn="1" w:firstRow="1" w:lastColumn="0" w:lastRow="0" w:noHBand="0" w:noVBand="1" w:val="04A0"/>
      </w:tblPr>
      <w:tblGrid>
        <w:gridCol w:w="2062"/>
        <w:gridCol w:w="2062"/>
        <w:gridCol w:w="2062"/>
        <w:gridCol w:w="2062"/>
        <w:gridCol w:w="2062"/>
      </w:tblGrid>
      <w:tr>
        <w:trPr>
          <w:tblHeader w:val="true"/>
          <w:cantSplit/>
        </w:trPr>
        <w:tc>
          <w:tcPr>
            <w:tcW w:type="dxa" w:w="648"/>
            <w:shd w:fill="17365D"/>
            <w:tcMar>
              <w:top w:w="85" w:type="dxa"/>
              <w:start w:w="90" w:type="dxa"/>
              <w:bottom w:w="85" w:type="dxa"/>
              <w:end w:w="90"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w:t>
            </w:r>
          </w:p>
        </w:tc>
        <w:tc>
          <w:tcPr>
            <w:tcW w:type="dxa" w:w="720"/>
            <w:shd w:fill="17365D"/>
            <w:tcMar>
              <w:top w:w="85" w:type="dxa"/>
              <w:start w:w="90" w:type="dxa"/>
              <w:bottom w:w="85" w:type="dxa"/>
              <w:end w:w="90"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Key</w:t>
            </w:r>
          </w:p>
        </w:tc>
        <w:tc>
          <w:tcPr>
            <w:tcW w:type="dxa" w:w="1512"/>
            <w:shd w:fill="17365D"/>
            <w:tcMar>
              <w:top w:w="85" w:type="dxa"/>
              <w:start w:w="90" w:type="dxa"/>
              <w:bottom w:w="85" w:type="dxa"/>
              <w:end w:w="90"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Difficulty</w:t>
            </w:r>
          </w:p>
        </w:tc>
        <w:tc>
          <w:tcPr>
            <w:tcW w:type="dxa" w:w="5112"/>
            <w:shd w:fill="17365D"/>
            <w:tcMar>
              <w:top w:w="85" w:type="dxa"/>
              <w:start w:w="90" w:type="dxa"/>
              <w:bottom w:w="85" w:type="dxa"/>
              <w:end w:w="90"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Primary Concept</w:t>
            </w:r>
          </w:p>
        </w:tc>
        <w:tc>
          <w:tcPr>
            <w:tcW w:type="dxa" w:w="2520"/>
            <w:shd w:fill="17365D"/>
            <w:tcMar>
              <w:top w:w="85" w:type="dxa"/>
              <w:start w:w="90" w:type="dxa"/>
              <w:bottom w:w="85" w:type="dxa"/>
              <w:end w:w="90"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Primary Error Code</w:t>
            </w:r>
          </w:p>
        </w:tc>
      </w:tr>
      <w:tr>
        <w:trPr>
          <w:cantSplit/>
        </w:trPr>
        <w:tc>
          <w:tcPr>
            <w:tcW w:type="dxa" w:w="648"/>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1</w:t>
            </w:r>
          </w:p>
        </w:tc>
        <w:tc>
          <w:tcPr>
            <w:tcW w:type="dxa" w:w="72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B</w:t>
            </w:r>
          </w:p>
        </w:tc>
        <w:tc>
          <w:tcPr>
            <w:tcW w:type="dxa" w:w="151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Easy</w:t>
            </w:r>
          </w:p>
        </w:tc>
        <w:tc>
          <w:tcPr>
            <w:tcW w:type="dxa" w:w="511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left"/>
            </w:pPr>
            <w:r>
              <w:rPr>
                <w:rFonts w:ascii="Arial" w:hAnsi="Arial" w:eastAsia="Arial"/>
                <w:color w:val="1F2937"/>
                <w:sz w:val="17"/>
              </w:rPr>
              <w:t>Current NCMHCE structure</w:t>
            </w:r>
          </w:p>
        </w:tc>
        <w:tc>
          <w:tcPr>
            <w:tcW w:type="dxa" w:w="252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left"/>
            </w:pPr>
            <w:r>
              <w:rPr>
                <w:rFonts w:ascii="Arial" w:hAnsi="Arial" w:eastAsia="Arial"/>
                <w:color w:val="1F2937"/>
                <w:sz w:val="17"/>
              </w:rPr>
              <w:t>K - Knowledge gap</w:t>
            </w:r>
          </w:p>
        </w:tc>
      </w:tr>
      <w:tr>
        <w:trPr>
          <w:cantSplit/>
        </w:trPr>
        <w:tc>
          <w:tcPr>
            <w:tcW w:type="dxa" w:w="648"/>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2</w:t>
            </w:r>
          </w:p>
        </w:tc>
        <w:tc>
          <w:tcPr>
            <w:tcW w:type="dxa" w:w="72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D</w:t>
            </w:r>
          </w:p>
        </w:tc>
        <w:tc>
          <w:tcPr>
            <w:tcW w:type="dxa" w:w="151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Easy</w:t>
            </w:r>
          </w:p>
        </w:tc>
        <w:tc>
          <w:tcPr>
            <w:tcW w:type="dxa" w:w="511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left"/>
            </w:pPr>
            <w:r>
              <w:rPr>
                <w:rFonts w:ascii="Arial" w:hAnsi="Arial" w:eastAsia="Arial"/>
                <w:color w:val="1F2937"/>
                <w:sz w:val="17"/>
              </w:rPr>
              <w:t>Review boundaries and evidence control</w:t>
            </w:r>
          </w:p>
        </w:tc>
        <w:tc>
          <w:tcPr>
            <w:tcW w:type="dxa" w:w="252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left"/>
            </w:pPr>
            <w:r>
              <w:rPr>
                <w:rFonts w:ascii="Arial" w:hAnsi="Arial" w:eastAsia="Arial"/>
                <w:color w:val="1F2937"/>
                <w:sz w:val="17"/>
              </w:rPr>
              <w:t>D - Distractor / pacing</w:t>
            </w:r>
          </w:p>
        </w:tc>
      </w:tr>
      <w:tr>
        <w:trPr>
          <w:cantSplit/>
        </w:trPr>
        <w:tc>
          <w:tcPr>
            <w:tcW w:type="dxa" w:w="648"/>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3</w:t>
            </w:r>
          </w:p>
        </w:tc>
        <w:tc>
          <w:tcPr>
            <w:tcW w:type="dxa" w:w="72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A</w:t>
            </w:r>
          </w:p>
        </w:tc>
        <w:tc>
          <w:tcPr>
            <w:tcW w:type="dxa" w:w="151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Easy</w:t>
            </w:r>
          </w:p>
        </w:tc>
        <w:tc>
          <w:tcPr>
            <w:tcW w:type="dxa" w:w="511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left"/>
            </w:pPr>
            <w:r>
              <w:rPr>
                <w:rFonts w:ascii="Arial" w:hAnsi="Arial" w:eastAsia="Arial"/>
                <w:color w:val="1F2937"/>
                <w:sz w:val="17"/>
              </w:rPr>
              <w:t>NEXT sequencing</w:t>
            </w:r>
          </w:p>
        </w:tc>
        <w:tc>
          <w:tcPr>
            <w:tcW w:type="dxa" w:w="252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left"/>
            </w:pPr>
            <w:r>
              <w:rPr>
                <w:rFonts w:ascii="Arial" w:hAnsi="Arial" w:eastAsia="Arial"/>
                <w:color w:val="1F2937"/>
                <w:sz w:val="17"/>
              </w:rPr>
              <w:t>S - Sequence / timing</w:t>
            </w:r>
          </w:p>
        </w:tc>
      </w:tr>
      <w:tr>
        <w:trPr>
          <w:cantSplit/>
        </w:trPr>
        <w:tc>
          <w:tcPr>
            <w:tcW w:type="dxa" w:w="648"/>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4</w:t>
            </w:r>
          </w:p>
        </w:tc>
        <w:tc>
          <w:tcPr>
            <w:tcW w:type="dxa" w:w="72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C</w:t>
            </w:r>
          </w:p>
        </w:tc>
        <w:tc>
          <w:tcPr>
            <w:tcW w:type="dxa" w:w="151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Moderate</w:t>
            </w:r>
          </w:p>
        </w:tc>
        <w:tc>
          <w:tcPr>
            <w:tcW w:type="dxa" w:w="511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left"/>
            </w:pPr>
            <w:r>
              <w:rPr>
                <w:rFonts w:ascii="Arial" w:hAnsi="Arial" w:eastAsia="Arial"/>
                <w:color w:val="1F2937"/>
                <w:sz w:val="17"/>
              </w:rPr>
              <w:t>Plausible distractors</w:t>
            </w:r>
          </w:p>
        </w:tc>
        <w:tc>
          <w:tcPr>
            <w:tcW w:type="dxa" w:w="252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left"/>
            </w:pPr>
            <w:r>
              <w:rPr>
                <w:rFonts w:ascii="Arial" w:hAnsi="Arial" w:eastAsia="Arial"/>
                <w:color w:val="1F2937"/>
                <w:sz w:val="17"/>
              </w:rPr>
              <w:t>S - Sequence / timing</w:t>
            </w:r>
          </w:p>
        </w:tc>
      </w:tr>
      <w:tr>
        <w:trPr>
          <w:cantSplit/>
        </w:trPr>
        <w:tc>
          <w:tcPr>
            <w:tcW w:type="dxa" w:w="648"/>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5</w:t>
            </w:r>
          </w:p>
        </w:tc>
        <w:tc>
          <w:tcPr>
            <w:tcW w:type="dxa" w:w="72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B</w:t>
            </w:r>
          </w:p>
        </w:tc>
        <w:tc>
          <w:tcPr>
            <w:tcW w:type="dxa" w:w="151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Moderate</w:t>
            </w:r>
          </w:p>
        </w:tc>
        <w:tc>
          <w:tcPr>
            <w:tcW w:type="dxa" w:w="511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left"/>
            </w:pPr>
            <w:r>
              <w:rPr>
                <w:rFonts w:ascii="Arial" w:hAnsi="Arial" w:eastAsia="Arial"/>
                <w:color w:val="1F2937"/>
                <w:sz w:val="17"/>
              </w:rPr>
              <w:t>Later-fact contamination</w:t>
            </w:r>
          </w:p>
        </w:tc>
        <w:tc>
          <w:tcPr>
            <w:tcW w:type="dxa" w:w="252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left"/>
            </w:pPr>
            <w:r>
              <w:rPr>
                <w:rFonts w:ascii="Arial" w:hAnsi="Arial" w:eastAsia="Arial"/>
                <w:color w:val="1F2937"/>
                <w:sz w:val="17"/>
              </w:rPr>
              <w:t>E - Evidence / assumption</w:t>
            </w:r>
          </w:p>
        </w:tc>
      </w:tr>
      <w:tr>
        <w:trPr>
          <w:cantSplit/>
        </w:trPr>
        <w:tc>
          <w:tcPr>
            <w:tcW w:type="dxa" w:w="648"/>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6</w:t>
            </w:r>
          </w:p>
        </w:tc>
        <w:tc>
          <w:tcPr>
            <w:tcW w:type="dxa" w:w="72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D</w:t>
            </w:r>
          </w:p>
        </w:tc>
        <w:tc>
          <w:tcPr>
            <w:tcW w:type="dxa" w:w="151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Moderate</w:t>
            </w:r>
          </w:p>
        </w:tc>
        <w:tc>
          <w:tcPr>
            <w:tcW w:type="dxa" w:w="511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left"/>
            </w:pPr>
            <w:r>
              <w:rPr>
                <w:rFonts w:ascii="Arial" w:hAnsi="Arial" w:eastAsia="Arial"/>
                <w:color w:val="1F2937"/>
                <w:sz w:val="17"/>
              </w:rPr>
              <w:t>Safety before routine exploration</w:t>
            </w:r>
          </w:p>
        </w:tc>
        <w:tc>
          <w:tcPr>
            <w:tcW w:type="dxa" w:w="252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left"/>
            </w:pPr>
            <w:r>
              <w:rPr>
                <w:rFonts w:ascii="Arial" w:hAnsi="Arial" w:eastAsia="Arial"/>
                <w:color w:val="1F2937"/>
                <w:sz w:val="17"/>
              </w:rPr>
              <w:t>R - Risk / safety / duty</w:t>
            </w:r>
          </w:p>
        </w:tc>
      </w:tr>
      <w:tr>
        <w:trPr>
          <w:cantSplit/>
        </w:trPr>
        <w:tc>
          <w:tcPr>
            <w:tcW w:type="dxa" w:w="648"/>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7</w:t>
            </w:r>
          </w:p>
        </w:tc>
        <w:tc>
          <w:tcPr>
            <w:tcW w:type="dxa" w:w="72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A</w:t>
            </w:r>
          </w:p>
        </w:tc>
        <w:tc>
          <w:tcPr>
            <w:tcW w:type="dxa" w:w="151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Moderate</w:t>
            </w:r>
          </w:p>
        </w:tc>
        <w:tc>
          <w:tcPr>
            <w:tcW w:type="dxa" w:w="511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left"/>
            </w:pPr>
            <w:r>
              <w:rPr>
                <w:rFonts w:ascii="Arial" w:hAnsi="Arial" w:eastAsia="Arial"/>
                <w:color w:val="1F2937"/>
                <w:sz w:val="17"/>
              </w:rPr>
              <w:t>Assessment before diagnosis</w:t>
            </w:r>
          </w:p>
        </w:tc>
        <w:tc>
          <w:tcPr>
            <w:tcW w:type="dxa" w:w="252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left"/>
            </w:pPr>
            <w:r>
              <w:rPr>
                <w:rFonts w:ascii="Arial" w:hAnsi="Arial" w:eastAsia="Arial"/>
                <w:color w:val="1F2937"/>
                <w:sz w:val="17"/>
              </w:rPr>
              <w:t>A - Assessment / diagnosis</w:t>
            </w:r>
          </w:p>
        </w:tc>
      </w:tr>
      <w:tr>
        <w:trPr>
          <w:cantSplit/>
        </w:trPr>
        <w:tc>
          <w:tcPr>
            <w:tcW w:type="dxa" w:w="648"/>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8</w:t>
            </w:r>
          </w:p>
        </w:tc>
        <w:tc>
          <w:tcPr>
            <w:tcW w:type="dxa" w:w="72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C</w:t>
            </w:r>
          </w:p>
        </w:tc>
        <w:tc>
          <w:tcPr>
            <w:tcW w:type="dxa" w:w="151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Easy</w:t>
            </w:r>
          </w:p>
        </w:tc>
        <w:tc>
          <w:tcPr>
            <w:tcW w:type="dxa" w:w="511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left"/>
            </w:pPr>
            <w:r>
              <w:rPr>
                <w:rFonts w:ascii="Arial" w:hAnsi="Arial" w:eastAsia="Arial"/>
                <w:color w:val="1F2937"/>
                <w:sz w:val="17"/>
              </w:rPr>
              <w:t>Culturally responsive alliance</w:t>
            </w:r>
          </w:p>
        </w:tc>
        <w:tc>
          <w:tcPr>
            <w:tcW w:type="dxa" w:w="252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left"/>
            </w:pPr>
            <w:r>
              <w:rPr>
                <w:rFonts w:ascii="Arial" w:hAnsi="Arial" w:eastAsia="Arial"/>
                <w:color w:val="1F2937"/>
                <w:sz w:val="17"/>
              </w:rPr>
              <w:t>C - Culture / context / client voice</w:t>
            </w:r>
          </w:p>
        </w:tc>
      </w:tr>
      <w:tr>
        <w:trPr>
          <w:cantSplit/>
        </w:trPr>
        <w:tc>
          <w:tcPr>
            <w:tcW w:type="dxa" w:w="648"/>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9</w:t>
            </w:r>
          </w:p>
        </w:tc>
        <w:tc>
          <w:tcPr>
            <w:tcW w:type="dxa" w:w="72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B</w:t>
            </w:r>
          </w:p>
        </w:tc>
        <w:tc>
          <w:tcPr>
            <w:tcW w:type="dxa" w:w="151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Difficult</w:t>
            </w:r>
          </w:p>
        </w:tc>
        <w:tc>
          <w:tcPr>
            <w:tcW w:type="dxa" w:w="511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left"/>
            </w:pPr>
            <w:r>
              <w:rPr>
                <w:rFonts w:ascii="Arial" w:hAnsi="Arial" w:eastAsia="Arial"/>
                <w:color w:val="1F2937"/>
                <w:sz w:val="17"/>
              </w:rPr>
              <w:t>Proportionate response after risk assessment</w:t>
            </w:r>
          </w:p>
        </w:tc>
        <w:tc>
          <w:tcPr>
            <w:tcW w:type="dxa" w:w="252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left"/>
            </w:pPr>
            <w:r>
              <w:rPr>
                <w:rFonts w:ascii="Arial" w:hAnsi="Arial" w:eastAsia="Arial"/>
                <w:color w:val="1F2937"/>
                <w:sz w:val="17"/>
              </w:rPr>
              <w:t>R - Risk / safety / duty</w:t>
            </w:r>
          </w:p>
        </w:tc>
      </w:tr>
      <w:tr>
        <w:trPr>
          <w:cantSplit/>
        </w:trPr>
        <w:tc>
          <w:tcPr>
            <w:tcW w:type="dxa" w:w="648"/>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10</w:t>
            </w:r>
          </w:p>
        </w:tc>
        <w:tc>
          <w:tcPr>
            <w:tcW w:type="dxa" w:w="72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D</w:t>
            </w:r>
          </w:p>
        </w:tc>
        <w:tc>
          <w:tcPr>
            <w:tcW w:type="dxa" w:w="151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Moderate</w:t>
            </w:r>
          </w:p>
        </w:tc>
        <w:tc>
          <w:tcPr>
            <w:tcW w:type="dxa" w:w="511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left"/>
            </w:pPr>
            <w:r>
              <w:rPr>
                <w:rFonts w:ascii="Arial" w:hAnsi="Arial" w:eastAsia="Arial"/>
                <w:color w:val="1F2937"/>
                <w:sz w:val="17"/>
              </w:rPr>
              <w:t>Measurable collaborative goals</w:t>
            </w:r>
          </w:p>
        </w:tc>
        <w:tc>
          <w:tcPr>
            <w:tcW w:type="dxa" w:w="252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left"/>
            </w:pPr>
            <w:r>
              <w:rPr>
                <w:rFonts w:ascii="Arial" w:hAnsi="Arial" w:eastAsia="Arial"/>
                <w:color w:val="1F2937"/>
                <w:sz w:val="17"/>
              </w:rPr>
              <w:t>S - Sequence / timing</w:t>
            </w:r>
          </w:p>
        </w:tc>
      </w:tr>
      <w:tr>
        <w:trPr>
          <w:cantSplit/>
        </w:trPr>
        <w:tc>
          <w:tcPr>
            <w:tcW w:type="dxa" w:w="648"/>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11</w:t>
            </w:r>
          </w:p>
        </w:tc>
        <w:tc>
          <w:tcPr>
            <w:tcW w:type="dxa" w:w="72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A</w:t>
            </w:r>
          </w:p>
        </w:tc>
        <w:tc>
          <w:tcPr>
            <w:tcW w:type="dxa" w:w="151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Difficult</w:t>
            </w:r>
          </w:p>
        </w:tc>
        <w:tc>
          <w:tcPr>
            <w:tcW w:type="dxa" w:w="511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left"/>
            </w:pPr>
            <w:r>
              <w:rPr>
                <w:rFonts w:ascii="Arial" w:hAnsi="Arial" w:eastAsia="Arial"/>
                <w:color w:val="1F2937"/>
                <w:sz w:val="17"/>
              </w:rPr>
              <w:t>Theory-consistent initial intervention</w:t>
            </w:r>
          </w:p>
        </w:tc>
        <w:tc>
          <w:tcPr>
            <w:tcW w:type="dxa" w:w="252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left"/>
            </w:pPr>
            <w:r>
              <w:rPr>
                <w:rFonts w:ascii="Arial" w:hAnsi="Arial" w:eastAsia="Arial"/>
                <w:color w:val="1F2937"/>
                <w:sz w:val="17"/>
              </w:rPr>
              <w:t>I - Intervention / theory fit</w:t>
            </w:r>
          </w:p>
        </w:tc>
      </w:tr>
      <w:tr>
        <w:trPr>
          <w:cantSplit/>
        </w:trPr>
        <w:tc>
          <w:tcPr>
            <w:tcW w:type="dxa" w:w="648"/>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12</w:t>
            </w:r>
          </w:p>
        </w:tc>
        <w:tc>
          <w:tcPr>
            <w:tcW w:type="dxa" w:w="72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C</w:t>
            </w:r>
          </w:p>
        </w:tc>
        <w:tc>
          <w:tcPr>
            <w:tcW w:type="dxa" w:w="151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Easy</w:t>
            </w:r>
          </w:p>
        </w:tc>
        <w:tc>
          <w:tcPr>
            <w:tcW w:type="dxa" w:w="511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left"/>
            </w:pPr>
            <w:r>
              <w:rPr>
                <w:rFonts w:ascii="Arial" w:hAnsi="Arial" w:eastAsia="Arial"/>
                <w:color w:val="1F2937"/>
                <w:sz w:val="17"/>
              </w:rPr>
              <w:t>Barrier-responsive continuity</w:t>
            </w:r>
          </w:p>
        </w:tc>
        <w:tc>
          <w:tcPr>
            <w:tcW w:type="dxa" w:w="252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left"/>
            </w:pPr>
            <w:r>
              <w:rPr>
                <w:rFonts w:ascii="Arial" w:hAnsi="Arial" w:eastAsia="Arial"/>
                <w:color w:val="1F2937"/>
                <w:sz w:val="17"/>
              </w:rPr>
              <w:t>C - Culture / context / client voice</w:t>
            </w:r>
          </w:p>
        </w:tc>
      </w:tr>
      <w:tr>
        <w:trPr>
          <w:cantSplit/>
        </w:trPr>
        <w:tc>
          <w:tcPr>
            <w:tcW w:type="dxa" w:w="648"/>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13</w:t>
            </w:r>
          </w:p>
        </w:tc>
        <w:tc>
          <w:tcPr>
            <w:tcW w:type="dxa" w:w="72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B</w:t>
            </w:r>
          </w:p>
        </w:tc>
        <w:tc>
          <w:tcPr>
            <w:tcW w:type="dxa" w:w="151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Difficult</w:t>
            </w:r>
          </w:p>
        </w:tc>
        <w:tc>
          <w:tcPr>
            <w:tcW w:type="dxa" w:w="511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left"/>
            </w:pPr>
            <w:r>
              <w:rPr>
                <w:rFonts w:ascii="Arial" w:hAnsi="Arial" w:eastAsia="Arial"/>
                <w:color w:val="1F2937"/>
                <w:sz w:val="17"/>
              </w:rPr>
              <w:t>Counselor role and medication coordination</w:t>
            </w:r>
          </w:p>
        </w:tc>
        <w:tc>
          <w:tcPr>
            <w:tcW w:type="dxa" w:w="252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left"/>
            </w:pPr>
            <w:r>
              <w:rPr>
                <w:rFonts w:ascii="Arial" w:hAnsi="Arial" w:eastAsia="Arial"/>
                <w:color w:val="1F2937"/>
                <w:sz w:val="17"/>
              </w:rPr>
              <w:t>P - Professional role / scope</w:t>
            </w:r>
          </w:p>
        </w:tc>
      </w:tr>
      <w:tr>
        <w:trPr>
          <w:cantSplit/>
        </w:trPr>
        <w:tc>
          <w:tcPr>
            <w:tcW w:type="dxa" w:w="648"/>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14</w:t>
            </w:r>
          </w:p>
        </w:tc>
        <w:tc>
          <w:tcPr>
            <w:tcW w:type="dxa" w:w="72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D</w:t>
            </w:r>
          </w:p>
        </w:tc>
        <w:tc>
          <w:tcPr>
            <w:tcW w:type="dxa" w:w="151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Moderate</w:t>
            </w:r>
          </w:p>
        </w:tc>
        <w:tc>
          <w:tcPr>
            <w:tcW w:type="dxa" w:w="511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left"/>
            </w:pPr>
            <w:r>
              <w:rPr>
                <w:rFonts w:ascii="Arial" w:hAnsi="Arial" w:eastAsia="Arial"/>
                <w:color w:val="1F2937"/>
                <w:sz w:val="17"/>
              </w:rPr>
              <w:t>Collaborative termination and maintenance</w:t>
            </w:r>
          </w:p>
        </w:tc>
        <w:tc>
          <w:tcPr>
            <w:tcW w:type="dxa" w:w="252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left"/>
            </w:pPr>
            <w:r>
              <w:rPr>
                <w:rFonts w:ascii="Arial" w:hAnsi="Arial" w:eastAsia="Arial"/>
                <w:color w:val="1F2937"/>
                <w:sz w:val="17"/>
              </w:rPr>
              <w:t>S - Sequence / timing</w:t>
            </w:r>
          </w:p>
        </w:tc>
      </w:tr>
      <w:tr>
        <w:trPr>
          <w:cantSplit/>
        </w:trPr>
        <w:tc>
          <w:tcPr>
            <w:tcW w:type="dxa" w:w="648"/>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15</w:t>
            </w:r>
          </w:p>
        </w:tc>
        <w:tc>
          <w:tcPr>
            <w:tcW w:type="dxa" w:w="72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A</w:t>
            </w:r>
          </w:p>
        </w:tc>
        <w:tc>
          <w:tcPr>
            <w:tcW w:type="dxa" w:w="151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Difficult</w:t>
            </w:r>
          </w:p>
        </w:tc>
        <w:tc>
          <w:tcPr>
            <w:tcW w:type="dxa" w:w="511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left"/>
            </w:pPr>
            <w:r>
              <w:rPr>
                <w:rFonts w:ascii="Arial" w:hAnsi="Arial" w:eastAsia="Arial"/>
                <w:color w:val="1F2937"/>
                <w:sz w:val="17"/>
              </w:rPr>
              <w:t>Reassessment when risk changes</w:t>
            </w:r>
          </w:p>
        </w:tc>
        <w:tc>
          <w:tcPr>
            <w:tcW w:type="dxa" w:w="252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left"/>
            </w:pPr>
            <w:r>
              <w:rPr>
                <w:rFonts w:ascii="Arial" w:hAnsi="Arial" w:eastAsia="Arial"/>
                <w:color w:val="1F2937"/>
                <w:sz w:val="17"/>
              </w:rPr>
              <w:t>R - Risk / safety / duty</w:t>
            </w:r>
          </w:p>
        </w:tc>
      </w:tr>
      <w:tr>
        <w:trPr>
          <w:cantSplit/>
        </w:trPr>
        <w:tc>
          <w:tcPr>
            <w:tcW w:type="dxa" w:w="648"/>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16</w:t>
            </w:r>
          </w:p>
        </w:tc>
        <w:tc>
          <w:tcPr>
            <w:tcW w:type="dxa" w:w="72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C</w:t>
            </w:r>
          </w:p>
        </w:tc>
        <w:tc>
          <w:tcPr>
            <w:tcW w:type="dxa" w:w="151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Difficult</w:t>
            </w:r>
          </w:p>
        </w:tc>
        <w:tc>
          <w:tcPr>
            <w:tcW w:type="dxa" w:w="511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left"/>
            </w:pPr>
            <w:r>
              <w:rPr>
                <w:rFonts w:ascii="Arial" w:hAnsi="Arial" w:eastAsia="Arial"/>
                <w:color w:val="1F2937"/>
                <w:sz w:val="17"/>
              </w:rPr>
              <w:t>Revising termination after changed risk</w:t>
            </w:r>
          </w:p>
        </w:tc>
        <w:tc>
          <w:tcPr>
            <w:tcW w:type="dxa" w:w="252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left"/>
            </w:pPr>
            <w:r>
              <w:rPr>
                <w:rFonts w:ascii="Arial" w:hAnsi="Arial" w:eastAsia="Arial"/>
                <w:color w:val="1F2937"/>
                <w:sz w:val="17"/>
              </w:rPr>
              <w:t>R - Risk / safety / duty</w:t>
            </w:r>
          </w:p>
        </w:tc>
      </w:tr>
      <w:tr>
        <w:trPr>
          <w:cantSplit/>
        </w:trPr>
        <w:tc>
          <w:tcPr>
            <w:tcW w:type="dxa" w:w="648"/>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17</w:t>
            </w:r>
          </w:p>
        </w:tc>
        <w:tc>
          <w:tcPr>
            <w:tcW w:type="dxa" w:w="72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B</w:t>
            </w:r>
          </w:p>
        </w:tc>
        <w:tc>
          <w:tcPr>
            <w:tcW w:type="dxa" w:w="151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center"/>
            </w:pPr>
            <w:r>
              <w:rPr>
                <w:rFonts w:ascii="Arial" w:hAnsi="Arial" w:eastAsia="Arial"/>
                <w:color w:val="1F2937"/>
                <w:sz w:val="17"/>
              </w:rPr>
              <w:t>Moderate</w:t>
            </w:r>
          </w:p>
        </w:tc>
        <w:tc>
          <w:tcPr>
            <w:tcW w:type="dxa" w:w="511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left"/>
            </w:pPr>
            <w:r>
              <w:rPr>
                <w:rFonts w:ascii="Arial" w:hAnsi="Arial" w:eastAsia="Arial"/>
                <w:color w:val="1F2937"/>
                <w:sz w:val="17"/>
              </w:rPr>
              <w:t>Termination documentation and continuity</w:t>
            </w:r>
          </w:p>
        </w:tc>
        <w:tc>
          <w:tcPr>
            <w:tcW w:type="dxa" w:w="252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jc w:val="left"/>
            </w:pPr>
            <w:r>
              <w:rPr>
                <w:rFonts w:ascii="Arial" w:hAnsi="Arial" w:eastAsia="Arial"/>
                <w:color w:val="1F2937"/>
                <w:sz w:val="17"/>
              </w:rPr>
              <w:t>P - Professional role / scope</w:t>
            </w:r>
          </w:p>
        </w:tc>
      </w:tr>
    </w:tbl>
    <w:p>
      <w:pPr>
        <w:spacing w:after="0"/>
      </w:pPr>
    </w:p>
    <w:p>
      <w:pPr>
        <w:pStyle w:val="Heading2"/>
        <w:spacing w:before="140" w:after="80"/>
        <w:keepNext/>
      </w:pPr>
      <w:r>
        <w:rPr>
          <w:rFonts w:ascii="Arial" w:hAnsi="Arial" w:eastAsia="Arial"/>
          <w:b/>
          <w:color w:val="159C9C"/>
          <w:sz w:val="26"/>
        </w:rPr>
        <w:t>Case Evidence Ledger</w:t>
      </w:r>
    </w:p>
    <w:tbl>
      <w:tblPr>
        <w:tblW w:type="auto" w:w="0"/>
        <w:jc w:val="center"/>
        <w:tblLayout w:type="fixed"/>
        <w:tblLook w:firstColumn="1" w:firstRow="1" w:lastColumn="0" w:lastRow="0" w:noHBand="0" w:noVBand="1" w:val="04A0"/>
      </w:tblPr>
      <w:tblGrid>
        <w:gridCol w:w="3437"/>
        <w:gridCol w:w="3437"/>
        <w:gridCol w:w="3437"/>
      </w:tblGrid>
      <w:tr>
        <w:trPr>
          <w:tblHeader w:val="true"/>
          <w:cantSplit/>
        </w:trPr>
        <w:tc>
          <w:tcPr>
            <w:tcW w:type="dxa" w:w="1800"/>
            <w:shd w:fill="17365D"/>
            <w:tcMar>
              <w:top w:w="85" w:type="dxa"/>
              <w:start w:w="90" w:type="dxa"/>
              <w:bottom w:w="85" w:type="dxa"/>
              <w:end w:w="90"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Section</w:t>
            </w:r>
          </w:p>
        </w:tc>
        <w:tc>
          <w:tcPr>
            <w:tcW w:type="dxa" w:w="5256"/>
            <w:shd w:fill="17365D"/>
            <w:tcMar>
              <w:top w:w="85" w:type="dxa"/>
              <w:start w:w="90" w:type="dxa"/>
              <w:bottom w:w="85" w:type="dxa"/>
              <w:end w:w="90"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Decision-Relevant Evidence</w:t>
            </w:r>
          </w:p>
        </w:tc>
        <w:tc>
          <w:tcPr>
            <w:tcW w:type="dxa" w:w="3456"/>
            <w:shd w:fill="17365D"/>
            <w:tcMar>
              <w:top w:w="85" w:type="dxa"/>
              <w:start w:w="90" w:type="dxa"/>
              <w:bottom w:w="85" w:type="dxa"/>
              <w:end w:w="90"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What Is Not Yet Established</w:t>
            </w:r>
          </w:p>
        </w:tc>
      </w:tr>
      <w:tr>
        <w:trPr>
          <w:cantSplit/>
        </w:trPr>
        <w:tc>
          <w:tcPr>
            <w:tcW w:type="dxa" w:w="180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Part 1 - Intake</w:t>
            </w:r>
          </w:p>
        </w:tc>
        <w:tc>
          <w:tcPr>
            <w:tcW w:type="dxa" w:w="5256"/>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Passive death wish; no direct risk assessment yet; mood/anxiety/sleep/function concerns; cannabis, caffeine, palpitations; family privacy meaning; intact orientation and linear thought.</w:t>
            </w:r>
          </w:p>
        </w:tc>
        <w:tc>
          <w:tcPr>
            <w:tcW w:type="dxa" w:w="3456"/>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Current risk level; full diagnosis; cause of symptoms; medical findings; treatment plan or intervention response.</w:t>
            </w:r>
          </w:p>
        </w:tc>
      </w:tr>
      <w:tr>
        <w:trPr>
          <w:cantSplit/>
        </w:trPr>
        <w:tc>
          <w:tcPr>
            <w:tcW w:type="dxa" w:w="180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Part 2 - Three weeks</w:t>
            </w:r>
          </w:p>
        </w:tc>
        <w:tc>
          <w:tcPr>
            <w:tcW w:type="dxa" w:w="5256"/>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Safety plan completed; no further suicidal thoughts; no acute medical cause; palpitations decreased; client-defined goals; structured-treatment preference; agreed maintenance factors.</w:t>
            </w:r>
          </w:p>
        </w:tc>
        <w:tc>
          <w:tcPr>
            <w:tcW w:type="dxa" w:w="3456"/>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Long-term outcome; readiness for termination; future recurrence of risk.</w:t>
            </w:r>
          </w:p>
        </w:tc>
      </w:tr>
      <w:tr>
        <w:trPr>
          <w:cantSplit/>
        </w:trPr>
        <w:tc>
          <w:tcPr>
            <w:tcW w:type="dxa" w:w="180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Part 3 - Eight weeks</w:t>
            </w:r>
          </w:p>
        </w:tc>
        <w:tc>
          <w:tcPr>
            <w:tcW w:type="dxa" w:w="5256"/>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Meaningful improvement; reduced cannabis; better sleep and function; termination request; relapse concern; passive death wish returns after conflict.</w:t>
            </w:r>
          </w:p>
        </w:tc>
        <w:tc>
          <w:tcPr>
            <w:tcW w:type="dxa" w:w="3456"/>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t>Current risk level after recurrence; whether termination remains appropriate until reassessment occurs.</w:t>
            </w:r>
          </w:p>
        </w:tc>
      </w:tr>
    </w:tbl>
    <w:p>
      <w:pPr>
        <w:spacing w:after="0"/>
      </w:pPr>
    </w:p>
    <w:tbl>
      <w:tblPr>
        <w:tblW w:type="auto" w:w="0"/>
        <w:jc w:val="center"/>
        <w:tblLook w:firstColumn="1" w:firstRow="1" w:lastColumn="0" w:lastRow="0" w:noHBand="0" w:noVBand="1" w:val="04A0"/>
      </w:tblPr>
      <w:tblGrid>
        <w:gridCol w:w="10310"/>
      </w:tblGrid>
      <w:tr>
        <w:trPr>
          <w:cantSplit/>
          <w:tblHeader w:val="true"/>
        </w:trPr>
        <w:tc>
          <w:tcPr>
            <w:tcW w:type="dxa" w:w="10310"/>
            <w:shd w:fill="EAF0F7"/>
            <w:tcBorders>
              <w:top w:val="single" w:sz="10" w:color="1F4E78"/>
              <w:left w:val="single" w:sz="10" w:color="1F4E78"/>
              <w:bottom w:val="single" w:sz="10" w:color="1F4E78"/>
              <w:right w:val="single" w:sz="10" w:color="1F4E78"/>
            </w:tcBorders>
            <w:tcMar>
              <w:top w:w="110" w:type="dxa"/>
              <w:start w:w="140" w:type="dxa"/>
              <w:bottom w:w="110" w:type="dxa"/>
              <w:end w:w="140" w:type="dxa"/>
            </w:tcMar>
          </w:tcPr>
          <w:p>
            <w:pPr>
              <w:spacing w:after="60"/>
            </w:pPr>
            <w:r>
              <w:rPr>
                <w:rFonts w:ascii="Arial" w:hAnsi="Arial" w:eastAsia="Arial"/>
                <w:b/>
                <w:color w:val="17365D"/>
                <w:sz w:val="21"/>
              </w:rPr>
              <w:t>EVIDENCE-CONTROL REMINDER</w:t>
            </w:r>
          </w:p>
          <w:p>
            <w:pPr>
              <w:spacing w:after="20" w:line="250" w:lineRule="auto"/>
            </w:pPr>
            <w:r>
              <w:rPr>
                <w:rFonts w:ascii="Arial" w:hAnsi="Arial" w:eastAsia="Arial"/>
                <w:color w:val="1F2937"/>
                <w:sz w:val="20"/>
              </w:rPr>
              <w:t>Later information can guide later questions, but it cannot retroactively become evidence for an earlier case section.</w:t>
            </w:r>
          </w:p>
        </w:tc>
      </w:tr>
    </w:tbl>
    <w:p>
      <w:pPr>
        <w:spacing w:after="0"/>
      </w:pPr>
    </w:p>
    <w:p>
      <w:r>
        <w:br w:type="page"/>
      </w:r>
    </w:p>
    <w:p>
      <w:pPr>
        <w:pStyle w:val="Heading2"/>
        <w:spacing w:before="0" w:after="60"/>
      </w:pPr>
      <w:r>
        <w:rPr>
          <w:rFonts w:ascii="Arial" w:hAnsi="Arial" w:eastAsia="Arial"/>
          <w:b/>
          <w:color w:val="159C9C"/>
          <w:sz w:val="26"/>
        </w:rPr>
        <w:t>Question 1 (LPCC-WB01-PB-Q001)</w:t>
      </w:r>
    </w:p>
    <w:p>
      <w:pPr>
        <w:spacing w:before="100" w:after="40"/>
        <w:keepNext/>
      </w:pPr>
      <w:r>
        <w:rPr>
          <w:rFonts w:ascii="Arial" w:hAnsi="Arial" w:eastAsia="Arial"/>
          <w:b/>
          <w:color w:val="1F7A8C"/>
          <w:sz w:val="17"/>
        </w:rPr>
        <w:t>LPCC-WB01-PB-Q001 | Knowledge &amp; Recall | Easy | Primary concept: Current NCMHCE structure</w:t>
      </w:r>
    </w:p>
    <w:p>
      <w:pPr>
        <w:spacing w:after="60" w:line="250" w:lineRule="auto"/>
      </w:pPr>
      <w:r>
        <w:rPr>
          <w:rFonts w:ascii="Arial" w:hAnsi="Arial" w:eastAsia="Arial"/>
          <w:b/>
          <w:color w:val="1F2937"/>
          <w:sz w:val="20"/>
        </w:rPr>
        <w:t>Which description matches the current NCMHCE structure used for state-licensure candidates?</w:t>
      </w:r>
    </w:p>
    <w:p>
      <w:pPr>
        <w:spacing w:after="40"/>
        <w:ind w:left="230" w:hanging="230"/>
      </w:pPr>
      <w:r>
        <w:rPr>
          <w:rFonts w:ascii="Arial" w:hAnsi="Arial" w:eastAsia="Arial"/>
          <w:sz w:val="20"/>
        </w:rPr>
        <w:t>A. Ten case studies with exactly 100 questions and 180 minutes of item time.</w:t>
      </w:r>
    </w:p>
    <w:p>
      <w:pPr>
        <w:spacing w:after="40"/>
        <w:ind w:left="230" w:hanging="230"/>
      </w:pPr>
      <w:r>
        <w:rPr>
          <w:rFonts w:ascii="Arial" w:hAnsi="Arial" w:eastAsia="Arial"/>
          <w:sz w:val="20"/>
        </w:rPr>
        <w:t>B. Eleven case studies, 130-150 questions presented, 100 scored items, and 225 minutes of item time.</w:t>
      </w:r>
    </w:p>
    <w:p>
      <w:pPr>
        <w:spacing w:after="40"/>
        <w:ind w:left="230" w:hanging="230"/>
      </w:pPr>
      <w:r>
        <w:rPr>
          <w:rFonts w:ascii="Arial" w:hAnsi="Arial" w:eastAsia="Arial"/>
          <w:sz w:val="20"/>
        </w:rPr>
        <w:t>C. Eleven independent vignettes with unlimited review after every case is completed.</w:t>
      </w:r>
    </w:p>
    <w:p>
      <w:pPr>
        <w:spacing w:after="40"/>
        <w:ind w:left="230" w:hanging="230"/>
      </w:pPr>
      <w:r>
        <w:rPr>
          <w:rFonts w:ascii="Arial" w:hAnsi="Arial" w:eastAsia="Arial"/>
          <w:sz w:val="20"/>
        </w:rPr>
        <w:t>D. Seventy-five questions organized by content domain rather than case study.</w:t>
      </w:r>
    </w:p>
    <w:tbl>
      <w:tblPr>
        <w:tblW w:type="auto" w:w="0"/>
        <w:jc w:val="center"/>
        <w:tblLook w:firstColumn="1" w:firstRow="1" w:lastColumn="0" w:lastRow="0" w:noHBand="0" w:noVBand="1" w:val="04A0"/>
      </w:tblPr>
      <w:tblGrid>
        <w:gridCol w:w="10310"/>
      </w:tblGrid>
      <w:tr>
        <w:trPr>
          <w:cantSplit/>
          <w:tblHeader w:val="true"/>
        </w:trPr>
        <w:tc>
          <w:tcPr>
            <w:tcW w:type="dxa" w:w="10310"/>
            <w:shd w:fill="E7F2EA"/>
            <w:tcBorders>
              <w:top w:val="single" w:sz="10" w:color="1F7A8C"/>
              <w:left w:val="single" w:sz="10" w:color="1F7A8C"/>
              <w:bottom w:val="single" w:sz="10" w:color="1F7A8C"/>
              <w:right w:val="single" w:sz="10" w:color="1F7A8C"/>
            </w:tcBorders>
            <w:tcMar>
              <w:top w:w="110" w:type="dxa"/>
              <w:start w:w="140" w:type="dxa"/>
              <w:bottom w:w="110" w:type="dxa"/>
              <w:end w:w="140" w:type="dxa"/>
            </w:tcMar>
          </w:tcPr>
          <w:p>
            <w:pPr>
              <w:spacing w:after="60"/>
            </w:pPr>
            <w:r>
              <w:rPr>
                <w:rFonts w:ascii="Arial" w:hAnsi="Arial" w:eastAsia="Arial"/>
                <w:b/>
                <w:color w:val="17365D"/>
                <w:sz w:val="21"/>
              </w:rPr>
              <w:t>CORRECT ANSWER</w:t>
            </w:r>
          </w:p>
          <w:p>
            <w:pPr>
              <w:spacing w:after="20" w:line="250" w:lineRule="auto"/>
            </w:pPr>
            <w:r>
              <w:rPr>
                <w:rFonts w:ascii="Arial" w:hAnsi="Arial" w:eastAsia="Arial"/>
                <w:color w:val="1F2937"/>
                <w:sz w:val="20"/>
              </w:rPr>
              <w:t>B. Eleven case studies, 130-150 questions presented, 100 scored items, and 225 minutes of item time.</w:t>
            </w:r>
          </w:p>
        </w:tc>
      </w:tr>
    </w:tbl>
    <w:p>
      <w:pPr>
        <w:spacing w:after="0"/>
      </w:pPr>
    </w:p>
    <w:p>
      <w:pPr>
        <w:pStyle w:val="Heading3"/>
        <w:spacing w:before="100" w:after="80"/>
        <w:keepNext/>
      </w:pPr>
      <w:r>
        <w:rPr>
          <w:rFonts w:ascii="Arial" w:hAnsi="Arial" w:eastAsia="Arial"/>
          <w:b/>
          <w:color w:val="17365D"/>
          <w:sz w:val="23"/>
        </w:rPr>
        <w:t>Why Each Option Is Correct or Incorrect</w:t>
      </w:r>
    </w:p>
    <w:p>
      <w:pPr>
        <w:spacing w:after="60" w:line="250" w:lineRule="auto"/>
        <w:ind w:left="173" w:hanging="173"/>
      </w:pPr>
      <w:r>
        <w:rPr>
          <w:rFonts w:ascii="Arial" w:hAnsi="Arial" w:eastAsia="Arial"/>
          <w:b/>
          <w:color w:val="17365D"/>
          <w:sz w:val="20"/>
        </w:rPr>
        <w:t xml:space="preserve">A. </w:t>
      </w:r>
      <w:r>
        <w:rPr>
          <w:rFonts w:ascii="Arial" w:hAnsi="Arial" w:eastAsia="Arial"/>
          <w:b/>
          <w:color w:val="1F2937"/>
          <w:sz w:val="20"/>
        </w:rPr>
        <w:t xml:space="preserve">Incorrect. </w:t>
      </w:r>
      <w:r>
        <w:rPr>
          <w:rFonts w:ascii="Arial" w:hAnsi="Arial" w:eastAsia="Arial"/>
          <w:color w:val="1F2937"/>
          <w:sz w:val="20"/>
        </w:rPr>
        <w:t>The 10-case structure belongs to the specifications effective July 1, 2027, and the current exam is not limited to exactly 100 questions presented.</w:t>
      </w:r>
    </w:p>
    <w:p>
      <w:pPr>
        <w:spacing w:after="60" w:line="250" w:lineRule="auto"/>
        <w:ind w:left="173" w:hanging="173"/>
      </w:pPr>
      <w:r>
        <w:rPr>
          <w:rFonts w:ascii="Arial" w:hAnsi="Arial" w:eastAsia="Arial"/>
          <w:b/>
          <w:color w:val="1F7A8C"/>
          <w:sz w:val="20"/>
        </w:rPr>
        <w:t xml:space="preserve">B. </w:t>
      </w:r>
      <w:r>
        <w:rPr>
          <w:rFonts w:ascii="Arial" w:hAnsi="Arial" w:eastAsia="Arial"/>
          <w:b/>
          <w:color w:val="1F7A8C"/>
          <w:sz w:val="20"/>
        </w:rPr>
        <w:t xml:space="preserve">Correct. </w:t>
      </w:r>
      <w:r>
        <w:rPr>
          <w:rFonts w:ascii="Arial" w:hAnsi="Arial" w:eastAsia="Arial"/>
          <w:color w:val="1F2937"/>
          <w:sz w:val="20"/>
        </w:rPr>
        <w:t>This matches the current published structure: 11 case studies, 130-150 questions presented, 100 scored items, and 225 minutes of item time.</w:t>
      </w:r>
    </w:p>
    <w:p>
      <w:pPr>
        <w:spacing w:after="60" w:line="250" w:lineRule="auto"/>
        <w:ind w:left="173" w:hanging="173"/>
      </w:pPr>
      <w:r>
        <w:rPr>
          <w:rFonts w:ascii="Arial" w:hAnsi="Arial" w:eastAsia="Arial"/>
          <w:b/>
          <w:color w:val="17365D"/>
          <w:sz w:val="20"/>
        </w:rPr>
        <w:t xml:space="preserve">C. </w:t>
      </w:r>
      <w:r>
        <w:rPr>
          <w:rFonts w:ascii="Arial" w:hAnsi="Arial" w:eastAsia="Arial"/>
          <w:b/>
          <w:color w:val="1F2937"/>
          <w:sz w:val="20"/>
        </w:rPr>
        <w:t xml:space="preserve">Incorrect. </w:t>
      </w:r>
      <w:r>
        <w:rPr>
          <w:rFonts w:ascii="Arial" w:hAnsi="Arial" w:eastAsia="Arial"/>
          <w:color w:val="1F2937"/>
          <w:sz w:val="20"/>
        </w:rPr>
        <w:t>Current cases progress in sections, and candidates cannot return to a prior section after advancing. Review is not unlimited.</w:t>
      </w:r>
    </w:p>
    <w:p>
      <w:pPr>
        <w:spacing w:after="60" w:line="250" w:lineRule="auto"/>
        <w:ind w:left="173" w:hanging="173"/>
      </w:pPr>
      <w:r>
        <w:rPr>
          <w:rFonts w:ascii="Arial" w:hAnsi="Arial" w:eastAsia="Arial"/>
          <w:b/>
          <w:color w:val="17365D"/>
          <w:sz w:val="20"/>
        </w:rPr>
        <w:t xml:space="preserve">D. </w:t>
      </w:r>
      <w:r>
        <w:rPr>
          <w:rFonts w:ascii="Arial" w:hAnsi="Arial" w:eastAsia="Arial"/>
          <w:b/>
          <w:color w:val="1F2937"/>
          <w:sz w:val="20"/>
        </w:rPr>
        <w:t xml:space="preserve">Incorrect. </w:t>
      </w:r>
      <w:r>
        <w:rPr>
          <w:rFonts w:ascii="Arial" w:hAnsi="Arial" w:eastAsia="Arial"/>
          <w:color w:val="1F2937"/>
          <w:sz w:val="20"/>
        </w:rPr>
        <w:t>The NCMHCE is case based and does not use a 75-question domain-block format.</w:t>
      </w:r>
    </w:p>
    <w:tbl>
      <w:tblPr>
        <w:tblW w:type="auto" w:w="0"/>
        <w:jc w:val="center"/>
        <w:tblLook w:firstColumn="1" w:firstRow="1" w:lastColumn="0" w:lastRow="0" w:noHBand="0" w:noVBand="1" w:val="04A0"/>
      </w:tblPr>
      <w:tblGrid>
        <w:gridCol w:w="10310"/>
      </w:tblGrid>
      <w:tr>
        <w:trPr>
          <w:cantSplit/>
          <w:tblHeader w:val="true"/>
        </w:trPr>
        <w:tc>
          <w:tcPr>
            <w:tcW w:type="dxa" w:w="10310"/>
            <w:shd w:fill="E7F3F3"/>
            <w:tcBorders>
              <w:top w:val="single" w:sz="10" w:color="159C9C"/>
              <w:left w:val="single" w:sz="10" w:color="159C9C"/>
              <w:bottom w:val="single" w:sz="10" w:color="159C9C"/>
              <w:right w:val="single" w:sz="10" w:color="159C9C"/>
            </w:tcBorders>
            <w:tcMar>
              <w:top w:w="110" w:type="dxa"/>
              <w:start w:w="140" w:type="dxa"/>
              <w:bottom w:w="110" w:type="dxa"/>
              <w:end w:w="140" w:type="dxa"/>
            </w:tcMar>
          </w:tcPr>
          <w:p>
            <w:pPr>
              <w:spacing w:after="60"/>
            </w:pPr>
            <w:r>
              <w:rPr>
                <w:rFonts w:ascii="Arial" w:hAnsi="Arial" w:eastAsia="Arial"/>
                <w:b/>
                <w:color w:val="1F7A8C"/>
                <w:sz w:val="21"/>
              </w:rPr>
              <w:t>CTA EXAM STRATEGY</w:t>
            </w:r>
          </w:p>
          <w:p>
            <w:pPr>
              <w:spacing w:after="20" w:line="250" w:lineRule="auto"/>
            </w:pPr>
            <w:r>
              <w:rPr>
                <w:rFonts w:ascii="Arial" w:hAnsi="Arial" w:eastAsia="Arial"/>
                <w:color w:val="1F2937"/>
                <w:sz w:val="19"/>
              </w:rPr>
              <w:t>Separate current-format facts from the July 1, 2027 specifications. Anchor the case count, question range, scored-item count, and item time to the candidate’s test date.</w:t>
            </w:r>
          </w:p>
        </w:tc>
      </w:tr>
    </w:tbl>
    <w:p>
      <w:pPr>
        <w:spacing w:after="0"/>
      </w:pPr>
    </w:p>
    <w:tbl>
      <w:tblPr>
        <w:tblW w:type="auto" w:w="0"/>
        <w:jc w:val="center"/>
        <w:tblLook w:firstColumn="1" w:firstRow="1" w:lastColumn="0" w:lastRow="0" w:noHBand="0" w:noVBand="1" w:val="04A0"/>
      </w:tblPr>
      <w:tblGrid>
        <w:gridCol w:w="10310"/>
      </w:tblGrid>
      <w:tr>
        <w:trPr>
          <w:cantSplit/>
          <w:tblHeader w:val="true"/>
        </w:trPr>
        <w:tc>
          <w:tcPr>
            <w:tcW w:type="dxa" w:w="10310"/>
            <w:shd w:fill="EAF0F7"/>
            <w:tcBorders>
              <w:top w:val="single" w:sz="10" w:color="1F4E78"/>
              <w:left w:val="single" w:sz="10" w:color="1F4E78"/>
              <w:bottom w:val="single" w:sz="10" w:color="1F4E78"/>
              <w:right w:val="single" w:sz="10" w:color="1F4E78"/>
            </w:tcBorders>
            <w:tcMar>
              <w:top w:w="110" w:type="dxa"/>
              <w:start w:w="140" w:type="dxa"/>
              <w:bottom w:w="110" w:type="dxa"/>
              <w:end w:w="140" w:type="dxa"/>
            </w:tcMar>
          </w:tcPr>
          <w:p>
            <w:pPr>
              <w:spacing w:after="60"/>
            </w:pPr>
            <w:r>
              <w:rPr>
                <w:rFonts w:ascii="Arial" w:hAnsi="Arial" w:eastAsia="Arial"/>
                <w:b/>
                <w:color w:val="17365D"/>
                <w:sz w:val="21"/>
              </w:rPr>
              <w:t>LIKELY ERROR CODE</w:t>
            </w:r>
          </w:p>
          <w:p>
            <w:pPr>
              <w:spacing w:after="20" w:line="250" w:lineRule="auto"/>
            </w:pPr>
            <w:r>
              <w:rPr>
                <w:rFonts w:ascii="Arial" w:hAnsi="Arial" w:eastAsia="Arial"/>
                <w:color w:val="1F2937"/>
                <w:sz w:val="19"/>
              </w:rPr>
              <w:t>K - Knowledge gap. Recheck the official handbook that applies to the scheduled examination date.</w:t>
            </w:r>
          </w:p>
        </w:tc>
      </w:tr>
    </w:tbl>
    <w:p>
      <w:pPr>
        <w:spacing w:after="0"/>
      </w:pPr>
    </w:p>
    <w:p>
      <w:r>
        <w:br w:type="page"/>
      </w:r>
    </w:p>
    <w:p>
      <w:pPr>
        <w:pStyle w:val="Heading2"/>
        <w:spacing w:before="0" w:after="60"/>
      </w:pPr>
      <w:r>
        <w:rPr>
          <w:rFonts w:ascii="Arial" w:hAnsi="Arial" w:eastAsia="Arial"/>
          <w:b/>
          <w:color w:val="159C9C"/>
          <w:sz w:val="26"/>
        </w:rPr>
        <w:t>Question 2 (LPCC-WB01-PB-Q002)</w:t>
      </w:r>
    </w:p>
    <w:p>
      <w:pPr>
        <w:spacing w:before="100" w:after="40"/>
        <w:keepNext/>
      </w:pPr>
      <w:r>
        <w:rPr>
          <w:rFonts w:ascii="Arial" w:hAnsi="Arial" w:eastAsia="Arial"/>
          <w:b/>
          <w:color w:val="1F7A8C"/>
          <w:sz w:val="17"/>
        </w:rPr>
        <w:t>LPCC-WB01-PB-Q002 | Knowledge &amp; Recall | Easy | Primary concept: Review boundaries and evidence control</w:t>
      </w:r>
    </w:p>
    <w:p>
      <w:pPr>
        <w:spacing w:after="60" w:line="250" w:lineRule="auto"/>
      </w:pPr>
      <w:r>
        <w:rPr>
          <w:rFonts w:ascii="Arial" w:hAnsi="Arial" w:eastAsia="Arial"/>
          <w:b/>
          <w:color w:val="1F2937"/>
          <w:sz w:val="20"/>
        </w:rPr>
        <w:t>Under the current NCMHCE navigation rule, what should a candidate do before advancing from one case section to the next?</w:t>
      </w:r>
    </w:p>
    <w:p>
      <w:pPr>
        <w:spacing w:after="40"/>
        <w:ind w:left="230" w:hanging="230"/>
      </w:pPr>
      <w:r>
        <w:rPr>
          <w:rFonts w:ascii="Arial" w:hAnsi="Arial" w:eastAsia="Arial"/>
          <w:sz w:val="20"/>
        </w:rPr>
        <w:t>A. Leave uncertain questions blank so they can be completed after all 11 cases.</w:t>
      </w:r>
    </w:p>
    <w:p>
      <w:pPr>
        <w:spacing w:after="40"/>
        <w:ind w:left="230" w:hanging="230"/>
      </w:pPr>
      <w:r>
        <w:rPr>
          <w:rFonts w:ascii="Arial" w:hAnsi="Arial" w:eastAsia="Arial"/>
          <w:sz w:val="20"/>
        </w:rPr>
        <w:t>B. Use information from the next session narrative to revise answers in the current section.</w:t>
      </w:r>
    </w:p>
    <w:p>
      <w:pPr>
        <w:spacing w:after="40"/>
        <w:ind w:left="230" w:hanging="230"/>
      </w:pPr>
      <w:r>
        <w:rPr>
          <w:rFonts w:ascii="Arial" w:hAnsi="Arial" w:eastAsia="Arial"/>
          <w:sz w:val="20"/>
        </w:rPr>
        <w:t>C. Record the case narrative for review outside the testing session.</w:t>
      </w:r>
    </w:p>
    <w:p>
      <w:pPr>
        <w:spacing w:after="40"/>
        <w:ind w:left="230" w:hanging="230"/>
      </w:pPr>
      <w:r>
        <w:rPr>
          <w:rFonts w:ascii="Arial" w:hAnsi="Arial" w:eastAsia="Arial"/>
          <w:sz w:val="20"/>
        </w:rPr>
        <w:t>D. Answer every item and review unanswered or flagged responses because the prior section cannot be changed after advancing.</w:t>
      </w:r>
    </w:p>
    <w:tbl>
      <w:tblPr>
        <w:tblW w:type="auto" w:w="0"/>
        <w:jc w:val="center"/>
        <w:tblLook w:firstColumn="1" w:firstRow="1" w:lastColumn="0" w:lastRow="0" w:noHBand="0" w:noVBand="1" w:val="04A0"/>
      </w:tblPr>
      <w:tblGrid>
        <w:gridCol w:w="10310"/>
      </w:tblGrid>
      <w:tr>
        <w:trPr>
          <w:cantSplit/>
          <w:tblHeader w:val="true"/>
        </w:trPr>
        <w:tc>
          <w:tcPr>
            <w:tcW w:type="dxa" w:w="10310"/>
            <w:shd w:fill="E7F2EA"/>
            <w:tcBorders>
              <w:top w:val="single" w:sz="10" w:color="1F7A8C"/>
              <w:left w:val="single" w:sz="10" w:color="1F7A8C"/>
              <w:bottom w:val="single" w:sz="10" w:color="1F7A8C"/>
              <w:right w:val="single" w:sz="10" w:color="1F7A8C"/>
            </w:tcBorders>
            <w:tcMar>
              <w:top w:w="110" w:type="dxa"/>
              <w:start w:w="140" w:type="dxa"/>
              <w:bottom w:w="110" w:type="dxa"/>
              <w:end w:w="140" w:type="dxa"/>
            </w:tcMar>
          </w:tcPr>
          <w:p>
            <w:pPr>
              <w:spacing w:after="60"/>
            </w:pPr>
            <w:r>
              <w:rPr>
                <w:rFonts w:ascii="Arial" w:hAnsi="Arial" w:eastAsia="Arial"/>
                <w:b/>
                <w:color w:val="17365D"/>
                <w:sz w:val="21"/>
              </w:rPr>
              <w:t>CORRECT ANSWER</w:t>
            </w:r>
          </w:p>
          <w:p>
            <w:pPr>
              <w:spacing w:after="20" w:line="250" w:lineRule="auto"/>
            </w:pPr>
            <w:r>
              <w:rPr>
                <w:rFonts w:ascii="Arial" w:hAnsi="Arial" w:eastAsia="Arial"/>
                <w:color w:val="1F2937"/>
                <w:sz w:val="20"/>
              </w:rPr>
              <w:t>D. Answer every item and review unanswered or flagged responses because the prior section cannot be changed after advancing.</w:t>
            </w:r>
          </w:p>
        </w:tc>
      </w:tr>
    </w:tbl>
    <w:p>
      <w:pPr>
        <w:spacing w:after="0"/>
      </w:pPr>
    </w:p>
    <w:p>
      <w:pPr>
        <w:pStyle w:val="Heading3"/>
        <w:spacing w:before="100" w:after="80"/>
        <w:keepNext/>
      </w:pPr>
      <w:r>
        <w:rPr>
          <w:rFonts w:ascii="Arial" w:hAnsi="Arial" w:eastAsia="Arial"/>
          <w:b/>
          <w:color w:val="17365D"/>
          <w:sz w:val="23"/>
        </w:rPr>
        <w:t>Why Each Option Is Correct or Incorrect</w:t>
      </w:r>
    </w:p>
    <w:p>
      <w:pPr>
        <w:spacing w:after="60" w:line="250" w:lineRule="auto"/>
        <w:ind w:left="173" w:hanging="173"/>
      </w:pPr>
      <w:r>
        <w:rPr>
          <w:rFonts w:ascii="Arial" w:hAnsi="Arial" w:eastAsia="Arial"/>
          <w:b/>
          <w:color w:val="17365D"/>
          <w:sz w:val="20"/>
        </w:rPr>
        <w:t xml:space="preserve">A. </w:t>
      </w:r>
      <w:r>
        <w:rPr>
          <w:rFonts w:ascii="Arial" w:hAnsi="Arial" w:eastAsia="Arial"/>
          <w:b/>
          <w:color w:val="1F2937"/>
          <w:sz w:val="20"/>
        </w:rPr>
        <w:t xml:space="preserve">Incorrect. </w:t>
      </w:r>
      <w:r>
        <w:rPr>
          <w:rFonts w:ascii="Arial" w:hAnsi="Arial" w:eastAsia="Arial"/>
          <w:color w:val="1F2937"/>
          <w:sz w:val="20"/>
        </w:rPr>
        <w:t>The current handbook states there is no penalty for guessing, and unanswered items should not be left for a later return that is not permitted.</w:t>
      </w:r>
    </w:p>
    <w:p>
      <w:pPr>
        <w:spacing w:after="60" w:line="250" w:lineRule="auto"/>
        <w:ind w:left="173" w:hanging="173"/>
      </w:pPr>
      <w:r>
        <w:rPr>
          <w:rFonts w:ascii="Arial" w:hAnsi="Arial" w:eastAsia="Arial"/>
          <w:b/>
          <w:color w:val="17365D"/>
          <w:sz w:val="20"/>
        </w:rPr>
        <w:t xml:space="preserve">B. </w:t>
      </w:r>
      <w:r>
        <w:rPr>
          <w:rFonts w:ascii="Arial" w:hAnsi="Arial" w:eastAsia="Arial"/>
          <w:b/>
          <w:color w:val="1F2937"/>
          <w:sz w:val="20"/>
        </w:rPr>
        <w:t xml:space="preserve">Incorrect. </w:t>
      </w:r>
      <w:r>
        <w:rPr>
          <w:rFonts w:ascii="Arial" w:hAnsi="Arial" w:eastAsia="Arial"/>
          <w:color w:val="1F2937"/>
          <w:sz w:val="20"/>
        </w:rPr>
        <w:t>Later case information is not available until the candidate advances, and prior responses then lock. Borrowing later facts also violates evidence control.</w:t>
      </w:r>
    </w:p>
    <w:p>
      <w:pPr>
        <w:spacing w:after="60" w:line="250" w:lineRule="auto"/>
        <w:ind w:left="173" w:hanging="173"/>
      </w:pPr>
      <w:r>
        <w:rPr>
          <w:rFonts w:ascii="Arial" w:hAnsi="Arial" w:eastAsia="Arial"/>
          <w:b/>
          <w:color w:val="17365D"/>
          <w:sz w:val="20"/>
        </w:rPr>
        <w:t xml:space="preserve">C. </w:t>
      </w:r>
      <w:r>
        <w:rPr>
          <w:rFonts w:ascii="Arial" w:hAnsi="Arial" w:eastAsia="Arial"/>
          <w:b/>
          <w:color w:val="1F2937"/>
          <w:sz w:val="20"/>
        </w:rPr>
        <w:t xml:space="preserve">Incorrect. </w:t>
      </w:r>
      <w:r>
        <w:rPr>
          <w:rFonts w:ascii="Arial" w:hAnsi="Arial" w:eastAsia="Arial"/>
          <w:color w:val="1F2937"/>
          <w:sz w:val="20"/>
        </w:rPr>
        <w:t>Examination content is confidential and may not be removed or recorded for outside review.</w:t>
      </w:r>
    </w:p>
    <w:p>
      <w:pPr>
        <w:spacing w:after="60" w:line="250" w:lineRule="auto"/>
        <w:ind w:left="173" w:hanging="173"/>
      </w:pPr>
      <w:r>
        <w:rPr>
          <w:rFonts w:ascii="Arial" w:hAnsi="Arial" w:eastAsia="Arial"/>
          <w:b/>
          <w:color w:val="1F7A8C"/>
          <w:sz w:val="20"/>
        </w:rPr>
        <w:t xml:space="preserve">D. </w:t>
      </w:r>
      <w:r>
        <w:rPr>
          <w:rFonts w:ascii="Arial" w:hAnsi="Arial" w:eastAsia="Arial"/>
          <w:b/>
          <w:color w:val="1F7A8C"/>
          <w:sz w:val="20"/>
        </w:rPr>
        <w:t xml:space="preserve">Correct. </w:t>
      </w:r>
      <w:r>
        <w:rPr>
          <w:rFonts w:ascii="Arial" w:hAnsi="Arial" w:eastAsia="Arial"/>
          <w:color w:val="1F2937"/>
          <w:sz w:val="20"/>
        </w:rPr>
        <w:t>This is the correct current-format strategy. Treat CONTINUE as a lock and review the present section before moving forward.</w:t>
      </w:r>
    </w:p>
    <w:tbl>
      <w:tblPr>
        <w:tblW w:type="auto" w:w="0"/>
        <w:jc w:val="center"/>
        <w:tblLook w:firstColumn="1" w:firstRow="1" w:lastColumn="0" w:lastRow="0" w:noHBand="0" w:noVBand="1" w:val="04A0"/>
      </w:tblPr>
      <w:tblGrid>
        <w:gridCol w:w="10310"/>
      </w:tblGrid>
      <w:tr>
        <w:trPr>
          <w:cantSplit/>
          <w:tblHeader w:val="true"/>
        </w:trPr>
        <w:tc>
          <w:tcPr>
            <w:tcW w:type="dxa" w:w="10310"/>
            <w:shd w:fill="E7F3F3"/>
            <w:tcBorders>
              <w:top w:val="single" w:sz="10" w:color="159C9C"/>
              <w:left w:val="single" w:sz="10" w:color="159C9C"/>
              <w:bottom w:val="single" w:sz="10" w:color="159C9C"/>
              <w:right w:val="single" w:sz="10" w:color="159C9C"/>
            </w:tcBorders>
            <w:tcMar>
              <w:top w:w="110" w:type="dxa"/>
              <w:start w:w="140" w:type="dxa"/>
              <w:bottom w:w="110" w:type="dxa"/>
              <w:end w:w="140" w:type="dxa"/>
            </w:tcMar>
          </w:tcPr>
          <w:p>
            <w:pPr>
              <w:spacing w:after="60"/>
            </w:pPr>
            <w:r>
              <w:rPr>
                <w:rFonts w:ascii="Arial" w:hAnsi="Arial" w:eastAsia="Arial"/>
                <w:b/>
                <w:color w:val="1F7A8C"/>
                <w:sz w:val="21"/>
              </w:rPr>
              <w:t>CTA EXAM STRATEGY</w:t>
            </w:r>
          </w:p>
          <w:p>
            <w:pPr>
              <w:spacing w:after="20" w:line="250" w:lineRule="auto"/>
            </w:pPr>
            <w:r>
              <w:rPr>
                <w:rFonts w:ascii="Arial" w:hAnsi="Arial" w:eastAsia="Arial"/>
                <w:color w:val="1F2937"/>
                <w:sz w:val="19"/>
              </w:rPr>
              <w:t>Treat each case section as a closed evidence window. Finish and review the current window before selecting CONTINUE.</w:t>
            </w:r>
          </w:p>
        </w:tc>
      </w:tr>
    </w:tbl>
    <w:p>
      <w:pPr>
        <w:spacing w:after="0"/>
      </w:pPr>
    </w:p>
    <w:tbl>
      <w:tblPr>
        <w:tblW w:type="auto" w:w="0"/>
        <w:jc w:val="center"/>
        <w:tblLook w:firstColumn="1" w:firstRow="1" w:lastColumn="0" w:lastRow="0" w:noHBand="0" w:noVBand="1" w:val="04A0"/>
      </w:tblPr>
      <w:tblGrid>
        <w:gridCol w:w="10310"/>
      </w:tblGrid>
      <w:tr>
        <w:trPr>
          <w:cantSplit/>
          <w:tblHeader w:val="true"/>
        </w:trPr>
        <w:tc>
          <w:tcPr>
            <w:tcW w:type="dxa" w:w="10310"/>
            <w:shd w:fill="EAF0F7"/>
            <w:tcBorders>
              <w:top w:val="single" w:sz="10" w:color="1F4E78"/>
              <w:left w:val="single" w:sz="10" w:color="1F4E78"/>
              <w:bottom w:val="single" w:sz="10" w:color="1F4E78"/>
              <w:right w:val="single" w:sz="10" w:color="1F4E78"/>
            </w:tcBorders>
            <w:tcMar>
              <w:top w:w="110" w:type="dxa"/>
              <w:start w:w="140" w:type="dxa"/>
              <w:bottom w:w="110" w:type="dxa"/>
              <w:end w:w="140" w:type="dxa"/>
            </w:tcMar>
          </w:tcPr>
          <w:p>
            <w:pPr>
              <w:spacing w:after="60"/>
            </w:pPr>
            <w:r>
              <w:rPr>
                <w:rFonts w:ascii="Arial" w:hAnsi="Arial" w:eastAsia="Arial"/>
                <w:b/>
                <w:color w:val="17365D"/>
                <w:sz w:val="21"/>
              </w:rPr>
              <w:t>LIKELY ERROR CODE</w:t>
            </w:r>
          </w:p>
          <w:p>
            <w:pPr>
              <w:spacing w:after="20" w:line="250" w:lineRule="auto"/>
            </w:pPr>
            <w:r>
              <w:rPr>
                <w:rFonts w:ascii="Arial" w:hAnsi="Arial" w:eastAsia="Arial"/>
                <w:color w:val="1F2937"/>
                <w:sz w:val="19"/>
              </w:rPr>
              <w:t>D - Distractor / pacing. Review locally before the lock point and answer every question.</w:t>
            </w:r>
          </w:p>
        </w:tc>
      </w:tr>
    </w:tbl>
    <w:p>
      <w:pPr>
        <w:spacing w:after="0"/>
      </w:pPr>
    </w:p>
    <w:p>
      <w:r>
        <w:br w:type="page"/>
      </w:r>
    </w:p>
    <w:p>
      <w:pPr>
        <w:pStyle w:val="Heading2"/>
        <w:spacing w:before="0" w:after="60"/>
      </w:pPr>
      <w:r>
        <w:rPr>
          <w:rFonts w:ascii="Arial" w:hAnsi="Arial" w:eastAsia="Arial"/>
          <w:b/>
          <w:color w:val="159C9C"/>
          <w:sz w:val="26"/>
        </w:rPr>
        <w:t>Question 3 (LPCC-WB01-PB-Q003)</w:t>
      </w:r>
    </w:p>
    <w:p>
      <w:pPr>
        <w:spacing w:before="100" w:after="40"/>
        <w:keepNext/>
      </w:pPr>
      <w:r>
        <w:rPr>
          <w:rFonts w:ascii="Arial" w:hAnsi="Arial" w:eastAsia="Arial"/>
          <w:b/>
          <w:color w:val="1F7A8C"/>
          <w:sz w:val="17"/>
        </w:rPr>
        <w:t>LPCC-WB01-PB-Q003 | Application | Easy | Primary concept: NEXT sequencing</w:t>
      </w:r>
    </w:p>
    <w:p>
      <w:pPr>
        <w:spacing w:after="60" w:line="250" w:lineRule="auto"/>
      </w:pPr>
      <w:r>
        <w:rPr>
          <w:rFonts w:ascii="Arial" w:hAnsi="Arial" w:eastAsia="Arial"/>
          <w:b/>
          <w:color w:val="1F2937"/>
          <w:sz w:val="20"/>
        </w:rPr>
        <w:t>A counselor has completed focused assessment, ruled out immediate safety and medical urgency, and collaborated with the client on treatment goals. The item asks what the counselor should do NEXT. Which response pattern is strongest?</w:t>
      </w:r>
    </w:p>
    <w:p>
      <w:pPr>
        <w:spacing w:after="40"/>
        <w:ind w:left="230" w:hanging="230"/>
      </w:pPr>
      <w:r>
        <w:rPr>
          <w:rFonts w:ascii="Arial" w:hAnsi="Arial" w:eastAsia="Arial"/>
          <w:sz w:val="20"/>
        </w:rPr>
        <w:t>A. Select a theory-consistent intervention tied to the agreed target and monitor the client’s response.</w:t>
      </w:r>
    </w:p>
    <w:p>
      <w:pPr>
        <w:spacing w:after="40"/>
        <w:ind w:left="230" w:hanging="230"/>
      </w:pPr>
      <w:r>
        <w:rPr>
          <w:rFonts w:ascii="Arial" w:hAnsi="Arial" w:eastAsia="Arial"/>
          <w:sz w:val="20"/>
        </w:rPr>
        <w:t>B. Repeat the entire intake because assessment should always occur before intervention.</w:t>
      </w:r>
    </w:p>
    <w:p>
      <w:pPr>
        <w:spacing w:after="40"/>
        <w:ind w:left="230" w:hanging="230"/>
      </w:pPr>
      <w:r>
        <w:rPr>
          <w:rFonts w:ascii="Arial" w:hAnsi="Arial" w:eastAsia="Arial"/>
          <w:sz w:val="20"/>
        </w:rPr>
        <w:t>C. Refer the client solely because symptoms have not resolved before treatment begins.</w:t>
      </w:r>
    </w:p>
    <w:p>
      <w:pPr>
        <w:spacing w:after="40"/>
        <w:ind w:left="230" w:hanging="230"/>
      </w:pPr>
      <w:r>
        <w:rPr>
          <w:rFonts w:ascii="Arial" w:hAnsi="Arial" w:eastAsia="Arial"/>
          <w:sz w:val="20"/>
        </w:rPr>
        <w:t>D. Choose the counselor’s favorite technique even if it does not match the formulation.</w:t>
      </w:r>
    </w:p>
    <w:tbl>
      <w:tblPr>
        <w:tblW w:type="auto" w:w="0"/>
        <w:jc w:val="center"/>
        <w:tblLook w:firstColumn="1" w:firstRow="1" w:lastColumn="0" w:lastRow="0" w:noHBand="0" w:noVBand="1" w:val="04A0"/>
      </w:tblPr>
      <w:tblGrid>
        <w:gridCol w:w="10310"/>
      </w:tblGrid>
      <w:tr>
        <w:trPr>
          <w:cantSplit/>
          <w:tblHeader w:val="true"/>
        </w:trPr>
        <w:tc>
          <w:tcPr>
            <w:tcW w:type="dxa" w:w="10310"/>
            <w:shd w:fill="E7F2EA"/>
            <w:tcBorders>
              <w:top w:val="single" w:sz="10" w:color="1F7A8C"/>
              <w:left w:val="single" w:sz="10" w:color="1F7A8C"/>
              <w:bottom w:val="single" w:sz="10" w:color="1F7A8C"/>
              <w:right w:val="single" w:sz="10" w:color="1F7A8C"/>
            </w:tcBorders>
            <w:tcMar>
              <w:top w:w="110" w:type="dxa"/>
              <w:start w:w="140" w:type="dxa"/>
              <w:bottom w:w="110" w:type="dxa"/>
              <w:end w:w="140" w:type="dxa"/>
            </w:tcMar>
          </w:tcPr>
          <w:p>
            <w:pPr>
              <w:spacing w:after="60"/>
            </w:pPr>
            <w:r>
              <w:rPr>
                <w:rFonts w:ascii="Arial" w:hAnsi="Arial" w:eastAsia="Arial"/>
                <w:b/>
                <w:color w:val="17365D"/>
                <w:sz w:val="21"/>
              </w:rPr>
              <w:t>CORRECT ANSWER</w:t>
            </w:r>
          </w:p>
          <w:p>
            <w:pPr>
              <w:spacing w:after="20" w:line="250" w:lineRule="auto"/>
            </w:pPr>
            <w:r>
              <w:rPr>
                <w:rFonts w:ascii="Arial" w:hAnsi="Arial" w:eastAsia="Arial"/>
                <w:color w:val="1F2937"/>
                <w:sz w:val="20"/>
              </w:rPr>
              <w:t>A. Select a theory-consistent intervention tied to the agreed target and monitor the client’s response.</w:t>
            </w:r>
          </w:p>
        </w:tc>
      </w:tr>
    </w:tbl>
    <w:p>
      <w:pPr>
        <w:spacing w:after="0"/>
      </w:pPr>
    </w:p>
    <w:p>
      <w:pPr>
        <w:pStyle w:val="Heading3"/>
        <w:spacing w:before="100" w:after="80"/>
        <w:keepNext/>
      </w:pPr>
      <w:r>
        <w:rPr>
          <w:rFonts w:ascii="Arial" w:hAnsi="Arial" w:eastAsia="Arial"/>
          <w:b/>
          <w:color w:val="17365D"/>
          <w:sz w:val="23"/>
        </w:rPr>
        <w:t>Why Each Option Is Correct or Incorrect</w:t>
      </w:r>
    </w:p>
    <w:p>
      <w:pPr>
        <w:spacing w:after="60" w:line="250" w:lineRule="auto"/>
        <w:ind w:left="173" w:hanging="173"/>
      </w:pPr>
      <w:r>
        <w:rPr>
          <w:rFonts w:ascii="Arial" w:hAnsi="Arial" w:eastAsia="Arial"/>
          <w:b/>
          <w:color w:val="1F7A8C"/>
          <w:sz w:val="20"/>
        </w:rPr>
        <w:t xml:space="preserve">A. </w:t>
      </w:r>
      <w:r>
        <w:rPr>
          <w:rFonts w:ascii="Arial" w:hAnsi="Arial" w:eastAsia="Arial"/>
          <w:b/>
          <w:color w:val="1F7A8C"/>
          <w:sz w:val="20"/>
        </w:rPr>
        <w:t xml:space="preserve">Correct. </w:t>
      </w:r>
      <w:r>
        <w:rPr>
          <w:rFonts w:ascii="Arial" w:hAnsi="Arial" w:eastAsia="Arial"/>
          <w:color w:val="1F2937"/>
          <w:sz w:val="20"/>
        </w:rPr>
        <w:t>The case is ready to move from planning to implementation. A formulation-consistent intervention advances the established sequence.</w:t>
      </w:r>
    </w:p>
    <w:p>
      <w:pPr>
        <w:spacing w:after="60" w:line="250" w:lineRule="auto"/>
        <w:ind w:left="173" w:hanging="173"/>
      </w:pPr>
      <w:r>
        <w:rPr>
          <w:rFonts w:ascii="Arial" w:hAnsi="Arial" w:eastAsia="Arial"/>
          <w:b/>
          <w:color w:val="17365D"/>
          <w:sz w:val="20"/>
        </w:rPr>
        <w:t xml:space="preserve">B. </w:t>
      </w:r>
      <w:r>
        <w:rPr>
          <w:rFonts w:ascii="Arial" w:hAnsi="Arial" w:eastAsia="Arial"/>
          <w:b/>
          <w:color w:val="1F2937"/>
          <w:sz w:val="20"/>
        </w:rPr>
        <w:t xml:space="preserve">Incorrect. </w:t>
      </w:r>
      <w:r>
        <w:rPr>
          <w:rFonts w:ascii="Arial" w:hAnsi="Arial" w:eastAsia="Arial"/>
          <w:color w:val="1F2937"/>
          <w:sz w:val="20"/>
        </w:rPr>
        <w:t>Assessment has already been completed. Repeating it does not answer NEXT and stalls the case.</w:t>
      </w:r>
    </w:p>
    <w:p>
      <w:pPr>
        <w:spacing w:after="60" w:line="250" w:lineRule="auto"/>
        <w:ind w:left="173" w:hanging="173"/>
      </w:pPr>
      <w:r>
        <w:rPr>
          <w:rFonts w:ascii="Arial" w:hAnsi="Arial" w:eastAsia="Arial"/>
          <w:b/>
          <w:color w:val="17365D"/>
          <w:sz w:val="20"/>
        </w:rPr>
        <w:t xml:space="preserve">C. </w:t>
      </w:r>
      <w:r>
        <w:rPr>
          <w:rFonts w:ascii="Arial" w:hAnsi="Arial" w:eastAsia="Arial"/>
          <w:b/>
          <w:color w:val="1F2937"/>
          <w:sz w:val="20"/>
        </w:rPr>
        <w:t xml:space="preserve">Incorrect. </w:t>
      </w:r>
      <w:r>
        <w:rPr>
          <w:rFonts w:ascii="Arial" w:hAnsi="Arial" w:eastAsia="Arial"/>
          <w:color w:val="1F2937"/>
          <w:sz w:val="20"/>
        </w:rPr>
        <w:t>Lack of symptom resolution before treatment is not a supported reason for referral.</w:t>
      </w:r>
    </w:p>
    <w:p>
      <w:pPr>
        <w:spacing w:after="60" w:line="250" w:lineRule="auto"/>
        <w:ind w:left="173" w:hanging="173"/>
      </w:pPr>
      <w:r>
        <w:rPr>
          <w:rFonts w:ascii="Arial" w:hAnsi="Arial" w:eastAsia="Arial"/>
          <w:b/>
          <w:color w:val="17365D"/>
          <w:sz w:val="20"/>
        </w:rPr>
        <w:t xml:space="preserve">D. </w:t>
      </w:r>
      <w:r>
        <w:rPr>
          <w:rFonts w:ascii="Arial" w:hAnsi="Arial" w:eastAsia="Arial"/>
          <w:b/>
          <w:color w:val="1F2937"/>
          <w:sz w:val="20"/>
        </w:rPr>
        <w:t xml:space="preserve">Incorrect. </w:t>
      </w:r>
      <w:r>
        <w:rPr>
          <w:rFonts w:ascii="Arial" w:hAnsi="Arial" w:eastAsia="Arial"/>
          <w:color w:val="1F2937"/>
          <w:sz w:val="20"/>
        </w:rPr>
        <w:t>Interventions should fit the client, goals, formulation, modality, and evidence rather than counselor preference.</w:t>
      </w:r>
    </w:p>
    <w:tbl>
      <w:tblPr>
        <w:tblW w:type="auto" w:w="0"/>
        <w:jc w:val="center"/>
        <w:tblLook w:firstColumn="1" w:firstRow="1" w:lastColumn="0" w:lastRow="0" w:noHBand="0" w:noVBand="1" w:val="04A0"/>
      </w:tblPr>
      <w:tblGrid>
        <w:gridCol w:w="10310"/>
      </w:tblGrid>
      <w:tr>
        <w:trPr>
          <w:cantSplit/>
          <w:tblHeader w:val="true"/>
        </w:trPr>
        <w:tc>
          <w:tcPr>
            <w:tcW w:type="dxa" w:w="10310"/>
            <w:shd w:fill="E7F3F3"/>
            <w:tcBorders>
              <w:top w:val="single" w:sz="10" w:color="159C9C"/>
              <w:left w:val="single" w:sz="10" w:color="159C9C"/>
              <w:bottom w:val="single" w:sz="10" w:color="159C9C"/>
              <w:right w:val="single" w:sz="10" w:color="159C9C"/>
            </w:tcBorders>
            <w:tcMar>
              <w:top w:w="110" w:type="dxa"/>
              <w:start w:w="140" w:type="dxa"/>
              <w:bottom w:w="110" w:type="dxa"/>
              <w:end w:w="140" w:type="dxa"/>
            </w:tcMar>
          </w:tcPr>
          <w:p>
            <w:pPr>
              <w:spacing w:after="60"/>
            </w:pPr>
            <w:r>
              <w:rPr>
                <w:rFonts w:ascii="Arial" w:hAnsi="Arial" w:eastAsia="Arial"/>
                <w:b/>
                <w:color w:val="1F7A8C"/>
                <w:sz w:val="21"/>
              </w:rPr>
              <w:t>CTA EXAM STRATEGY</w:t>
            </w:r>
          </w:p>
          <w:p>
            <w:pPr>
              <w:spacing w:after="20" w:line="250" w:lineRule="auto"/>
            </w:pPr>
            <w:r>
              <w:rPr>
                <w:rFonts w:ascii="Arial" w:hAnsi="Arial" w:eastAsia="Arial"/>
                <w:color w:val="1F2937"/>
                <w:sz w:val="19"/>
              </w:rPr>
              <w:t>NEXT depends on what has already occurred. Do not restart a completed stage or jump to an unsupported referral.</w:t>
            </w:r>
          </w:p>
        </w:tc>
      </w:tr>
    </w:tbl>
    <w:p>
      <w:pPr>
        <w:spacing w:after="0"/>
      </w:pPr>
    </w:p>
    <w:tbl>
      <w:tblPr>
        <w:tblW w:type="auto" w:w="0"/>
        <w:jc w:val="center"/>
        <w:tblLook w:firstColumn="1" w:firstRow="1" w:lastColumn="0" w:lastRow="0" w:noHBand="0" w:noVBand="1" w:val="04A0"/>
      </w:tblPr>
      <w:tblGrid>
        <w:gridCol w:w="10310"/>
      </w:tblGrid>
      <w:tr>
        <w:trPr>
          <w:cantSplit/>
          <w:tblHeader w:val="true"/>
        </w:trPr>
        <w:tc>
          <w:tcPr>
            <w:tcW w:type="dxa" w:w="10310"/>
            <w:shd w:fill="EAF0F7"/>
            <w:tcBorders>
              <w:top w:val="single" w:sz="10" w:color="1F4E78"/>
              <w:left w:val="single" w:sz="10" w:color="1F4E78"/>
              <w:bottom w:val="single" w:sz="10" w:color="1F4E78"/>
              <w:right w:val="single" w:sz="10" w:color="1F4E78"/>
            </w:tcBorders>
            <w:tcMar>
              <w:top w:w="110" w:type="dxa"/>
              <w:start w:w="140" w:type="dxa"/>
              <w:bottom w:w="110" w:type="dxa"/>
              <w:end w:w="140" w:type="dxa"/>
            </w:tcMar>
          </w:tcPr>
          <w:p>
            <w:pPr>
              <w:spacing w:after="60"/>
            </w:pPr>
            <w:r>
              <w:rPr>
                <w:rFonts w:ascii="Arial" w:hAnsi="Arial" w:eastAsia="Arial"/>
                <w:b/>
                <w:color w:val="17365D"/>
                <w:sz w:val="21"/>
              </w:rPr>
              <w:t>LIKELY ERROR CODE</w:t>
            </w:r>
          </w:p>
          <w:p>
            <w:pPr>
              <w:spacing w:after="20" w:line="250" w:lineRule="auto"/>
            </w:pPr>
            <w:r>
              <w:rPr>
                <w:rFonts w:ascii="Arial" w:hAnsi="Arial" w:eastAsia="Arial"/>
                <w:color w:val="1F2937"/>
                <w:sz w:val="19"/>
              </w:rPr>
              <w:t>S - Sequence / timing. Name the completed actions before choosing the next stage of care.</w:t>
            </w:r>
          </w:p>
        </w:tc>
      </w:tr>
    </w:tbl>
    <w:p>
      <w:pPr>
        <w:spacing w:after="0"/>
      </w:pPr>
    </w:p>
    <w:p>
      <w:r>
        <w:br w:type="page"/>
      </w:r>
    </w:p>
    <w:p>
      <w:pPr>
        <w:pStyle w:val="Heading2"/>
        <w:spacing w:before="0" w:after="60"/>
      </w:pPr>
      <w:r>
        <w:rPr>
          <w:rFonts w:ascii="Arial" w:hAnsi="Arial" w:eastAsia="Arial"/>
          <w:b/>
          <w:color w:val="159C9C"/>
          <w:sz w:val="26"/>
        </w:rPr>
        <w:t>Question 4 (LPCC-WB01-PB-Q004)</w:t>
      </w:r>
    </w:p>
    <w:p>
      <w:pPr>
        <w:spacing w:before="100" w:after="40"/>
        <w:keepNext/>
      </w:pPr>
      <w:r>
        <w:rPr>
          <w:rFonts w:ascii="Arial" w:hAnsi="Arial" w:eastAsia="Arial"/>
          <w:b/>
          <w:color w:val="1F7A8C"/>
          <w:sz w:val="17"/>
        </w:rPr>
        <w:t>LPCC-WB01-PB-Q004 | Scenario-Based | Moderate | Primary concept: Plausible distractors</w:t>
      </w:r>
    </w:p>
    <w:p>
      <w:pPr>
        <w:spacing w:after="60" w:line="250" w:lineRule="auto"/>
      </w:pPr>
      <w:r>
        <w:rPr>
          <w:rFonts w:ascii="Arial" w:hAnsi="Arial" w:eastAsia="Arial"/>
          <w:b/>
          <w:color w:val="1F2937"/>
          <w:sz w:val="20"/>
        </w:rPr>
        <w:t>Which option is the clearest example of a plausible NCMHCE distractor?</w:t>
      </w:r>
    </w:p>
    <w:p>
      <w:pPr>
        <w:spacing w:after="40"/>
        <w:ind w:left="230" w:hanging="230"/>
      </w:pPr>
      <w:r>
        <w:rPr>
          <w:rFonts w:ascii="Arial" w:hAnsi="Arial" w:eastAsia="Arial"/>
          <w:sz w:val="20"/>
        </w:rPr>
        <w:t>A. An answer that is unrelated to counseling and obviously impossible.</w:t>
      </w:r>
    </w:p>
    <w:p>
      <w:pPr>
        <w:spacing w:after="40"/>
        <w:ind w:left="230" w:hanging="230"/>
      </w:pPr>
      <w:r>
        <w:rPr>
          <w:rFonts w:ascii="Arial" w:hAnsi="Arial" w:eastAsia="Arial"/>
          <w:sz w:val="20"/>
        </w:rPr>
        <w:t>B. The keyed answer after the full rationale has been reviewed.</w:t>
      </w:r>
    </w:p>
    <w:p>
      <w:pPr>
        <w:spacing w:after="40"/>
        <w:ind w:left="230" w:hanging="230"/>
      </w:pPr>
      <w:r>
        <w:rPr>
          <w:rFonts w:ascii="Arial" w:hAnsi="Arial" w:eastAsia="Arial"/>
          <w:sz w:val="20"/>
        </w:rPr>
        <w:t>C. A clinically reasonable referral offered before the counselor has assessed need, fit, urgency, access, or client preference.</w:t>
      </w:r>
    </w:p>
    <w:p>
      <w:pPr>
        <w:spacing w:after="40"/>
        <w:ind w:left="230" w:hanging="230"/>
      </w:pPr>
      <w:r>
        <w:rPr>
          <w:rFonts w:ascii="Arial" w:hAnsi="Arial" w:eastAsia="Arial"/>
          <w:sz w:val="20"/>
        </w:rPr>
        <w:t>D. An option with a typographical error.</w:t>
      </w:r>
    </w:p>
    <w:tbl>
      <w:tblPr>
        <w:tblW w:type="auto" w:w="0"/>
        <w:jc w:val="center"/>
        <w:tblLook w:firstColumn="1" w:firstRow="1" w:lastColumn="0" w:lastRow="0" w:noHBand="0" w:noVBand="1" w:val="04A0"/>
      </w:tblPr>
      <w:tblGrid>
        <w:gridCol w:w="10310"/>
      </w:tblGrid>
      <w:tr>
        <w:trPr>
          <w:cantSplit/>
          <w:tblHeader w:val="true"/>
        </w:trPr>
        <w:tc>
          <w:tcPr>
            <w:tcW w:type="dxa" w:w="10310"/>
            <w:shd w:fill="E7F2EA"/>
            <w:tcBorders>
              <w:top w:val="single" w:sz="10" w:color="1F7A8C"/>
              <w:left w:val="single" w:sz="10" w:color="1F7A8C"/>
              <w:bottom w:val="single" w:sz="10" w:color="1F7A8C"/>
              <w:right w:val="single" w:sz="10" w:color="1F7A8C"/>
            </w:tcBorders>
            <w:tcMar>
              <w:top w:w="110" w:type="dxa"/>
              <w:start w:w="140" w:type="dxa"/>
              <w:bottom w:w="110" w:type="dxa"/>
              <w:end w:w="140" w:type="dxa"/>
            </w:tcMar>
          </w:tcPr>
          <w:p>
            <w:pPr>
              <w:spacing w:after="60"/>
            </w:pPr>
            <w:r>
              <w:rPr>
                <w:rFonts w:ascii="Arial" w:hAnsi="Arial" w:eastAsia="Arial"/>
                <w:b/>
                <w:color w:val="17365D"/>
                <w:sz w:val="21"/>
              </w:rPr>
              <w:t>CORRECT ANSWER</w:t>
            </w:r>
          </w:p>
          <w:p>
            <w:pPr>
              <w:spacing w:after="20" w:line="250" w:lineRule="auto"/>
            </w:pPr>
            <w:r>
              <w:rPr>
                <w:rFonts w:ascii="Arial" w:hAnsi="Arial" w:eastAsia="Arial"/>
                <w:color w:val="1F2937"/>
                <w:sz w:val="20"/>
              </w:rPr>
              <w:t>C. A clinically reasonable referral offered before the counselor has assessed need, fit, urgency, access, or client preference.</w:t>
            </w:r>
          </w:p>
        </w:tc>
      </w:tr>
    </w:tbl>
    <w:p>
      <w:pPr>
        <w:spacing w:after="0"/>
      </w:pPr>
    </w:p>
    <w:p>
      <w:pPr>
        <w:pStyle w:val="Heading3"/>
        <w:spacing w:before="100" w:after="80"/>
        <w:keepNext/>
      </w:pPr>
      <w:r>
        <w:rPr>
          <w:rFonts w:ascii="Arial" w:hAnsi="Arial" w:eastAsia="Arial"/>
          <w:b/>
          <w:color w:val="17365D"/>
          <w:sz w:val="23"/>
        </w:rPr>
        <w:t>Why Each Option Is Correct or Incorrect</w:t>
      </w:r>
    </w:p>
    <w:p>
      <w:pPr>
        <w:spacing w:after="60" w:line="250" w:lineRule="auto"/>
        <w:ind w:left="173" w:hanging="173"/>
      </w:pPr>
      <w:r>
        <w:rPr>
          <w:rFonts w:ascii="Arial" w:hAnsi="Arial" w:eastAsia="Arial"/>
          <w:b/>
          <w:color w:val="17365D"/>
          <w:sz w:val="20"/>
        </w:rPr>
        <w:t xml:space="preserve">A. </w:t>
      </w:r>
      <w:r>
        <w:rPr>
          <w:rFonts w:ascii="Arial" w:hAnsi="Arial" w:eastAsia="Arial"/>
          <w:b/>
          <w:color w:val="1F2937"/>
          <w:sz w:val="20"/>
        </w:rPr>
        <w:t xml:space="preserve">Incorrect. </w:t>
      </w:r>
      <w:r>
        <w:rPr>
          <w:rFonts w:ascii="Arial" w:hAnsi="Arial" w:eastAsia="Arial"/>
          <w:color w:val="1F2937"/>
          <w:sz w:val="20"/>
        </w:rPr>
        <w:t>Obvious impossibilities are usually easy to eliminate and do not illustrate the most common high-quality distractor pattern.</w:t>
      </w:r>
    </w:p>
    <w:p>
      <w:pPr>
        <w:spacing w:after="60" w:line="250" w:lineRule="auto"/>
        <w:ind w:left="173" w:hanging="173"/>
      </w:pPr>
      <w:r>
        <w:rPr>
          <w:rFonts w:ascii="Arial" w:hAnsi="Arial" w:eastAsia="Arial"/>
          <w:b/>
          <w:color w:val="17365D"/>
          <w:sz w:val="20"/>
        </w:rPr>
        <w:t xml:space="preserve">B. </w:t>
      </w:r>
      <w:r>
        <w:rPr>
          <w:rFonts w:ascii="Arial" w:hAnsi="Arial" w:eastAsia="Arial"/>
          <w:b/>
          <w:color w:val="1F2937"/>
          <w:sz w:val="20"/>
        </w:rPr>
        <w:t xml:space="preserve">Incorrect. </w:t>
      </w:r>
      <w:r>
        <w:rPr>
          <w:rFonts w:ascii="Arial" w:hAnsi="Arial" w:eastAsia="Arial"/>
          <w:color w:val="1F2937"/>
          <w:sz w:val="20"/>
        </w:rPr>
        <w:t>The keyed answer is not a distractor.</w:t>
      </w:r>
    </w:p>
    <w:p>
      <w:pPr>
        <w:spacing w:after="60" w:line="250" w:lineRule="auto"/>
        <w:ind w:left="173" w:hanging="173"/>
      </w:pPr>
      <w:r>
        <w:rPr>
          <w:rFonts w:ascii="Arial" w:hAnsi="Arial" w:eastAsia="Arial"/>
          <w:b/>
          <w:color w:val="1F7A8C"/>
          <w:sz w:val="20"/>
        </w:rPr>
        <w:t xml:space="preserve">C. </w:t>
      </w:r>
      <w:r>
        <w:rPr>
          <w:rFonts w:ascii="Arial" w:hAnsi="Arial" w:eastAsia="Arial"/>
          <w:b/>
          <w:color w:val="1F7A8C"/>
          <w:sz w:val="20"/>
        </w:rPr>
        <w:t xml:space="preserve">Correct. </w:t>
      </w:r>
      <w:r>
        <w:rPr>
          <w:rFonts w:ascii="Arial" w:hAnsi="Arial" w:eastAsia="Arial"/>
          <w:color w:val="1F2937"/>
          <w:sz w:val="20"/>
        </w:rPr>
        <w:t>This is a realistic action with the wrong timing and insufficient support. “Right action, wrong time” is a classic plausible distractor.</w:t>
      </w:r>
    </w:p>
    <w:p>
      <w:pPr>
        <w:spacing w:after="60" w:line="250" w:lineRule="auto"/>
        <w:ind w:left="173" w:hanging="173"/>
      </w:pPr>
      <w:r>
        <w:rPr>
          <w:rFonts w:ascii="Arial" w:hAnsi="Arial" w:eastAsia="Arial"/>
          <w:b/>
          <w:color w:val="17365D"/>
          <w:sz w:val="20"/>
        </w:rPr>
        <w:t xml:space="preserve">D. </w:t>
      </w:r>
      <w:r>
        <w:rPr>
          <w:rFonts w:ascii="Arial" w:hAnsi="Arial" w:eastAsia="Arial"/>
          <w:b/>
          <w:color w:val="1F2937"/>
          <w:sz w:val="20"/>
        </w:rPr>
        <w:t xml:space="preserve">Incorrect. </w:t>
      </w:r>
      <w:r>
        <w:rPr>
          <w:rFonts w:ascii="Arial" w:hAnsi="Arial" w:eastAsia="Arial"/>
          <w:color w:val="1F2937"/>
          <w:sz w:val="20"/>
        </w:rPr>
        <w:t>A typographical feature is not a clinical-reasoning distractor.</w:t>
      </w:r>
    </w:p>
    <w:tbl>
      <w:tblPr>
        <w:tblW w:type="auto" w:w="0"/>
        <w:jc w:val="center"/>
        <w:tblLook w:firstColumn="1" w:firstRow="1" w:lastColumn="0" w:lastRow="0" w:noHBand="0" w:noVBand="1" w:val="04A0"/>
      </w:tblPr>
      <w:tblGrid>
        <w:gridCol w:w="10310"/>
      </w:tblGrid>
      <w:tr>
        <w:trPr>
          <w:cantSplit/>
          <w:tblHeader w:val="true"/>
        </w:trPr>
        <w:tc>
          <w:tcPr>
            <w:tcW w:type="dxa" w:w="10310"/>
            <w:shd w:fill="E7F3F3"/>
            <w:tcBorders>
              <w:top w:val="single" w:sz="10" w:color="159C9C"/>
              <w:left w:val="single" w:sz="10" w:color="159C9C"/>
              <w:bottom w:val="single" w:sz="10" w:color="159C9C"/>
              <w:right w:val="single" w:sz="10" w:color="159C9C"/>
            </w:tcBorders>
            <w:tcMar>
              <w:top w:w="110" w:type="dxa"/>
              <w:start w:w="140" w:type="dxa"/>
              <w:bottom w:w="110" w:type="dxa"/>
              <w:end w:w="140" w:type="dxa"/>
            </w:tcMar>
          </w:tcPr>
          <w:p>
            <w:pPr>
              <w:spacing w:after="60"/>
            </w:pPr>
            <w:r>
              <w:rPr>
                <w:rFonts w:ascii="Arial" w:hAnsi="Arial" w:eastAsia="Arial"/>
                <w:b/>
                <w:color w:val="1F7A8C"/>
                <w:sz w:val="21"/>
              </w:rPr>
              <w:t>CTA EXAM STRATEGY</w:t>
            </w:r>
          </w:p>
          <w:p>
            <w:pPr>
              <w:spacing w:after="20" w:line="250" w:lineRule="auto"/>
            </w:pPr>
            <w:r>
              <w:rPr>
                <w:rFonts w:ascii="Arial" w:hAnsi="Arial" w:eastAsia="Arial"/>
                <w:color w:val="1F2937"/>
                <w:sz w:val="19"/>
              </w:rPr>
              <w:t>Do not ask whether an option could ever be appropriate. Ask whether it is supported now, at this stage, for this client.</w:t>
            </w:r>
          </w:p>
        </w:tc>
      </w:tr>
    </w:tbl>
    <w:p>
      <w:pPr>
        <w:spacing w:after="0"/>
      </w:pPr>
    </w:p>
    <w:tbl>
      <w:tblPr>
        <w:tblW w:type="auto" w:w="0"/>
        <w:jc w:val="center"/>
        <w:tblLook w:firstColumn="1" w:firstRow="1" w:lastColumn="0" w:lastRow="0" w:noHBand="0" w:noVBand="1" w:val="04A0"/>
      </w:tblPr>
      <w:tblGrid>
        <w:gridCol w:w="10310"/>
      </w:tblGrid>
      <w:tr>
        <w:trPr>
          <w:cantSplit/>
          <w:tblHeader w:val="true"/>
        </w:trPr>
        <w:tc>
          <w:tcPr>
            <w:tcW w:type="dxa" w:w="10310"/>
            <w:shd w:fill="EAF0F7"/>
            <w:tcBorders>
              <w:top w:val="single" w:sz="10" w:color="1F4E78"/>
              <w:left w:val="single" w:sz="10" w:color="1F4E78"/>
              <w:bottom w:val="single" w:sz="10" w:color="1F4E78"/>
              <w:right w:val="single" w:sz="10" w:color="1F4E78"/>
            </w:tcBorders>
            <w:tcMar>
              <w:top w:w="110" w:type="dxa"/>
              <w:start w:w="140" w:type="dxa"/>
              <w:bottom w:w="110" w:type="dxa"/>
              <w:end w:w="140" w:type="dxa"/>
            </w:tcMar>
          </w:tcPr>
          <w:p>
            <w:pPr>
              <w:spacing w:after="60"/>
            </w:pPr>
            <w:r>
              <w:rPr>
                <w:rFonts w:ascii="Arial" w:hAnsi="Arial" w:eastAsia="Arial"/>
                <w:b/>
                <w:color w:val="17365D"/>
                <w:sz w:val="21"/>
              </w:rPr>
              <w:t>LIKELY ERROR CODE</w:t>
            </w:r>
          </w:p>
          <w:p>
            <w:pPr>
              <w:spacing w:after="20" w:line="250" w:lineRule="auto"/>
            </w:pPr>
            <w:r>
              <w:rPr>
                <w:rFonts w:ascii="Arial" w:hAnsi="Arial" w:eastAsia="Arial"/>
                <w:color w:val="1F2937"/>
                <w:sz w:val="19"/>
              </w:rPr>
              <w:t>S - Sequence / timing. When an option sounds reasonable, ask “Why now?” and “What evidence supports it?”</w:t>
            </w:r>
          </w:p>
        </w:tc>
      </w:tr>
    </w:tbl>
    <w:p>
      <w:pPr>
        <w:spacing w:after="0"/>
      </w:pPr>
    </w:p>
    <w:p>
      <w:r>
        <w:br w:type="page"/>
      </w:r>
    </w:p>
    <w:p>
      <w:pPr>
        <w:pStyle w:val="Heading2"/>
        <w:spacing w:before="0" w:after="60"/>
      </w:pPr>
      <w:r>
        <w:rPr>
          <w:rFonts w:ascii="Arial" w:hAnsi="Arial" w:eastAsia="Arial"/>
          <w:b/>
          <w:color w:val="159C9C"/>
          <w:sz w:val="26"/>
        </w:rPr>
        <w:t>Question 5 (LPCC-WB01-PB-Q005)</w:t>
      </w:r>
    </w:p>
    <w:p>
      <w:pPr>
        <w:spacing w:before="100" w:after="40"/>
        <w:keepNext/>
      </w:pPr>
      <w:r>
        <w:rPr>
          <w:rFonts w:ascii="Arial" w:hAnsi="Arial" w:eastAsia="Arial"/>
          <w:b/>
          <w:color w:val="1F7A8C"/>
          <w:sz w:val="17"/>
        </w:rPr>
        <w:t>LPCC-WB01-PB-Q005 | Integrated Clinical Reasoning | Moderate | Primary concept: Later-fact contamination</w:t>
      </w:r>
    </w:p>
    <w:p>
      <w:pPr>
        <w:spacing w:after="60" w:line="250" w:lineRule="auto"/>
      </w:pPr>
      <w:r>
        <w:rPr>
          <w:rFonts w:ascii="Arial" w:hAnsi="Arial" w:eastAsia="Arial"/>
          <w:b/>
          <w:color w:val="1F2937"/>
          <w:sz w:val="20"/>
        </w:rPr>
        <w:t>A case’s intake section does not mention substance use. In the second session narrative, the client reports nightly alcohol use. When reviewing an intake question, which reasoning approach is correct?</w:t>
      </w:r>
    </w:p>
    <w:p>
      <w:pPr>
        <w:spacing w:after="40"/>
        <w:ind w:left="230" w:hanging="230"/>
      </w:pPr>
      <w:r>
        <w:rPr>
          <w:rFonts w:ascii="Arial" w:hAnsi="Arial" w:eastAsia="Arial"/>
          <w:sz w:val="20"/>
        </w:rPr>
        <w:t>A. Revise the intake answer mentally because the alcohol use was probably present earlier.</w:t>
      </w:r>
    </w:p>
    <w:p>
      <w:pPr>
        <w:spacing w:after="40"/>
        <w:ind w:left="230" w:hanging="230"/>
      </w:pPr>
      <w:r>
        <w:rPr>
          <w:rFonts w:ascii="Arial" w:hAnsi="Arial" w:eastAsia="Arial"/>
          <w:sz w:val="20"/>
        </w:rPr>
        <w:t>B. Use only information available in the intake section when evaluating the intake answer.</w:t>
      </w:r>
    </w:p>
    <w:p>
      <w:pPr>
        <w:spacing w:after="40"/>
        <w:ind w:left="230" w:hanging="230"/>
      </w:pPr>
      <w:r>
        <w:rPr>
          <w:rFonts w:ascii="Arial" w:hAnsi="Arial" w:eastAsia="Arial"/>
          <w:sz w:val="20"/>
        </w:rPr>
        <w:t>C. Assume the client intentionally concealed the alcohol use during intake.</w:t>
      </w:r>
    </w:p>
    <w:p>
      <w:pPr>
        <w:spacing w:after="40"/>
        <w:ind w:left="230" w:hanging="230"/>
      </w:pPr>
      <w:r>
        <w:rPr>
          <w:rFonts w:ascii="Arial" w:hAnsi="Arial" w:eastAsia="Arial"/>
          <w:sz w:val="20"/>
        </w:rPr>
        <w:t>D. Treat the later disclosure as proof that the intake counselor acted incompetently.</w:t>
      </w:r>
    </w:p>
    <w:tbl>
      <w:tblPr>
        <w:tblW w:type="auto" w:w="0"/>
        <w:jc w:val="center"/>
        <w:tblLook w:firstColumn="1" w:firstRow="1" w:lastColumn="0" w:lastRow="0" w:noHBand="0" w:noVBand="1" w:val="04A0"/>
      </w:tblPr>
      <w:tblGrid>
        <w:gridCol w:w="10310"/>
      </w:tblGrid>
      <w:tr>
        <w:trPr>
          <w:cantSplit/>
          <w:tblHeader w:val="true"/>
        </w:trPr>
        <w:tc>
          <w:tcPr>
            <w:tcW w:type="dxa" w:w="10310"/>
            <w:shd w:fill="E7F2EA"/>
            <w:tcBorders>
              <w:top w:val="single" w:sz="10" w:color="1F7A8C"/>
              <w:left w:val="single" w:sz="10" w:color="1F7A8C"/>
              <w:bottom w:val="single" w:sz="10" w:color="1F7A8C"/>
              <w:right w:val="single" w:sz="10" w:color="1F7A8C"/>
            </w:tcBorders>
            <w:tcMar>
              <w:top w:w="110" w:type="dxa"/>
              <w:start w:w="140" w:type="dxa"/>
              <w:bottom w:w="110" w:type="dxa"/>
              <w:end w:w="140" w:type="dxa"/>
            </w:tcMar>
          </w:tcPr>
          <w:p>
            <w:pPr>
              <w:spacing w:after="60"/>
            </w:pPr>
            <w:r>
              <w:rPr>
                <w:rFonts w:ascii="Arial" w:hAnsi="Arial" w:eastAsia="Arial"/>
                <w:b/>
                <w:color w:val="17365D"/>
                <w:sz w:val="21"/>
              </w:rPr>
              <w:t>CORRECT ANSWER</w:t>
            </w:r>
          </w:p>
          <w:p>
            <w:pPr>
              <w:spacing w:after="20" w:line="250" w:lineRule="auto"/>
            </w:pPr>
            <w:r>
              <w:rPr>
                <w:rFonts w:ascii="Arial" w:hAnsi="Arial" w:eastAsia="Arial"/>
                <w:color w:val="1F2937"/>
                <w:sz w:val="20"/>
              </w:rPr>
              <w:t>B. Use only information available in the intake section when evaluating the intake answer.</w:t>
            </w:r>
          </w:p>
        </w:tc>
      </w:tr>
    </w:tbl>
    <w:p>
      <w:pPr>
        <w:spacing w:after="0"/>
      </w:pPr>
    </w:p>
    <w:p>
      <w:pPr>
        <w:pStyle w:val="Heading3"/>
        <w:spacing w:before="100" w:after="80"/>
        <w:keepNext/>
      </w:pPr>
      <w:r>
        <w:rPr>
          <w:rFonts w:ascii="Arial" w:hAnsi="Arial" w:eastAsia="Arial"/>
          <w:b/>
          <w:color w:val="17365D"/>
          <w:sz w:val="23"/>
        </w:rPr>
        <w:t>Why Each Option Is Correct or Incorrect</w:t>
      </w:r>
    </w:p>
    <w:p>
      <w:pPr>
        <w:spacing w:after="60" w:line="250" w:lineRule="auto"/>
        <w:ind w:left="173" w:hanging="173"/>
      </w:pPr>
      <w:r>
        <w:rPr>
          <w:rFonts w:ascii="Arial" w:hAnsi="Arial" w:eastAsia="Arial"/>
          <w:b/>
          <w:color w:val="17365D"/>
          <w:sz w:val="20"/>
        </w:rPr>
        <w:t xml:space="preserve">A. </w:t>
      </w:r>
      <w:r>
        <w:rPr>
          <w:rFonts w:ascii="Arial" w:hAnsi="Arial" w:eastAsia="Arial"/>
          <w:b/>
          <w:color w:val="1F2937"/>
          <w:sz w:val="20"/>
        </w:rPr>
        <w:t xml:space="preserve">Incorrect. </w:t>
      </w:r>
      <w:r>
        <w:rPr>
          <w:rFonts w:ascii="Arial" w:hAnsi="Arial" w:eastAsia="Arial"/>
          <w:color w:val="1F2937"/>
          <w:sz w:val="20"/>
        </w:rPr>
        <w:t>The current-format exam does not permit return to the prior section, and later information cannot retroactively become intake evidence.</w:t>
      </w:r>
    </w:p>
    <w:p>
      <w:pPr>
        <w:spacing w:after="60" w:line="250" w:lineRule="auto"/>
        <w:ind w:left="173" w:hanging="173"/>
      </w:pPr>
      <w:r>
        <w:rPr>
          <w:rFonts w:ascii="Arial" w:hAnsi="Arial" w:eastAsia="Arial"/>
          <w:b/>
          <w:color w:val="1F7A8C"/>
          <w:sz w:val="20"/>
        </w:rPr>
        <w:t xml:space="preserve">B. </w:t>
      </w:r>
      <w:r>
        <w:rPr>
          <w:rFonts w:ascii="Arial" w:hAnsi="Arial" w:eastAsia="Arial"/>
          <w:b/>
          <w:color w:val="1F7A8C"/>
          <w:sz w:val="20"/>
        </w:rPr>
        <w:t xml:space="preserve">Correct. </w:t>
      </w:r>
      <w:r>
        <w:rPr>
          <w:rFonts w:ascii="Arial" w:hAnsi="Arial" w:eastAsia="Arial"/>
          <w:color w:val="1F2937"/>
          <w:sz w:val="20"/>
        </w:rPr>
        <w:t>This preserves the case timeline and evaluates the decision based on what was knowable at the time.</w:t>
      </w:r>
    </w:p>
    <w:p>
      <w:pPr>
        <w:spacing w:after="60" w:line="250" w:lineRule="auto"/>
        <w:ind w:left="173" w:hanging="173"/>
      </w:pPr>
      <w:r>
        <w:rPr>
          <w:rFonts w:ascii="Arial" w:hAnsi="Arial" w:eastAsia="Arial"/>
          <w:b/>
          <w:color w:val="17365D"/>
          <w:sz w:val="20"/>
        </w:rPr>
        <w:t xml:space="preserve">C. </w:t>
      </w:r>
      <w:r>
        <w:rPr>
          <w:rFonts w:ascii="Arial" w:hAnsi="Arial" w:eastAsia="Arial"/>
          <w:b/>
          <w:color w:val="1F2937"/>
          <w:sz w:val="20"/>
        </w:rPr>
        <w:t xml:space="preserve">Incorrect. </w:t>
      </w:r>
      <w:r>
        <w:rPr>
          <w:rFonts w:ascii="Arial" w:hAnsi="Arial" w:eastAsia="Arial"/>
          <w:color w:val="1F2937"/>
          <w:sz w:val="20"/>
        </w:rPr>
        <w:t>Intentional concealment is an unsupported assumption.</w:t>
      </w:r>
    </w:p>
    <w:p>
      <w:pPr>
        <w:spacing w:after="60" w:line="250" w:lineRule="auto"/>
        <w:ind w:left="173" w:hanging="173"/>
      </w:pPr>
      <w:r>
        <w:rPr>
          <w:rFonts w:ascii="Arial" w:hAnsi="Arial" w:eastAsia="Arial"/>
          <w:b/>
          <w:color w:val="17365D"/>
          <w:sz w:val="20"/>
        </w:rPr>
        <w:t xml:space="preserve">D. </w:t>
      </w:r>
      <w:r>
        <w:rPr>
          <w:rFonts w:ascii="Arial" w:hAnsi="Arial" w:eastAsia="Arial"/>
          <w:b/>
          <w:color w:val="1F2937"/>
          <w:sz w:val="20"/>
        </w:rPr>
        <w:t xml:space="preserve">Incorrect. </w:t>
      </w:r>
      <w:r>
        <w:rPr>
          <w:rFonts w:ascii="Arial" w:hAnsi="Arial" w:eastAsia="Arial"/>
          <w:color w:val="1F2937"/>
          <w:sz w:val="20"/>
        </w:rPr>
        <w:t>The later disclosure does not establish incompetence; clinical information often emerges over time.</w:t>
      </w:r>
    </w:p>
    <w:tbl>
      <w:tblPr>
        <w:tblW w:type="auto" w:w="0"/>
        <w:jc w:val="center"/>
        <w:tblLook w:firstColumn="1" w:firstRow="1" w:lastColumn="0" w:lastRow="0" w:noHBand="0" w:noVBand="1" w:val="04A0"/>
      </w:tblPr>
      <w:tblGrid>
        <w:gridCol w:w="10310"/>
      </w:tblGrid>
      <w:tr>
        <w:trPr>
          <w:cantSplit/>
          <w:tblHeader w:val="true"/>
        </w:trPr>
        <w:tc>
          <w:tcPr>
            <w:tcW w:type="dxa" w:w="10310"/>
            <w:shd w:fill="E7F3F3"/>
            <w:tcBorders>
              <w:top w:val="single" w:sz="10" w:color="159C9C"/>
              <w:left w:val="single" w:sz="10" w:color="159C9C"/>
              <w:bottom w:val="single" w:sz="10" w:color="159C9C"/>
              <w:right w:val="single" w:sz="10" w:color="159C9C"/>
            </w:tcBorders>
            <w:tcMar>
              <w:top w:w="110" w:type="dxa"/>
              <w:start w:w="140" w:type="dxa"/>
              <w:bottom w:w="110" w:type="dxa"/>
              <w:end w:w="140" w:type="dxa"/>
            </w:tcMar>
          </w:tcPr>
          <w:p>
            <w:pPr>
              <w:spacing w:after="60"/>
            </w:pPr>
            <w:r>
              <w:rPr>
                <w:rFonts w:ascii="Arial" w:hAnsi="Arial" w:eastAsia="Arial"/>
                <w:b/>
                <w:color w:val="1F7A8C"/>
                <w:sz w:val="21"/>
              </w:rPr>
              <w:t>CTA EXAM STRATEGY</w:t>
            </w:r>
          </w:p>
          <w:p>
            <w:pPr>
              <w:spacing w:after="20" w:line="250" w:lineRule="auto"/>
            </w:pPr>
            <w:r>
              <w:rPr>
                <w:rFonts w:ascii="Arial" w:hAnsi="Arial" w:eastAsia="Arial"/>
                <w:color w:val="1F2937"/>
                <w:sz w:val="19"/>
              </w:rPr>
              <w:t>A case is a timeline, not one undifferentiated fact list. New information changes later decisions but does not rewrite earlier evidence.</w:t>
            </w:r>
          </w:p>
        </w:tc>
      </w:tr>
    </w:tbl>
    <w:p>
      <w:pPr>
        <w:spacing w:after="0"/>
      </w:pPr>
    </w:p>
    <w:tbl>
      <w:tblPr>
        <w:tblW w:type="auto" w:w="0"/>
        <w:jc w:val="center"/>
        <w:tblLook w:firstColumn="1" w:firstRow="1" w:lastColumn="0" w:lastRow="0" w:noHBand="0" w:noVBand="1" w:val="04A0"/>
      </w:tblPr>
      <w:tblGrid>
        <w:gridCol w:w="10310"/>
      </w:tblGrid>
      <w:tr>
        <w:trPr>
          <w:cantSplit/>
          <w:tblHeader w:val="true"/>
        </w:trPr>
        <w:tc>
          <w:tcPr>
            <w:tcW w:type="dxa" w:w="10310"/>
            <w:shd w:fill="EAF0F7"/>
            <w:tcBorders>
              <w:top w:val="single" w:sz="10" w:color="1F4E78"/>
              <w:left w:val="single" w:sz="10" w:color="1F4E78"/>
              <w:bottom w:val="single" w:sz="10" w:color="1F4E78"/>
              <w:right w:val="single" w:sz="10" w:color="1F4E78"/>
            </w:tcBorders>
            <w:tcMar>
              <w:top w:w="110" w:type="dxa"/>
              <w:start w:w="140" w:type="dxa"/>
              <w:bottom w:w="110" w:type="dxa"/>
              <w:end w:w="140" w:type="dxa"/>
            </w:tcMar>
          </w:tcPr>
          <w:p>
            <w:pPr>
              <w:spacing w:after="60"/>
            </w:pPr>
            <w:r>
              <w:rPr>
                <w:rFonts w:ascii="Arial" w:hAnsi="Arial" w:eastAsia="Arial"/>
                <w:b/>
                <w:color w:val="17365D"/>
                <w:sz w:val="21"/>
              </w:rPr>
              <w:t>LIKELY ERROR CODE</w:t>
            </w:r>
          </w:p>
          <w:p>
            <w:pPr>
              <w:spacing w:after="20" w:line="250" w:lineRule="auto"/>
            </w:pPr>
            <w:r>
              <w:rPr>
                <w:rFonts w:ascii="Arial" w:hAnsi="Arial" w:eastAsia="Arial"/>
                <w:color w:val="1F2937"/>
                <w:sz w:val="19"/>
              </w:rPr>
              <w:t>E - Evidence / assumption. Use only current-or-earlier facts and do not invent motives for missing information.</w:t>
            </w:r>
          </w:p>
        </w:tc>
      </w:tr>
    </w:tbl>
    <w:p>
      <w:pPr>
        <w:spacing w:after="0"/>
      </w:pPr>
    </w:p>
    <w:p>
      <w:r>
        <w:br w:type="page"/>
      </w:r>
    </w:p>
    <w:p>
      <w:pPr>
        <w:pStyle w:val="Heading2"/>
        <w:spacing w:before="0" w:after="60"/>
      </w:pPr>
      <w:r>
        <w:rPr>
          <w:rFonts w:ascii="Arial" w:hAnsi="Arial" w:eastAsia="Arial"/>
          <w:b/>
          <w:color w:val="159C9C"/>
          <w:sz w:val="26"/>
        </w:rPr>
        <w:t>Question 6 (LPCC-WB01-PB-Q006)</w:t>
      </w:r>
    </w:p>
    <w:p>
      <w:pPr>
        <w:spacing w:before="100" w:after="40"/>
        <w:keepNext/>
      </w:pPr>
      <w:r>
        <w:rPr>
          <w:rFonts w:ascii="Arial" w:hAnsi="Arial" w:eastAsia="Arial"/>
          <w:b/>
          <w:color w:val="1F7A8C"/>
          <w:sz w:val="17"/>
        </w:rPr>
        <w:t>LPCC-WB01-PB-Q006 | Scenario-Based | Moderate | Primary concept: Safety before routine exploration</w:t>
      </w:r>
    </w:p>
    <w:p>
      <w:pPr>
        <w:spacing w:after="60" w:line="250" w:lineRule="auto"/>
      </w:pPr>
      <w:r>
        <w:rPr>
          <w:rFonts w:ascii="Arial" w:hAnsi="Arial" w:eastAsia="Arial"/>
          <w:b/>
          <w:color w:val="1F2937"/>
          <w:sz w:val="20"/>
        </w:rPr>
        <w:t>What should the counselor do FIRST after Maya states that she sometimes wishes she could go to sleep and not wake up?</w:t>
      </w:r>
    </w:p>
    <w:p>
      <w:pPr>
        <w:spacing w:after="40"/>
        <w:ind w:left="230" w:hanging="230"/>
      </w:pPr>
      <w:r>
        <w:rPr>
          <w:rFonts w:ascii="Arial" w:hAnsi="Arial" w:eastAsia="Arial"/>
          <w:sz w:val="20"/>
        </w:rPr>
        <w:t>A. Begin behavioral activation because inactivity is maintaining her low mood.</w:t>
      </w:r>
    </w:p>
    <w:p>
      <w:pPr>
        <w:spacing w:after="40"/>
        <w:ind w:left="230" w:hanging="230"/>
      </w:pPr>
      <w:r>
        <w:rPr>
          <w:rFonts w:ascii="Arial" w:hAnsi="Arial" w:eastAsia="Arial"/>
          <w:sz w:val="20"/>
        </w:rPr>
        <w:t>B. Diagnose major depressive disorder and explain the diagnosis.</w:t>
      </w:r>
    </w:p>
    <w:p>
      <w:pPr>
        <w:spacing w:after="40"/>
        <w:ind w:left="230" w:hanging="230"/>
      </w:pPr>
      <w:r>
        <w:rPr>
          <w:rFonts w:ascii="Arial" w:hAnsi="Arial" w:eastAsia="Arial"/>
          <w:sz w:val="20"/>
        </w:rPr>
        <w:t>C. Explore the breakup in depth before asking direct safety questions so rapport is not disrupted.</w:t>
      </w:r>
    </w:p>
    <w:p>
      <w:pPr>
        <w:spacing w:after="40"/>
        <w:ind w:left="230" w:hanging="230"/>
      </w:pPr>
      <w:r>
        <w:rPr>
          <w:rFonts w:ascii="Arial" w:hAnsi="Arial" w:eastAsia="Arial"/>
          <w:sz w:val="20"/>
        </w:rPr>
        <w:t>D. Conduct a direct, focused suicide-risk assessment, including current thoughts, intent, plan, access to means, past behavior, protective factors, and ability to maintain safety.</w:t>
      </w:r>
    </w:p>
    <w:tbl>
      <w:tblPr>
        <w:tblW w:type="auto" w:w="0"/>
        <w:jc w:val="center"/>
        <w:tblLook w:firstColumn="1" w:firstRow="1" w:lastColumn="0" w:lastRow="0" w:noHBand="0" w:noVBand="1" w:val="04A0"/>
      </w:tblPr>
      <w:tblGrid>
        <w:gridCol w:w="10310"/>
      </w:tblGrid>
      <w:tr>
        <w:trPr>
          <w:cantSplit/>
          <w:tblHeader w:val="true"/>
        </w:trPr>
        <w:tc>
          <w:tcPr>
            <w:tcW w:type="dxa" w:w="10310"/>
            <w:shd w:fill="E7F2EA"/>
            <w:tcBorders>
              <w:top w:val="single" w:sz="10" w:color="1F7A8C"/>
              <w:left w:val="single" w:sz="10" w:color="1F7A8C"/>
              <w:bottom w:val="single" w:sz="10" w:color="1F7A8C"/>
              <w:right w:val="single" w:sz="10" w:color="1F7A8C"/>
            </w:tcBorders>
            <w:tcMar>
              <w:top w:w="110" w:type="dxa"/>
              <w:start w:w="140" w:type="dxa"/>
              <w:bottom w:w="110" w:type="dxa"/>
              <w:end w:w="140" w:type="dxa"/>
            </w:tcMar>
          </w:tcPr>
          <w:p>
            <w:pPr>
              <w:spacing w:after="60"/>
            </w:pPr>
            <w:r>
              <w:rPr>
                <w:rFonts w:ascii="Arial" w:hAnsi="Arial" w:eastAsia="Arial"/>
                <w:b/>
                <w:color w:val="17365D"/>
                <w:sz w:val="21"/>
              </w:rPr>
              <w:t>CORRECT ANSWER</w:t>
            </w:r>
          </w:p>
          <w:p>
            <w:pPr>
              <w:spacing w:after="20" w:line="250" w:lineRule="auto"/>
            </w:pPr>
            <w:r>
              <w:rPr>
                <w:rFonts w:ascii="Arial" w:hAnsi="Arial" w:eastAsia="Arial"/>
                <w:color w:val="1F2937"/>
                <w:sz w:val="20"/>
              </w:rPr>
              <w:t>D. Conduct a direct, focused suicide-risk assessment, including current thoughts, intent, plan, access to means, past behavior, protective factors, and ability to maintain safety.</w:t>
            </w:r>
          </w:p>
        </w:tc>
      </w:tr>
    </w:tbl>
    <w:p>
      <w:pPr>
        <w:spacing w:after="0"/>
      </w:pPr>
    </w:p>
    <w:p>
      <w:pPr>
        <w:pStyle w:val="Heading3"/>
        <w:spacing w:before="100" w:after="80"/>
        <w:keepNext/>
      </w:pPr>
      <w:r>
        <w:rPr>
          <w:rFonts w:ascii="Arial" w:hAnsi="Arial" w:eastAsia="Arial"/>
          <w:b/>
          <w:color w:val="17365D"/>
          <w:sz w:val="23"/>
        </w:rPr>
        <w:t>Why Each Option Is Correct or Incorrect</w:t>
      </w:r>
    </w:p>
    <w:p>
      <w:pPr>
        <w:spacing w:after="60" w:line="250" w:lineRule="auto"/>
        <w:ind w:left="173" w:hanging="173"/>
      </w:pPr>
      <w:r>
        <w:rPr>
          <w:rFonts w:ascii="Arial" w:hAnsi="Arial" w:eastAsia="Arial"/>
          <w:b/>
          <w:color w:val="17365D"/>
          <w:sz w:val="20"/>
        </w:rPr>
        <w:t xml:space="preserve">A. </w:t>
      </w:r>
      <w:r>
        <w:rPr>
          <w:rFonts w:ascii="Arial" w:hAnsi="Arial" w:eastAsia="Arial"/>
          <w:b/>
          <w:color w:val="1F2937"/>
          <w:sz w:val="20"/>
        </w:rPr>
        <w:t xml:space="preserve">Incorrect. </w:t>
      </w:r>
      <w:r>
        <w:rPr>
          <w:rFonts w:ascii="Arial" w:hAnsi="Arial" w:eastAsia="Arial"/>
          <w:color w:val="1F2937"/>
          <w:sz w:val="20"/>
        </w:rPr>
        <w:t>Behavioral activation may later be useful, but the passive death wish creates a safety-assessment priority.</w:t>
      </w:r>
    </w:p>
    <w:p>
      <w:pPr>
        <w:spacing w:after="60" w:line="250" w:lineRule="auto"/>
        <w:ind w:left="173" w:hanging="173"/>
      </w:pPr>
      <w:r>
        <w:rPr>
          <w:rFonts w:ascii="Arial" w:hAnsi="Arial" w:eastAsia="Arial"/>
          <w:b/>
          <w:color w:val="17365D"/>
          <w:sz w:val="20"/>
        </w:rPr>
        <w:t xml:space="preserve">B. </w:t>
      </w:r>
      <w:r>
        <w:rPr>
          <w:rFonts w:ascii="Arial" w:hAnsi="Arial" w:eastAsia="Arial"/>
          <w:b/>
          <w:color w:val="1F2937"/>
          <w:sz w:val="20"/>
        </w:rPr>
        <w:t xml:space="preserve">Incorrect. </w:t>
      </w:r>
      <w:r>
        <w:rPr>
          <w:rFonts w:ascii="Arial" w:hAnsi="Arial" w:eastAsia="Arial"/>
          <w:color w:val="1F2937"/>
          <w:sz w:val="20"/>
        </w:rPr>
        <w:t>A diagnosis is premature and does not answer the immediate safety question.</w:t>
      </w:r>
    </w:p>
    <w:p>
      <w:pPr>
        <w:spacing w:after="60" w:line="250" w:lineRule="auto"/>
        <w:ind w:left="173" w:hanging="173"/>
      </w:pPr>
      <w:r>
        <w:rPr>
          <w:rFonts w:ascii="Arial" w:hAnsi="Arial" w:eastAsia="Arial"/>
          <w:b/>
          <w:color w:val="17365D"/>
          <w:sz w:val="20"/>
        </w:rPr>
        <w:t xml:space="preserve">C. </w:t>
      </w:r>
      <w:r>
        <w:rPr>
          <w:rFonts w:ascii="Arial" w:hAnsi="Arial" w:eastAsia="Arial"/>
          <w:b/>
          <w:color w:val="1F2937"/>
          <w:sz w:val="20"/>
        </w:rPr>
        <w:t xml:space="preserve">Incorrect. </w:t>
      </w:r>
      <w:r>
        <w:rPr>
          <w:rFonts w:ascii="Arial" w:hAnsi="Arial" w:eastAsia="Arial"/>
          <w:color w:val="1F2937"/>
          <w:sz w:val="20"/>
        </w:rPr>
        <w:t>Direct, respectful safety assessment supports rather than undermines competent rapport. Delaying it is an underreaction.</w:t>
      </w:r>
    </w:p>
    <w:p>
      <w:pPr>
        <w:spacing w:after="60" w:line="250" w:lineRule="auto"/>
        <w:ind w:left="173" w:hanging="173"/>
      </w:pPr>
      <w:r>
        <w:rPr>
          <w:rFonts w:ascii="Arial" w:hAnsi="Arial" w:eastAsia="Arial"/>
          <w:b/>
          <w:color w:val="1F7A8C"/>
          <w:sz w:val="20"/>
        </w:rPr>
        <w:t xml:space="preserve">D. </w:t>
      </w:r>
      <w:r>
        <w:rPr>
          <w:rFonts w:ascii="Arial" w:hAnsi="Arial" w:eastAsia="Arial"/>
          <w:b/>
          <w:color w:val="1F7A8C"/>
          <w:sz w:val="20"/>
        </w:rPr>
        <w:t xml:space="preserve">Correct. </w:t>
      </w:r>
      <w:r>
        <w:rPr>
          <w:rFonts w:ascii="Arial" w:hAnsi="Arial" w:eastAsia="Arial"/>
          <w:color w:val="1F2937"/>
          <w:sz w:val="20"/>
        </w:rPr>
        <w:t>This directly addresses the controlling priority using a proportionate assessment before deciding on intervention or level of care.</w:t>
      </w:r>
    </w:p>
    <w:tbl>
      <w:tblPr>
        <w:tblW w:type="auto" w:w="0"/>
        <w:jc w:val="center"/>
        <w:tblLook w:firstColumn="1" w:firstRow="1" w:lastColumn="0" w:lastRow="0" w:noHBand="0" w:noVBand="1" w:val="04A0"/>
      </w:tblPr>
      <w:tblGrid>
        <w:gridCol w:w="10310"/>
      </w:tblGrid>
      <w:tr>
        <w:trPr>
          <w:cantSplit/>
          <w:tblHeader w:val="true"/>
        </w:trPr>
        <w:tc>
          <w:tcPr>
            <w:tcW w:type="dxa" w:w="10310"/>
            <w:shd w:fill="E7F3F3"/>
            <w:tcBorders>
              <w:top w:val="single" w:sz="10" w:color="159C9C"/>
              <w:left w:val="single" w:sz="10" w:color="159C9C"/>
              <w:bottom w:val="single" w:sz="10" w:color="159C9C"/>
              <w:right w:val="single" w:sz="10" w:color="159C9C"/>
            </w:tcBorders>
            <w:tcMar>
              <w:top w:w="110" w:type="dxa"/>
              <w:start w:w="140" w:type="dxa"/>
              <w:bottom w:w="110" w:type="dxa"/>
              <w:end w:w="140" w:type="dxa"/>
            </w:tcMar>
          </w:tcPr>
          <w:p>
            <w:pPr>
              <w:spacing w:after="60"/>
            </w:pPr>
            <w:r>
              <w:rPr>
                <w:rFonts w:ascii="Arial" w:hAnsi="Arial" w:eastAsia="Arial"/>
                <w:b/>
                <w:color w:val="1F7A8C"/>
                <w:sz w:val="21"/>
              </w:rPr>
              <w:t>CTA EXAM STRATEGY</w:t>
            </w:r>
          </w:p>
          <w:p>
            <w:pPr>
              <w:spacing w:after="20" w:line="250" w:lineRule="auto"/>
            </w:pPr>
            <w:r>
              <w:rPr>
                <w:rFonts w:ascii="Arial" w:hAnsi="Arial" w:eastAsia="Arial"/>
                <w:color w:val="1F2937"/>
                <w:sz w:val="19"/>
              </w:rPr>
              <w:t>When a client expresses a death wish, do not jump automatically to hospitalization or minimize the statement. Assess current risk directly before selecting the next action.</w:t>
            </w:r>
          </w:p>
        </w:tc>
      </w:tr>
    </w:tbl>
    <w:p>
      <w:pPr>
        <w:spacing w:after="0"/>
      </w:pPr>
    </w:p>
    <w:tbl>
      <w:tblPr>
        <w:tblW w:type="auto" w:w="0"/>
        <w:jc w:val="center"/>
        <w:tblLook w:firstColumn="1" w:firstRow="1" w:lastColumn="0" w:lastRow="0" w:noHBand="0" w:noVBand="1" w:val="04A0"/>
      </w:tblPr>
      <w:tblGrid>
        <w:gridCol w:w="10310"/>
      </w:tblGrid>
      <w:tr>
        <w:trPr>
          <w:cantSplit/>
          <w:tblHeader w:val="true"/>
        </w:trPr>
        <w:tc>
          <w:tcPr>
            <w:tcW w:type="dxa" w:w="10310"/>
            <w:shd w:fill="EAF0F7"/>
            <w:tcBorders>
              <w:top w:val="single" w:sz="10" w:color="1F4E78"/>
              <w:left w:val="single" w:sz="10" w:color="1F4E78"/>
              <w:bottom w:val="single" w:sz="10" w:color="1F4E78"/>
              <w:right w:val="single" w:sz="10" w:color="1F4E78"/>
            </w:tcBorders>
            <w:tcMar>
              <w:top w:w="110" w:type="dxa"/>
              <w:start w:w="140" w:type="dxa"/>
              <w:bottom w:w="110" w:type="dxa"/>
              <w:end w:w="140" w:type="dxa"/>
            </w:tcMar>
          </w:tcPr>
          <w:p>
            <w:pPr>
              <w:spacing w:after="60"/>
            </w:pPr>
            <w:r>
              <w:rPr>
                <w:rFonts w:ascii="Arial" w:hAnsi="Arial" w:eastAsia="Arial"/>
                <w:b/>
                <w:color w:val="17365D"/>
                <w:sz w:val="21"/>
              </w:rPr>
              <w:t>LIKELY ERROR CODE</w:t>
            </w:r>
          </w:p>
          <w:p>
            <w:pPr>
              <w:spacing w:after="20" w:line="250" w:lineRule="auto"/>
            </w:pPr>
            <w:r>
              <w:rPr>
                <w:rFonts w:ascii="Arial" w:hAnsi="Arial" w:eastAsia="Arial"/>
                <w:color w:val="1F2937"/>
                <w:sz w:val="19"/>
              </w:rPr>
              <w:t>R - Risk / safety / duty. Assess the supported risk signal before routine counseling or disposition decisions.</w:t>
            </w:r>
          </w:p>
        </w:tc>
      </w:tr>
    </w:tbl>
    <w:p>
      <w:pPr>
        <w:spacing w:after="0"/>
      </w:pPr>
    </w:p>
    <w:p>
      <w:r>
        <w:br w:type="page"/>
      </w:r>
    </w:p>
    <w:p>
      <w:pPr>
        <w:pStyle w:val="Heading2"/>
        <w:spacing w:before="0" w:after="60"/>
      </w:pPr>
      <w:r>
        <w:rPr>
          <w:rFonts w:ascii="Arial" w:hAnsi="Arial" w:eastAsia="Arial"/>
          <w:b/>
          <w:color w:val="159C9C"/>
          <w:sz w:val="26"/>
        </w:rPr>
        <w:t>Question 7 (LPCC-WB01-PB-Q007)</w:t>
      </w:r>
    </w:p>
    <w:p>
      <w:pPr>
        <w:spacing w:before="100" w:after="40"/>
        <w:keepNext/>
      </w:pPr>
      <w:r>
        <w:rPr>
          <w:rFonts w:ascii="Arial" w:hAnsi="Arial" w:eastAsia="Arial"/>
          <w:b/>
          <w:color w:val="1F7A8C"/>
          <w:sz w:val="17"/>
        </w:rPr>
        <w:t>LPCC-WB01-PB-Q007 | Integrated Clinical Reasoning | Moderate | Primary concept: Assessment before diagnosis</w:t>
      </w:r>
    </w:p>
    <w:p>
      <w:pPr>
        <w:spacing w:after="60" w:line="250" w:lineRule="auto"/>
      </w:pPr>
      <w:r>
        <w:rPr>
          <w:rFonts w:ascii="Arial" w:hAnsi="Arial" w:eastAsia="Arial"/>
          <w:b/>
          <w:color w:val="1F2937"/>
          <w:sz w:val="20"/>
        </w:rPr>
        <w:t>Which conclusion is BEST supported by the information available in the intake section?</w:t>
      </w:r>
    </w:p>
    <w:p>
      <w:pPr>
        <w:spacing w:after="40"/>
        <w:ind w:left="230" w:hanging="230"/>
      </w:pPr>
      <w:r>
        <w:rPr>
          <w:rFonts w:ascii="Arial" w:hAnsi="Arial" w:eastAsia="Arial"/>
          <w:sz w:val="20"/>
        </w:rPr>
        <w:t>A. Maya has clinically significant distress that requires further assessment of safety, symptom course, functioning, medical and substance contributors, and diagnostic criteria.</w:t>
      </w:r>
    </w:p>
    <w:p>
      <w:pPr>
        <w:spacing w:after="40"/>
        <w:ind w:left="230" w:hanging="230"/>
      </w:pPr>
      <w:r>
        <w:rPr>
          <w:rFonts w:ascii="Arial" w:hAnsi="Arial" w:eastAsia="Arial"/>
          <w:sz w:val="20"/>
        </w:rPr>
        <w:t>B. Maya meets full criteria for major depressive disorder because she reports low mood and poor sleep.</w:t>
      </w:r>
    </w:p>
    <w:p>
      <w:pPr>
        <w:spacing w:after="40"/>
        <w:ind w:left="230" w:hanging="230"/>
      </w:pPr>
      <w:r>
        <w:rPr>
          <w:rFonts w:ascii="Arial" w:hAnsi="Arial" w:eastAsia="Arial"/>
          <w:sz w:val="20"/>
        </w:rPr>
        <w:t>C. Maya’s symptoms are caused by cannabis use because she uses cannabis most evenings.</w:t>
      </w:r>
    </w:p>
    <w:p>
      <w:pPr>
        <w:spacing w:after="40"/>
        <w:ind w:left="230" w:hanging="230"/>
      </w:pPr>
      <w:r>
        <w:rPr>
          <w:rFonts w:ascii="Arial" w:hAnsi="Arial" w:eastAsia="Arial"/>
          <w:sz w:val="20"/>
        </w:rPr>
        <w:t>D. Maya requires immediate involuntary hospitalization because she reports a passive death wish.</w:t>
      </w:r>
    </w:p>
    <w:tbl>
      <w:tblPr>
        <w:tblW w:type="auto" w:w="0"/>
        <w:jc w:val="center"/>
        <w:tblLook w:firstColumn="1" w:firstRow="1" w:lastColumn="0" w:lastRow="0" w:noHBand="0" w:noVBand="1" w:val="04A0"/>
      </w:tblPr>
      <w:tblGrid>
        <w:gridCol w:w="10310"/>
      </w:tblGrid>
      <w:tr>
        <w:trPr>
          <w:cantSplit/>
          <w:tblHeader w:val="true"/>
        </w:trPr>
        <w:tc>
          <w:tcPr>
            <w:tcW w:type="dxa" w:w="10310"/>
            <w:shd w:fill="E7F2EA"/>
            <w:tcBorders>
              <w:top w:val="single" w:sz="10" w:color="1F7A8C"/>
              <w:left w:val="single" w:sz="10" w:color="1F7A8C"/>
              <w:bottom w:val="single" w:sz="10" w:color="1F7A8C"/>
              <w:right w:val="single" w:sz="10" w:color="1F7A8C"/>
            </w:tcBorders>
            <w:tcMar>
              <w:top w:w="110" w:type="dxa"/>
              <w:start w:w="140" w:type="dxa"/>
              <w:bottom w:w="110" w:type="dxa"/>
              <w:end w:w="140" w:type="dxa"/>
            </w:tcMar>
          </w:tcPr>
          <w:p>
            <w:pPr>
              <w:spacing w:after="60"/>
            </w:pPr>
            <w:r>
              <w:rPr>
                <w:rFonts w:ascii="Arial" w:hAnsi="Arial" w:eastAsia="Arial"/>
                <w:b/>
                <w:color w:val="17365D"/>
                <w:sz w:val="21"/>
              </w:rPr>
              <w:t>CORRECT ANSWER</w:t>
            </w:r>
          </w:p>
          <w:p>
            <w:pPr>
              <w:spacing w:after="20" w:line="250" w:lineRule="auto"/>
            </w:pPr>
            <w:r>
              <w:rPr>
                <w:rFonts w:ascii="Arial" w:hAnsi="Arial" w:eastAsia="Arial"/>
                <w:color w:val="1F2937"/>
                <w:sz w:val="20"/>
              </w:rPr>
              <w:t>A. Maya has clinically significant distress that requires further assessment of safety, symptom course, functioning, medical and substance contributors, and diagnostic criteria.</w:t>
            </w:r>
          </w:p>
        </w:tc>
      </w:tr>
    </w:tbl>
    <w:p>
      <w:pPr>
        <w:spacing w:after="0"/>
      </w:pPr>
    </w:p>
    <w:p>
      <w:pPr>
        <w:pStyle w:val="Heading3"/>
        <w:spacing w:before="100" w:after="80"/>
        <w:keepNext/>
      </w:pPr>
      <w:r>
        <w:rPr>
          <w:rFonts w:ascii="Arial" w:hAnsi="Arial" w:eastAsia="Arial"/>
          <w:b/>
          <w:color w:val="17365D"/>
          <w:sz w:val="23"/>
        </w:rPr>
        <w:t>Why Each Option Is Correct or Incorrect</w:t>
      </w:r>
    </w:p>
    <w:p>
      <w:pPr>
        <w:spacing w:after="60" w:line="250" w:lineRule="auto"/>
        <w:ind w:left="173" w:hanging="173"/>
      </w:pPr>
      <w:r>
        <w:rPr>
          <w:rFonts w:ascii="Arial" w:hAnsi="Arial" w:eastAsia="Arial"/>
          <w:b/>
          <w:color w:val="1F7A8C"/>
          <w:sz w:val="20"/>
        </w:rPr>
        <w:t xml:space="preserve">A. </w:t>
      </w:r>
      <w:r>
        <w:rPr>
          <w:rFonts w:ascii="Arial" w:hAnsi="Arial" w:eastAsia="Arial"/>
          <w:b/>
          <w:color w:val="1F7A8C"/>
          <w:sz w:val="20"/>
        </w:rPr>
        <w:t xml:space="preserve">Correct. </w:t>
      </w:r>
      <w:r>
        <w:rPr>
          <w:rFonts w:ascii="Arial" w:hAnsi="Arial" w:eastAsia="Arial"/>
          <w:color w:val="1F2937"/>
          <w:sz w:val="20"/>
        </w:rPr>
        <w:t>This conclusion stays within the evidence. The case supports distress and several assessment targets, but not yet a final diagnosis or automatic disposition.</w:t>
      </w:r>
    </w:p>
    <w:p>
      <w:pPr>
        <w:spacing w:after="60" w:line="250" w:lineRule="auto"/>
        <w:ind w:left="173" w:hanging="173"/>
      </w:pPr>
      <w:r>
        <w:rPr>
          <w:rFonts w:ascii="Arial" w:hAnsi="Arial" w:eastAsia="Arial"/>
          <w:b/>
          <w:color w:val="17365D"/>
          <w:sz w:val="20"/>
        </w:rPr>
        <w:t xml:space="preserve">B. </w:t>
      </w:r>
      <w:r>
        <w:rPr>
          <w:rFonts w:ascii="Arial" w:hAnsi="Arial" w:eastAsia="Arial"/>
          <w:b/>
          <w:color w:val="1F2937"/>
          <w:sz w:val="20"/>
        </w:rPr>
        <w:t xml:space="preserve">Incorrect. </w:t>
      </w:r>
      <w:r>
        <w:rPr>
          <w:rFonts w:ascii="Arial" w:hAnsi="Arial" w:eastAsia="Arial"/>
          <w:color w:val="1F2937"/>
          <w:sz w:val="20"/>
        </w:rPr>
        <w:t>Low mood and poor sleep alone do not establish the full symptom pattern, duration, impairment, exclusions, or differential diagnosis.</w:t>
      </w:r>
    </w:p>
    <w:p>
      <w:pPr>
        <w:spacing w:after="60" w:line="250" w:lineRule="auto"/>
        <w:ind w:left="173" w:hanging="173"/>
      </w:pPr>
      <w:r>
        <w:rPr>
          <w:rFonts w:ascii="Arial" w:hAnsi="Arial" w:eastAsia="Arial"/>
          <w:b/>
          <w:color w:val="17365D"/>
          <w:sz w:val="20"/>
        </w:rPr>
        <w:t xml:space="preserve">C. </w:t>
      </w:r>
      <w:r>
        <w:rPr>
          <w:rFonts w:ascii="Arial" w:hAnsi="Arial" w:eastAsia="Arial"/>
          <w:b/>
          <w:color w:val="1F2937"/>
          <w:sz w:val="20"/>
        </w:rPr>
        <w:t xml:space="preserve">Incorrect. </w:t>
      </w:r>
      <w:r>
        <w:rPr>
          <w:rFonts w:ascii="Arial" w:hAnsi="Arial" w:eastAsia="Arial"/>
          <w:color w:val="1F2937"/>
          <w:sz w:val="20"/>
        </w:rPr>
        <w:t>Cannabis may contribute, but causation is not established from timing and frequency alone.</w:t>
      </w:r>
    </w:p>
    <w:p>
      <w:pPr>
        <w:spacing w:after="60" w:line="250" w:lineRule="auto"/>
        <w:ind w:left="173" w:hanging="173"/>
      </w:pPr>
      <w:r>
        <w:rPr>
          <w:rFonts w:ascii="Arial" w:hAnsi="Arial" w:eastAsia="Arial"/>
          <w:b/>
          <w:color w:val="17365D"/>
          <w:sz w:val="20"/>
        </w:rPr>
        <w:t xml:space="preserve">D. </w:t>
      </w:r>
      <w:r>
        <w:rPr>
          <w:rFonts w:ascii="Arial" w:hAnsi="Arial" w:eastAsia="Arial"/>
          <w:b/>
          <w:color w:val="1F2937"/>
          <w:sz w:val="20"/>
        </w:rPr>
        <w:t xml:space="preserve">Incorrect. </w:t>
      </w:r>
      <w:r>
        <w:rPr>
          <w:rFonts w:ascii="Arial" w:hAnsi="Arial" w:eastAsia="Arial"/>
          <w:color w:val="1F2937"/>
          <w:sz w:val="20"/>
        </w:rPr>
        <w:t>A passive death wish requires direct assessment, but hospitalization depends on the full risk picture and applicable criteria.</w:t>
      </w:r>
    </w:p>
    <w:tbl>
      <w:tblPr>
        <w:tblW w:type="auto" w:w="0"/>
        <w:jc w:val="center"/>
        <w:tblLook w:firstColumn="1" w:firstRow="1" w:lastColumn="0" w:lastRow="0" w:noHBand="0" w:noVBand="1" w:val="04A0"/>
      </w:tblPr>
      <w:tblGrid>
        <w:gridCol w:w="10310"/>
      </w:tblGrid>
      <w:tr>
        <w:trPr>
          <w:cantSplit/>
          <w:tblHeader w:val="true"/>
        </w:trPr>
        <w:tc>
          <w:tcPr>
            <w:tcW w:type="dxa" w:w="10310"/>
            <w:shd w:fill="E7F3F3"/>
            <w:tcBorders>
              <w:top w:val="single" w:sz="10" w:color="159C9C"/>
              <w:left w:val="single" w:sz="10" w:color="159C9C"/>
              <w:bottom w:val="single" w:sz="10" w:color="159C9C"/>
              <w:right w:val="single" w:sz="10" w:color="159C9C"/>
            </w:tcBorders>
            <w:tcMar>
              <w:top w:w="110" w:type="dxa"/>
              <w:start w:w="140" w:type="dxa"/>
              <w:bottom w:w="110" w:type="dxa"/>
              <w:end w:w="140" w:type="dxa"/>
            </w:tcMar>
          </w:tcPr>
          <w:p>
            <w:pPr>
              <w:spacing w:after="60"/>
            </w:pPr>
            <w:r>
              <w:rPr>
                <w:rFonts w:ascii="Arial" w:hAnsi="Arial" w:eastAsia="Arial"/>
                <w:b/>
                <w:color w:val="1F7A8C"/>
                <w:sz w:val="21"/>
              </w:rPr>
              <w:t>CTA EXAM STRATEGY</w:t>
            </w:r>
          </w:p>
          <w:p>
            <w:pPr>
              <w:spacing w:after="20" w:line="250" w:lineRule="auto"/>
            </w:pPr>
            <w:r>
              <w:rPr>
                <w:rFonts w:ascii="Arial" w:hAnsi="Arial" w:eastAsia="Arial"/>
                <w:color w:val="1F2937"/>
                <w:sz w:val="19"/>
              </w:rPr>
              <w:t>Choose the conclusion that is no stronger than the facts. “Requires further assessment” is often correct when key diagnostic, medical, substance, or risk information is missing.</w:t>
            </w:r>
          </w:p>
        </w:tc>
      </w:tr>
    </w:tbl>
    <w:p>
      <w:pPr>
        <w:spacing w:after="0"/>
      </w:pPr>
    </w:p>
    <w:tbl>
      <w:tblPr>
        <w:tblW w:type="auto" w:w="0"/>
        <w:jc w:val="center"/>
        <w:tblLook w:firstColumn="1" w:firstRow="1" w:lastColumn="0" w:lastRow="0" w:noHBand="0" w:noVBand="1" w:val="04A0"/>
      </w:tblPr>
      <w:tblGrid>
        <w:gridCol w:w="10310"/>
      </w:tblGrid>
      <w:tr>
        <w:trPr>
          <w:cantSplit/>
          <w:tblHeader w:val="true"/>
        </w:trPr>
        <w:tc>
          <w:tcPr>
            <w:tcW w:type="dxa" w:w="10310"/>
            <w:shd w:fill="EAF0F7"/>
            <w:tcBorders>
              <w:top w:val="single" w:sz="10" w:color="1F4E78"/>
              <w:left w:val="single" w:sz="10" w:color="1F4E78"/>
              <w:bottom w:val="single" w:sz="10" w:color="1F4E78"/>
              <w:right w:val="single" w:sz="10" w:color="1F4E78"/>
            </w:tcBorders>
            <w:tcMar>
              <w:top w:w="110" w:type="dxa"/>
              <w:start w:w="140" w:type="dxa"/>
              <w:bottom w:w="110" w:type="dxa"/>
              <w:end w:w="140" w:type="dxa"/>
            </w:tcMar>
          </w:tcPr>
          <w:p>
            <w:pPr>
              <w:spacing w:after="60"/>
            </w:pPr>
            <w:r>
              <w:rPr>
                <w:rFonts w:ascii="Arial" w:hAnsi="Arial" w:eastAsia="Arial"/>
                <w:b/>
                <w:color w:val="17365D"/>
                <w:sz w:val="21"/>
              </w:rPr>
              <w:t>LIKELY ERROR CODE</w:t>
            </w:r>
          </w:p>
          <w:p>
            <w:pPr>
              <w:spacing w:after="20" w:line="250" w:lineRule="auto"/>
            </w:pPr>
            <w:r>
              <w:rPr>
                <w:rFonts w:ascii="Arial" w:hAnsi="Arial" w:eastAsia="Arial"/>
                <w:color w:val="1F2937"/>
                <w:sz w:val="19"/>
              </w:rPr>
              <w:t>A - Assessment / diagnosis. Match the certainty of the answer to the certainty of the evidence.</w:t>
            </w:r>
          </w:p>
        </w:tc>
      </w:tr>
    </w:tbl>
    <w:p>
      <w:pPr>
        <w:spacing w:after="0"/>
      </w:pPr>
    </w:p>
    <w:p>
      <w:r>
        <w:br w:type="page"/>
      </w:r>
    </w:p>
    <w:p>
      <w:pPr>
        <w:pStyle w:val="Heading2"/>
        <w:spacing w:before="0" w:after="60"/>
      </w:pPr>
      <w:r>
        <w:rPr>
          <w:rFonts w:ascii="Arial" w:hAnsi="Arial" w:eastAsia="Arial"/>
          <w:b/>
          <w:color w:val="159C9C"/>
          <w:sz w:val="26"/>
        </w:rPr>
        <w:t>Question 8 (LPCC-WB01-PB-Q008)</w:t>
      </w:r>
    </w:p>
    <w:p>
      <w:pPr>
        <w:spacing w:before="100" w:after="40"/>
        <w:keepNext/>
      </w:pPr>
      <w:r>
        <w:rPr>
          <w:rFonts w:ascii="Arial" w:hAnsi="Arial" w:eastAsia="Arial"/>
          <w:b/>
          <w:color w:val="1F7A8C"/>
          <w:sz w:val="17"/>
        </w:rPr>
        <w:t>LPCC-WB01-PB-Q008 | Application | Easy | Primary concept: Culturally responsive alliance</w:t>
      </w:r>
    </w:p>
    <w:p>
      <w:pPr>
        <w:spacing w:after="60" w:line="250" w:lineRule="auto"/>
      </w:pPr>
      <w:r>
        <w:rPr>
          <w:rFonts w:ascii="Arial" w:hAnsi="Arial" w:eastAsia="Arial"/>
          <w:b/>
          <w:color w:val="1F2937"/>
          <w:sz w:val="20"/>
        </w:rPr>
        <w:t>Maya says that her family values privacy and that seeking counseling feels like admitting weakness. Which response is MOST appropriate?</w:t>
      </w:r>
    </w:p>
    <w:p>
      <w:pPr>
        <w:spacing w:after="40"/>
        <w:ind w:left="230" w:hanging="230"/>
      </w:pPr>
      <w:r>
        <w:rPr>
          <w:rFonts w:ascii="Arial" w:hAnsi="Arial" w:eastAsia="Arial"/>
          <w:sz w:val="20"/>
        </w:rPr>
        <w:t>A. Tell Maya that her family’s beliefs are unhealthy and should not influence treatment.</w:t>
      </w:r>
    </w:p>
    <w:p>
      <w:pPr>
        <w:spacing w:after="40"/>
        <w:ind w:left="230" w:hanging="230"/>
      </w:pPr>
      <w:r>
        <w:rPr>
          <w:rFonts w:ascii="Arial" w:hAnsi="Arial" w:eastAsia="Arial"/>
          <w:sz w:val="20"/>
        </w:rPr>
        <w:t>B. Avoid discussing culture so the counselor does not stereotype her.</w:t>
      </w:r>
    </w:p>
    <w:p>
      <w:pPr>
        <w:spacing w:after="40"/>
        <w:ind w:left="230" w:hanging="230"/>
      </w:pPr>
      <w:r>
        <w:rPr>
          <w:rFonts w:ascii="Arial" w:hAnsi="Arial" w:eastAsia="Arial"/>
          <w:sz w:val="20"/>
        </w:rPr>
        <w:t>C. Invite Maya to describe what privacy, strength, family loyalty, and help-seeking mean to her, then collaborate on a treatment approach that respects her values and choices.</w:t>
      </w:r>
    </w:p>
    <w:p>
      <w:pPr>
        <w:spacing w:after="40"/>
        <w:ind w:left="230" w:hanging="230"/>
      </w:pPr>
      <w:r>
        <w:rPr>
          <w:rFonts w:ascii="Arial" w:hAnsi="Arial" w:eastAsia="Arial"/>
          <w:sz w:val="20"/>
        </w:rPr>
        <w:t>D. Recommend including family members immediately because family is important to her.</w:t>
      </w:r>
    </w:p>
    <w:tbl>
      <w:tblPr>
        <w:tblW w:type="auto" w:w="0"/>
        <w:jc w:val="center"/>
        <w:tblLook w:firstColumn="1" w:firstRow="1" w:lastColumn="0" w:lastRow="0" w:noHBand="0" w:noVBand="1" w:val="04A0"/>
      </w:tblPr>
      <w:tblGrid>
        <w:gridCol w:w="10310"/>
      </w:tblGrid>
      <w:tr>
        <w:trPr>
          <w:cantSplit/>
          <w:tblHeader w:val="true"/>
        </w:trPr>
        <w:tc>
          <w:tcPr>
            <w:tcW w:type="dxa" w:w="10310"/>
            <w:shd w:fill="E7F2EA"/>
            <w:tcBorders>
              <w:top w:val="single" w:sz="10" w:color="1F7A8C"/>
              <w:left w:val="single" w:sz="10" w:color="1F7A8C"/>
              <w:bottom w:val="single" w:sz="10" w:color="1F7A8C"/>
              <w:right w:val="single" w:sz="10" w:color="1F7A8C"/>
            </w:tcBorders>
            <w:tcMar>
              <w:top w:w="110" w:type="dxa"/>
              <w:start w:w="140" w:type="dxa"/>
              <w:bottom w:w="110" w:type="dxa"/>
              <w:end w:w="140" w:type="dxa"/>
            </w:tcMar>
          </w:tcPr>
          <w:p>
            <w:pPr>
              <w:spacing w:after="60"/>
            </w:pPr>
            <w:r>
              <w:rPr>
                <w:rFonts w:ascii="Arial" w:hAnsi="Arial" w:eastAsia="Arial"/>
                <w:b/>
                <w:color w:val="17365D"/>
                <w:sz w:val="21"/>
              </w:rPr>
              <w:t>CORRECT ANSWER</w:t>
            </w:r>
          </w:p>
          <w:p>
            <w:pPr>
              <w:spacing w:after="20" w:line="250" w:lineRule="auto"/>
            </w:pPr>
            <w:r>
              <w:rPr>
                <w:rFonts w:ascii="Arial" w:hAnsi="Arial" w:eastAsia="Arial"/>
                <w:color w:val="1F2937"/>
                <w:sz w:val="20"/>
              </w:rPr>
              <w:t>C. Invite Maya to describe what privacy, strength, family loyalty, and help-seeking mean to her, then collaborate on a treatment approach that respects her values and choices.</w:t>
            </w:r>
          </w:p>
        </w:tc>
      </w:tr>
    </w:tbl>
    <w:p>
      <w:pPr>
        <w:spacing w:after="0"/>
      </w:pPr>
    </w:p>
    <w:p>
      <w:pPr>
        <w:pStyle w:val="Heading3"/>
        <w:spacing w:before="100" w:after="80"/>
        <w:keepNext/>
      </w:pPr>
      <w:r>
        <w:rPr>
          <w:rFonts w:ascii="Arial" w:hAnsi="Arial" w:eastAsia="Arial"/>
          <w:b/>
          <w:color w:val="17365D"/>
          <w:sz w:val="23"/>
        </w:rPr>
        <w:t>Why Each Option Is Correct or Incorrect</w:t>
      </w:r>
    </w:p>
    <w:p>
      <w:pPr>
        <w:spacing w:after="60" w:line="250" w:lineRule="auto"/>
        <w:ind w:left="173" w:hanging="173"/>
      </w:pPr>
      <w:r>
        <w:rPr>
          <w:rFonts w:ascii="Arial" w:hAnsi="Arial" w:eastAsia="Arial"/>
          <w:b/>
          <w:color w:val="17365D"/>
          <w:sz w:val="20"/>
        </w:rPr>
        <w:t xml:space="preserve">A. </w:t>
      </w:r>
      <w:r>
        <w:rPr>
          <w:rFonts w:ascii="Arial" w:hAnsi="Arial" w:eastAsia="Arial"/>
          <w:b/>
          <w:color w:val="1F2937"/>
          <w:sz w:val="20"/>
        </w:rPr>
        <w:t xml:space="preserve">Incorrect. </w:t>
      </w:r>
      <w:r>
        <w:rPr>
          <w:rFonts w:ascii="Arial" w:hAnsi="Arial" w:eastAsia="Arial"/>
          <w:color w:val="1F2937"/>
          <w:sz w:val="20"/>
        </w:rPr>
        <w:t>This imposes the counselor’s judgment and risks invalidating the client’s context.</w:t>
      </w:r>
    </w:p>
    <w:p>
      <w:pPr>
        <w:spacing w:after="60" w:line="250" w:lineRule="auto"/>
        <w:ind w:left="173" w:hanging="173"/>
      </w:pPr>
      <w:r>
        <w:rPr>
          <w:rFonts w:ascii="Arial" w:hAnsi="Arial" w:eastAsia="Arial"/>
          <w:b/>
          <w:color w:val="17365D"/>
          <w:sz w:val="20"/>
        </w:rPr>
        <w:t xml:space="preserve">B. </w:t>
      </w:r>
      <w:r>
        <w:rPr>
          <w:rFonts w:ascii="Arial" w:hAnsi="Arial" w:eastAsia="Arial"/>
          <w:b/>
          <w:color w:val="1F2937"/>
          <w:sz w:val="20"/>
        </w:rPr>
        <w:t xml:space="preserve">Incorrect. </w:t>
      </w:r>
      <w:r>
        <w:rPr>
          <w:rFonts w:ascii="Arial" w:hAnsi="Arial" w:eastAsia="Arial"/>
          <w:color w:val="1F2937"/>
          <w:sz w:val="20"/>
        </w:rPr>
        <w:t>Cultural responsiveness requires respectful exploration, not avoidance of client-identified meaning.</w:t>
      </w:r>
    </w:p>
    <w:p>
      <w:pPr>
        <w:spacing w:after="60" w:line="250" w:lineRule="auto"/>
        <w:ind w:left="173" w:hanging="173"/>
      </w:pPr>
      <w:r>
        <w:rPr>
          <w:rFonts w:ascii="Arial" w:hAnsi="Arial" w:eastAsia="Arial"/>
          <w:b/>
          <w:color w:val="1F7A8C"/>
          <w:sz w:val="20"/>
        </w:rPr>
        <w:t xml:space="preserve">C. </w:t>
      </w:r>
      <w:r>
        <w:rPr>
          <w:rFonts w:ascii="Arial" w:hAnsi="Arial" w:eastAsia="Arial"/>
          <w:b/>
          <w:color w:val="1F7A8C"/>
          <w:sz w:val="20"/>
        </w:rPr>
        <w:t xml:space="preserve">Correct. </w:t>
      </w:r>
      <w:r>
        <w:rPr>
          <w:rFonts w:ascii="Arial" w:hAnsi="Arial" w:eastAsia="Arial"/>
          <w:color w:val="1F2937"/>
          <w:sz w:val="20"/>
        </w:rPr>
        <w:t>This uses the client’s own language, avoids assumptions, protects autonomy, and integrates culture into collaborative care.</w:t>
      </w:r>
    </w:p>
    <w:p>
      <w:pPr>
        <w:spacing w:after="60" w:line="250" w:lineRule="auto"/>
        <w:ind w:left="173" w:hanging="173"/>
      </w:pPr>
      <w:r>
        <w:rPr>
          <w:rFonts w:ascii="Arial" w:hAnsi="Arial" w:eastAsia="Arial"/>
          <w:b/>
          <w:color w:val="17365D"/>
          <w:sz w:val="20"/>
        </w:rPr>
        <w:t xml:space="preserve">D. </w:t>
      </w:r>
      <w:r>
        <w:rPr>
          <w:rFonts w:ascii="Arial" w:hAnsi="Arial" w:eastAsia="Arial"/>
          <w:b/>
          <w:color w:val="1F2937"/>
          <w:sz w:val="20"/>
        </w:rPr>
        <w:t xml:space="preserve">Incorrect. </w:t>
      </w:r>
      <w:r>
        <w:rPr>
          <w:rFonts w:ascii="Arial" w:hAnsi="Arial" w:eastAsia="Arial"/>
          <w:color w:val="1F2937"/>
          <w:sz w:val="20"/>
        </w:rPr>
        <w:t>Valuing family does not mean Maya wants family participation. Immediate inclusion ignores consent and preference.</w:t>
      </w:r>
    </w:p>
    <w:tbl>
      <w:tblPr>
        <w:tblW w:type="auto" w:w="0"/>
        <w:jc w:val="center"/>
        <w:tblLook w:firstColumn="1" w:firstRow="1" w:lastColumn="0" w:lastRow="0" w:noHBand="0" w:noVBand="1" w:val="04A0"/>
      </w:tblPr>
      <w:tblGrid>
        <w:gridCol w:w="10310"/>
      </w:tblGrid>
      <w:tr>
        <w:trPr>
          <w:cantSplit/>
          <w:tblHeader w:val="true"/>
        </w:trPr>
        <w:tc>
          <w:tcPr>
            <w:tcW w:type="dxa" w:w="10310"/>
            <w:shd w:fill="E7F3F3"/>
            <w:tcBorders>
              <w:top w:val="single" w:sz="10" w:color="159C9C"/>
              <w:left w:val="single" w:sz="10" w:color="159C9C"/>
              <w:bottom w:val="single" w:sz="10" w:color="159C9C"/>
              <w:right w:val="single" w:sz="10" w:color="159C9C"/>
            </w:tcBorders>
            <w:tcMar>
              <w:top w:w="110" w:type="dxa"/>
              <w:start w:w="140" w:type="dxa"/>
              <w:bottom w:w="110" w:type="dxa"/>
              <w:end w:w="140" w:type="dxa"/>
            </w:tcMar>
          </w:tcPr>
          <w:p>
            <w:pPr>
              <w:spacing w:after="60"/>
            </w:pPr>
            <w:r>
              <w:rPr>
                <w:rFonts w:ascii="Arial" w:hAnsi="Arial" w:eastAsia="Arial"/>
                <w:b/>
                <w:color w:val="1F7A8C"/>
                <w:sz w:val="21"/>
              </w:rPr>
              <w:t>CTA EXAM STRATEGY</w:t>
            </w:r>
          </w:p>
          <w:p>
            <w:pPr>
              <w:spacing w:after="20" w:line="250" w:lineRule="auto"/>
            </w:pPr>
            <w:r>
              <w:rPr>
                <w:rFonts w:ascii="Arial" w:hAnsi="Arial" w:eastAsia="Arial"/>
                <w:color w:val="1F2937"/>
                <w:sz w:val="19"/>
              </w:rPr>
              <w:t>Ask rather than assume. Use the client’s stated cultural meaning to guide collaboration without turning identity into a stereotype.</w:t>
            </w:r>
          </w:p>
        </w:tc>
      </w:tr>
    </w:tbl>
    <w:p>
      <w:pPr>
        <w:spacing w:after="0"/>
      </w:pPr>
    </w:p>
    <w:tbl>
      <w:tblPr>
        <w:tblW w:type="auto" w:w="0"/>
        <w:jc w:val="center"/>
        <w:tblLook w:firstColumn="1" w:firstRow="1" w:lastColumn="0" w:lastRow="0" w:noHBand="0" w:noVBand="1" w:val="04A0"/>
      </w:tblPr>
      <w:tblGrid>
        <w:gridCol w:w="10310"/>
      </w:tblGrid>
      <w:tr>
        <w:trPr>
          <w:cantSplit/>
          <w:tblHeader w:val="true"/>
        </w:trPr>
        <w:tc>
          <w:tcPr>
            <w:tcW w:type="dxa" w:w="10310"/>
            <w:shd w:fill="EAF0F7"/>
            <w:tcBorders>
              <w:top w:val="single" w:sz="10" w:color="1F4E78"/>
              <w:left w:val="single" w:sz="10" w:color="1F4E78"/>
              <w:bottom w:val="single" w:sz="10" w:color="1F4E78"/>
              <w:right w:val="single" w:sz="10" w:color="1F4E78"/>
            </w:tcBorders>
            <w:tcMar>
              <w:top w:w="110" w:type="dxa"/>
              <w:start w:w="140" w:type="dxa"/>
              <w:bottom w:w="110" w:type="dxa"/>
              <w:end w:w="140" w:type="dxa"/>
            </w:tcMar>
          </w:tcPr>
          <w:p>
            <w:pPr>
              <w:spacing w:after="60"/>
            </w:pPr>
            <w:r>
              <w:rPr>
                <w:rFonts w:ascii="Arial" w:hAnsi="Arial" w:eastAsia="Arial"/>
                <w:b/>
                <w:color w:val="17365D"/>
                <w:sz w:val="21"/>
              </w:rPr>
              <w:t>LIKELY ERROR CODE</w:t>
            </w:r>
          </w:p>
          <w:p>
            <w:pPr>
              <w:spacing w:after="20" w:line="250" w:lineRule="auto"/>
            </w:pPr>
            <w:r>
              <w:rPr>
                <w:rFonts w:ascii="Arial" w:hAnsi="Arial" w:eastAsia="Arial"/>
                <w:color w:val="1F2937"/>
                <w:sz w:val="19"/>
              </w:rPr>
              <w:t>C - Culture / context / client voice. Explore the client’s meaning and preferences before deciding how culture should shape care.</w:t>
            </w:r>
          </w:p>
        </w:tc>
      </w:tr>
    </w:tbl>
    <w:p>
      <w:pPr>
        <w:spacing w:after="0"/>
      </w:pPr>
    </w:p>
    <w:p>
      <w:r>
        <w:br w:type="page"/>
      </w:r>
    </w:p>
    <w:p>
      <w:pPr>
        <w:pStyle w:val="Heading2"/>
        <w:spacing w:before="0" w:after="60"/>
      </w:pPr>
      <w:r>
        <w:rPr>
          <w:rFonts w:ascii="Arial" w:hAnsi="Arial" w:eastAsia="Arial"/>
          <w:b/>
          <w:color w:val="159C9C"/>
          <w:sz w:val="26"/>
        </w:rPr>
        <w:t>Question 9 (LPCC-WB01-PB-Q009)</w:t>
      </w:r>
    </w:p>
    <w:p>
      <w:pPr>
        <w:spacing w:before="100" w:after="40"/>
        <w:keepNext/>
      </w:pPr>
      <w:r>
        <w:rPr>
          <w:rFonts w:ascii="Arial" w:hAnsi="Arial" w:eastAsia="Arial"/>
          <w:b/>
          <w:color w:val="1F7A8C"/>
          <w:sz w:val="17"/>
        </w:rPr>
        <w:t>LPCC-WB01-PB-Q009 | Integrated Clinical Reasoning | Difficult | Primary concept: Proportionate response after risk assessment</w:t>
      </w:r>
    </w:p>
    <w:p>
      <w:pPr>
        <w:spacing w:after="60" w:line="250" w:lineRule="auto"/>
      </w:pPr>
      <w:r>
        <w:rPr>
          <w:rFonts w:ascii="Arial" w:hAnsi="Arial" w:eastAsia="Arial"/>
          <w:b/>
          <w:color w:val="1F2937"/>
          <w:sz w:val="20"/>
        </w:rPr>
        <w:t>The counselor completes a direct risk assessment. Maya denies current intent, plan, access to lethal means, and prior attempts; she is not intoxicated, identifies her younger sister and career goals as protective, and agrees to use crisis supports if risk increases. What should the counselor do NEXT?</w:t>
      </w:r>
    </w:p>
    <w:p>
      <w:pPr>
        <w:spacing w:after="40"/>
        <w:ind w:left="230" w:hanging="230"/>
      </w:pPr>
      <w:r>
        <w:rPr>
          <w:rFonts w:ascii="Arial" w:hAnsi="Arial" w:eastAsia="Arial"/>
          <w:sz w:val="20"/>
        </w:rPr>
        <w:t>A. Call law enforcement solely because Maya reported a passive death wish.</w:t>
      </w:r>
    </w:p>
    <w:p>
      <w:pPr>
        <w:spacing w:after="40"/>
        <w:ind w:left="230" w:hanging="230"/>
      </w:pPr>
      <w:r>
        <w:rPr>
          <w:rFonts w:ascii="Arial" w:hAnsi="Arial" w:eastAsia="Arial"/>
          <w:sz w:val="20"/>
        </w:rPr>
        <w:t>B. Collaboratively complete a written safety plan, clarify crisis and emergency options, document the assessment and rationale, and continue focused assessment of symptoms and contributing factors.</w:t>
      </w:r>
    </w:p>
    <w:p>
      <w:pPr>
        <w:spacing w:after="40"/>
        <w:ind w:left="230" w:hanging="230"/>
      </w:pPr>
      <w:r>
        <w:rPr>
          <w:rFonts w:ascii="Arial" w:hAnsi="Arial" w:eastAsia="Arial"/>
          <w:sz w:val="20"/>
        </w:rPr>
        <w:t>C. Reassure Maya that she is not at risk and move directly to coping-skills training without a safety plan.</w:t>
      </w:r>
    </w:p>
    <w:p>
      <w:pPr>
        <w:spacing w:after="40"/>
        <w:ind w:left="230" w:hanging="230"/>
      </w:pPr>
      <w:r>
        <w:rPr>
          <w:rFonts w:ascii="Arial" w:hAnsi="Arial" w:eastAsia="Arial"/>
          <w:sz w:val="20"/>
        </w:rPr>
        <w:t>D. End counseling until Maya obtains a medical clearance letter.</w:t>
      </w:r>
    </w:p>
    <w:tbl>
      <w:tblPr>
        <w:tblW w:type="auto" w:w="0"/>
        <w:jc w:val="center"/>
        <w:tblLook w:firstColumn="1" w:firstRow="1" w:lastColumn="0" w:lastRow="0" w:noHBand="0" w:noVBand="1" w:val="04A0"/>
      </w:tblPr>
      <w:tblGrid>
        <w:gridCol w:w="10310"/>
      </w:tblGrid>
      <w:tr>
        <w:trPr>
          <w:cantSplit/>
          <w:tblHeader w:val="true"/>
        </w:trPr>
        <w:tc>
          <w:tcPr>
            <w:tcW w:type="dxa" w:w="10310"/>
            <w:shd w:fill="E7F2EA"/>
            <w:tcBorders>
              <w:top w:val="single" w:sz="10" w:color="1F7A8C"/>
              <w:left w:val="single" w:sz="10" w:color="1F7A8C"/>
              <w:bottom w:val="single" w:sz="10" w:color="1F7A8C"/>
              <w:right w:val="single" w:sz="10" w:color="1F7A8C"/>
            </w:tcBorders>
            <w:tcMar>
              <w:top w:w="110" w:type="dxa"/>
              <w:start w:w="140" w:type="dxa"/>
              <w:bottom w:w="110" w:type="dxa"/>
              <w:end w:w="140" w:type="dxa"/>
            </w:tcMar>
          </w:tcPr>
          <w:p>
            <w:pPr>
              <w:spacing w:after="60"/>
            </w:pPr>
            <w:r>
              <w:rPr>
                <w:rFonts w:ascii="Arial" w:hAnsi="Arial" w:eastAsia="Arial"/>
                <w:b/>
                <w:color w:val="17365D"/>
                <w:sz w:val="21"/>
              </w:rPr>
              <w:t>CORRECT ANSWER</w:t>
            </w:r>
          </w:p>
          <w:p>
            <w:pPr>
              <w:spacing w:after="20" w:line="250" w:lineRule="auto"/>
            </w:pPr>
            <w:r>
              <w:rPr>
                <w:rFonts w:ascii="Arial" w:hAnsi="Arial" w:eastAsia="Arial"/>
                <w:color w:val="1F2937"/>
                <w:sz w:val="20"/>
              </w:rPr>
              <w:t>B. Collaboratively complete a written safety plan, clarify crisis and emergency options, document the assessment and rationale, and continue focused assessment of symptoms and contributing factors.</w:t>
            </w:r>
          </w:p>
        </w:tc>
      </w:tr>
    </w:tbl>
    <w:p>
      <w:pPr>
        <w:spacing w:after="0"/>
      </w:pPr>
    </w:p>
    <w:p>
      <w:pPr>
        <w:pStyle w:val="Heading3"/>
        <w:spacing w:before="100" w:after="80"/>
        <w:keepNext/>
      </w:pPr>
      <w:r>
        <w:rPr>
          <w:rFonts w:ascii="Arial" w:hAnsi="Arial" w:eastAsia="Arial"/>
          <w:b/>
          <w:color w:val="17365D"/>
          <w:sz w:val="23"/>
        </w:rPr>
        <w:t>Why Each Option Is Correct or Incorrect</w:t>
      </w:r>
    </w:p>
    <w:p>
      <w:pPr>
        <w:spacing w:after="60" w:line="250" w:lineRule="auto"/>
        <w:ind w:left="173" w:hanging="173"/>
      </w:pPr>
      <w:r>
        <w:rPr>
          <w:rFonts w:ascii="Arial" w:hAnsi="Arial" w:eastAsia="Arial"/>
          <w:b/>
          <w:color w:val="17365D"/>
          <w:sz w:val="20"/>
        </w:rPr>
        <w:t xml:space="preserve">A. </w:t>
      </w:r>
      <w:r>
        <w:rPr>
          <w:rFonts w:ascii="Arial" w:hAnsi="Arial" w:eastAsia="Arial"/>
          <w:b/>
          <w:color w:val="1F2937"/>
          <w:sz w:val="20"/>
        </w:rPr>
        <w:t xml:space="preserve">Incorrect. </w:t>
      </w:r>
      <w:r>
        <w:rPr>
          <w:rFonts w:ascii="Arial" w:hAnsi="Arial" w:eastAsia="Arial"/>
          <w:color w:val="1F2937"/>
          <w:sz w:val="20"/>
        </w:rPr>
        <w:t>The available facts do not support an automatic emergency response. This is disproportionate to the assessed risk picture.</w:t>
      </w:r>
    </w:p>
    <w:p>
      <w:pPr>
        <w:spacing w:after="60" w:line="250" w:lineRule="auto"/>
        <w:ind w:left="173" w:hanging="173"/>
      </w:pPr>
      <w:r>
        <w:rPr>
          <w:rFonts w:ascii="Arial" w:hAnsi="Arial" w:eastAsia="Arial"/>
          <w:b/>
          <w:color w:val="1F7A8C"/>
          <w:sz w:val="20"/>
        </w:rPr>
        <w:t xml:space="preserve">B. </w:t>
      </w:r>
      <w:r>
        <w:rPr>
          <w:rFonts w:ascii="Arial" w:hAnsi="Arial" w:eastAsia="Arial"/>
          <w:b/>
          <w:color w:val="1F7A8C"/>
          <w:sz w:val="20"/>
        </w:rPr>
        <w:t xml:space="preserve">Correct. </w:t>
      </w:r>
      <w:r>
        <w:rPr>
          <w:rFonts w:ascii="Arial" w:hAnsi="Arial" w:eastAsia="Arial"/>
          <w:color w:val="1F2937"/>
          <w:sz w:val="20"/>
        </w:rPr>
        <w:t>This response is proportionate, collaborative, and sequenced. It addresses ongoing safety while allowing clinically indicated assessment to continue.</w:t>
      </w:r>
    </w:p>
    <w:p>
      <w:pPr>
        <w:spacing w:after="60" w:line="250" w:lineRule="auto"/>
        <w:ind w:left="173" w:hanging="173"/>
      </w:pPr>
      <w:r>
        <w:rPr>
          <w:rFonts w:ascii="Arial" w:hAnsi="Arial" w:eastAsia="Arial"/>
          <w:b/>
          <w:color w:val="17365D"/>
          <w:sz w:val="20"/>
        </w:rPr>
        <w:t xml:space="preserve">C. </w:t>
      </w:r>
      <w:r>
        <w:rPr>
          <w:rFonts w:ascii="Arial" w:hAnsi="Arial" w:eastAsia="Arial"/>
          <w:b/>
          <w:color w:val="1F2937"/>
          <w:sz w:val="20"/>
        </w:rPr>
        <w:t xml:space="preserve">Incorrect. </w:t>
      </w:r>
      <w:r>
        <w:rPr>
          <w:rFonts w:ascii="Arial" w:hAnsi="Arial" w:eastAsia="Arial"/>
          <w:color w:val="1F2937"/>
          <w:sz w:val="20"/>
        </w:rPr>
        <w:t>The absence of current intent does not justify dismissing the risk signal or omitting collaborative safety planning and documentation.</w:t>
      </w:r>
    </w:p>
    <w:p>
      <w:pPr>
        <w:spacing w:after="60" w:line="250" w:lineRule="auto"/>
        <w:ind w:left="173" w:hanging="173"/>
      </w:pPr>
      <w:r>
        <w:rPr>
          <w:rFonts w:ascii="Arial" w:hAnsi="Arial" w:eastAsia="Arial"/>
          <w:b/>
          <w:color w:val="17365D"/>
          <w:sz w:val="20"/>
        </w:rPr>
        <w:t xml:space="preserve">D. </w:t>
      </w:r>
      <w:r>
        <w:rPr>
          <w:rFonts w:ascii="Arial" w:hAnsi="Arial" w:eastAsia="Arial"/>
          <w:b/>
          <w:color w:val="1F2937"/>
          <w:sz w:val="20"/>
        </w:rPr>
        <w:t xml:space="preserve">Incorrect. </w:t>
      </w:r>
      <w:r>
        <w:rPr>
          <w:rFonts w:ascii="Arial" w:hAnsi="Arial" w:eastAsia="Arial"/>
          <w:color w:val="1F2937"/>
          <w:sz w:val="20"/>
        </w:rPr>
        <w:t>Medical coordination may be useful for palpitations and sleep, but an absolute treatment stop is unsupported and may disrupt continuity.</w:t>
      </w:r>
    </w:p>
    <w:tbl>
      <w:tblPr>
        <w:tblW w:type="auto" w:w="0"/>
        <w:jc w:val="center"/>
        <w:tblLook w:firstColumn="1" w:firstRow="1" w:lastColumn="0" w:lastRow="0" w:noHBand="0" w:noVBand="1" w:val="04A0"/>
      </w:tblPr>
      <w:tblGrid>
        <w:gridCol w:w="10310"/>
      </w:tblGrid>
      <w:tr>
        <w:trPr>
          <w:cantSplit/>
          <w:tblHeader w:val="true"/>
        </w:trPr>
        <w:tc>
          <w:tcPr>
            <w:tcW w:type="dxa" w:w="10310"/>
            <w:shd w:fill="E7F3F3"/>
            <w:tcBorders>
              <w:top w:val="single" w:sz="10" w:color="159C9C"/>
              <w:left w:val="single" w:sz="10" w:color="159C9C"/>
              <w:bottom w:val="single" w:sz="10" w:color="159C9C"/>
              <w:right w:val="single" w:sz="10" w:color="159C9C"/>
            </w:tcBorders>
            <w:tcMar>
              <w:top w:w="110" w:type="dxa"/>
              <w:start w:w="140" w:type="dxa"/>
              <w:bottom w:w="110" w:type="dxa"/>
              <w:end w:w="140" w:type="dxa"/>
            </w:tcMar>
          </w:tcPr>
          <w:p>
            <w:pPr>
              <w:spacing w:after="60"/>
            </w:pPr>
            <w:r>
              <w:rPr>
                <w:rFonts w:ascii="Arial" w:hAnsi="Arial" w:eastAsia="Arial"/>
                <w:b/>
                <w:color w:val="1F7A8C"/>
                <w:sz w:val="21"/>
              </w:rPr>
              <w:t>CTA EXAM STRATEGY</w:t>
            </w:r>
          </w:p>
          <w:p>
            <w:pPr>
              <w:spacing w:after="20" w:line="250" w:lineRule="auto"/>
            </w:pPr>
            <w:r>
              <w:rPr>
                <w:rFonts w:ascii="Arial" w:hAnsi="Arial" w:eastAsia="Arial"/>
                <w:color w:val="1F2937"/>
                <w:sz w:val="19"/>
              </w:rPr>
              <w:t>After assessment, choose the least restrictive response that still addresses safety. Low acute risk does not mean “no risk,” and it does not automatically require emergency intervention.</w:t>
            </w:r>
          </w:p>
        </w:tc>
      </w:tr>
    </w:tbl>
    <w:p>
      <w:pPr>
        <w:spacing w:after="0"/>
      </w:pPr>
    </w:p>
    <w:tbl>
      <w:tblPr>
        <w:tblW w:type="auto" w:w="0"/>
        <w:jc w:val="center"/>
        <w:tblLook w:firstColumn="1" w:firstRow="1" w:lastColumn="0" w:lastRow="0" w:noHBand="0" w:noVBand="1" w:val="04A0"/>
      </w:tblPr>
      <w:tblGrid>
        <w:gridCol w:w="10310"/>
      </w:tblGrid>
      <w:tr>
        <w:trPr>
          <w:cantSplit/>
          <w:tblHeader w:val="true"/>
        </w:trPr>
        <w:tc>
          <w:tcPr>
            <w:tcW w:type="dxa" w:w="10310"/>
            <w:shd w:fill="EAF0F7"/>
            <w:tcBorders>
              <w:top w:val="single" w:sz="10" w:color="1F4E78"/>
              <w:left w:val="single" w:sz="10" w:color="1F4E78"/>
              <w:bottom w:val="single" w:sz="10" w:color="1F4E78"/>
              <w:right w:val="single" w:sz="10" w:color="1F4E78"/>
            </w:tcBorders>
            <w:tcMar>
              <w:top w:w="110" w:type="dxa"/>
              <w:start w:w="140" w:type="dxa"/>
              <w:bottom w:w="110" w:type="dxa"/>
              <w:end w:w="140" w:type="dxa"/>
            </w:tcMar>
          </w:tcPr>
          <w:p>
            <w:pPr>
              <w:spacing w:after="60"/>
            </w:pPr>
            <w:r>
              <w:rPr>
                <w:rFonts w:ascii="Arial" w:hAnsi="Arial" w:eastAsia="Arial"/>
                <w:b/>
                <w:color w:val="17365D"/>
                <w:sz w:val="21"/>
              </w:rPr>
              <w:t>LIKELY ERROR CODE</w:t>
            </w:r>
          </w:p>
          <w:p>
            <w:pPr>
              <w:spacing w:after="20" w:line="250" w:lineRule="auto"/>
            </w:pPr>
            <w:r>
              <w:rPr>
                <w:rFonts w:ascii="Arial" w:hAnsi="Arial" w:eastAsia="Arial"/>
                <w:color w:val="1F2937"/>
                <w:sz w:val="19"/>
              </w:rPr>
              <w:t>R - Risk / safety / duty. Match the safety response and level of care to the assessed risk rather than one isolated phrase.</w:t>
            </w:r>
          </w:p>
        </w:tc>
      </w:tr>
    </w:tbl>
    <w:p>
      <w:pPr>
        <w:spacing w:after="0"/>
      </w:pPr>
    </w:p>
    <w:p>
      <w:r>
        <w:br w:type="page"/>
      </w:r>
    </w:p>
    <w:p>
      <w:pPr>
        <w:pStyle w:val="Heading2"/>
        <w:spacing w:before="0" w:after="60"/>
      </w:pPr>
      <w:r>
        <w:rPr>
          <w:rFonts w:ascii="Arial" w:hAnsi="Arial" w:eastAsia="Arial"/>
          <w:b/>
          <w:color w:val="159C9C"/>
          <w:sz w:val="26"/>
        </w:rPr>
        <w:t>Question 10 (LPCC-WB01-PB-Q010)</w:t>
      </w:r>
    </w:p>
    <w:p>
      <w:pPr>
        <w:spacing w:before="100" w:after="40"/>
        <w:keepNext/>
      </w:pPr>
      <w:r>
        <w:rPr>
          <w:rFonts w:ascii="Arial" w:hAnsi="Arial" w:eastAsia="Arial"/>
          <w:b/>
          <w:color w:val="1F7A8C"/>
          <w:sz w:val="17"/>
        </w:rPr>
        <w:t>LPCC-WB01-PB-Q010 | Application | Moderate | Primary concept: Measurable collaborative goals</w:t>
      </w:r>
    </w:p>
    <w:p>
      <w:pPr>
        <w:spacing w:after="60" w:line="250" w:lineRule="auto"/>
      </w:pPr>
      <w:r>
        <w:rPr>
          <w:rFonts w:ascii="Arial" w:hAnsi="Arial" w:eastAsia="Arial"/>
          <w:b/>
          <w:color w:val="1F2937"/>
          <w:sz w:val="20"/>
        </w:rPr>
        <w:t>Which treatment goal BEST reflects Maya’s stated priorities and sound treatment-planning practice?</w:t>
      </w:r>
    </w:p>
    <w:p>
      <w:pPr>
        <w:spacing w:after="40"/>
        <w:ind w:left="230" w:hanging="230"/>
      </w:pPr>
      <w:r>
        <w:rPr>
          <w:rFonts w:ascii="Arial" w:hAnsi="Arial" w:eastAsia="Arial"/>
          <w:sz w:val="20"/>
        </w:rPr>
        <w:t>A. Maya will become emotionally healthy and stop feeling anxious.</w:t>
      </w:r>
    </w:p>
    <w:p>
      <w:pPr>
        <w:spacing w:after="40"/>
        <w:ind w:left="230" w:hanging="230"/>
      </w:pPr>
      <w:r>
        <w:rPr>
          <w:rFonts w:ascii="Arial" w:hAnsi="Arial" w:eastAsia="Arial"/>
          <w:sz w:val="20"/>
        </w:rPr>
        <w:t>B. The counselor will eliminate Maya’s symptoms within four sessions.</w:t>
      </w:r>
    </w:p>
    <w:p>
      <w:pPr>
        <w:spacing w:after="40"/>
        <w:ind w:left="230" w:hanging="230"/>
      </w:pPr>
      <w:r>
        <w:rPr>
          <w:rFonts w:ascii="Arial" w:hAnsi="Arial" w:eastAsia="Arial"/>
          <w:sz w:val="20"/>
        </w:rPr>
        <w:t>C. Maya will comply with every recommendation made by the counselor.</w:t>
      </w:r>
    </w:p>
    <w:p>
      <w:pPr>
        <w:spacing w:after="40"/>
        <w:ind w:left="230" w:hanging="230"/>
      </w:pPr>
      <w:r>
        <w:rPr>
          <w:rFonts w:ascii="Arial" w:hAnsi="Arial" w:eastAsia="Arial"/>
          <w:sz w:val="20"/>
        </w:rPr>
        <w:t>D. Over the next four weeks, Maya will work toward averaging at least six hours of sleep and completing one planned social or restorative activity each week, with progress reviewed collaboratively.</w:t>
      </w:r>
    </w:p>
    <w:tbl>
      <w:tblPr>
        <w:tblW w:type="auto" w:w="0"/>
        <w:jc w:val="center"/>
        <w:tblLook w:firstColumn="1" w:firstRow="1" w:lastColumn="0" w:lastRow="0" w:noHBand="0" w:noVBand="1" w:val="04A0"/>
      </w:tblPr>
      <w:tblGrid>
        <w:gridCol w:w="10310"/>
      </w:tblGrid>
      <w:tr>
        <w:trPr>
          <w:cantSplit/>
          <w:tblHeader w:val="true"/>
        </w:trPr>
        <w:tc>
          <w:tcPr>
            <w:tcW w:type="dxa" w:w="10310"/>
            <w:shd w:fill="E7F2EA"/>
            <w:tcBorders>
              <w:top w:val="single" w:sz="10" w:color="1F7A8C"/>
              <w:left w:val="single" w:sz="10" w:color="1F7A8C"/>
              <w:bottom w:val="single" w:sz="10" w:color="1F7A8C"/>
              <w:right w:val="single" w:sz="10" w:color="1F7A8C"/>
            </w:tcBorders>
            <w:tcMar>
              <w:top w:w="110" w:type="dxa"/>
              <w:start w:w="140" w:type="dxa"/>
              <w:bottom w:w="110" w:type="dxa"/>
              <w:end w:w="140" w:type="dxa"/>
            </w:tcMar>
          </w:tcPr>
          <w:p>
            <w:pPr>
              <w:spacing w:after="60"/>
            </w:pPr>
            <w:r>
              <w:rPr>
                <w:rFonts w:ascii="Arial" w:hAnsi="Arial" w:eastAsia="Arial"/>
                <w:b/>
                <w:color w:val="17365D"/>
                <w:sz w:val="21"/>
              </w:rPr>
              <w:t>CORRECT ANSWER</w:t>
            </w:r>
          </w:p>
          <w:p>
            <w:pPr>
              <w:spacing w:after="20" w:line="250" w:lineRule="auto"/>
            </w:pPr>
            <w:r>
              <w:rPr>
                <w:rFonts w:ascii="Arial" w:hAnsi="Arial" w:eastAsia="Arial"/>
                <w:color w:val="1F2937"/>
                <w:sz w:val="20"/>
              </w:rPr>
              <w:t>D. Over the next four weeks, Maya will work toward averaging at least six hours of sleep and completing one planned social or restorative activity each week, with progress reviewed collaboratively.</w:t>
            </w:r>
          </w:p>
        </w:tc>
      </w:tr>
    </w:tbl>
    <w:p>
      <w:pPr>
        <w:spacing w:after="0"/>
      </w:pPr>
    </w:p>
    <w:p>
      <w:pPr>
        <w:pStyle w:val="Heading3"/>
        <w:spacing w:before="100" w:after="80"/>
        <w:keepNext/>
      </w:pPr>
      <w:r>
        <w:rPr>
          <w:rFonts w:ascii="Arial" w:hAnsi="Arial" w:eastAsia="Arial"/>
          <w:b/>
          <w:color w:val="17365D"/>
          <w:sz w:val="23"/>
        </w:rPr>
        <w:t>Why Each Option Is Correct or Incorrect</w:t>
      </w:r>
    </w:p>
    <w:p>
      <w:pPr>
        <w:spacing w:after="60" w:line="250" w:lineRule="auto"/>
        <w:ind w:left="173" w:hanging="173"/>
      </w:pPr>
      <w:r>
        <w:rPr>
          <w:rFonts w:ascii="Arial" w:hAnsi="Arial" w:eastAsia="Arial"/>
          <w:b/>
          <w:color w:val="17365D"/>
          <w:sz w:val="20"/>
        </w:rPr>
        <w:t xml:space="preserve">A. </w:t>
      </w:r>
      <w:r>
        <w:rPr>
          <w:rFonts w:ascii="Arial" w:hAnsi="Arial" w:eastAsia="Arial"/>
          <w:b/>
          <w:color w:val="1F2937"/>
          <w:sz w:val="20"/>
        </w:rPr>
        <w:t xml:space="preserve">Incorrect. </w:t>
      </w:r>
      <w:r>
        <w:rPr>
          <w:rFonts w:ascii="Arial" w:hAnsi="Arial" w:eastAsia="Arial"/>
          <w:color w:val="1F2937"/>
          <w:sz w:val="20"/>
        </w:rPr>
        <w:t>This is vague, not measurable, and defines health without the client’s operational targets.</w:t>
      </w:r>
    </w:p>
    <w:p>
      <w:pPr>
        <w:spacing w:after="60" w:line="250" w:lineRule="auto"/>
        <w:ind w:left="173" w:hanging="173"/>
      </w:pPr>
      <w:r>
        <w:rPr>
          <w:rFonts w:ascii="Arial" w:hAnsi="Arial" w:eastAsia="Arial"/>
          <w:b/>
          <w:color w:val="17365D"/>
          <w:sz w:val="20"/>
        </w:rPr>
        <w:t xml:space="preserve">B. </w:t>
      </w:r>
      <w:r>
        <w:rPr>
          <w:rFonts w:ascii="Arial" w:hAnsi="Arial" w:eastAsia="Arial"/>
          <w:b/>
          <w:color w:val="1F2937"/>
          <w:sz w:val="20"/>
        </w:rPr>
        <w:t xml:space="preserve">Incorrect. </w:t>
      </w:r>
      <w:r>
        <w:rPr>
          <w:rFonts w:ascii="Arial" w:hAnsi="Arial" w:eastAsia="Arial"/>
          <w:color w:val="1F2937"/>
          <w:sz w:val="20"/>
        </w:rPr>
        <w:t>The counselor cannot guarantee symptom elimination or control the client’s outcome.</w:t>
      </w:r>
    </w:p>
    <w:p>
      <w:pPr>
        <w:spacing w:after="60" w:line="250" w:lineRule="auto"/>
        <w:ind w:left="173" w:hanging="173"/>
      </w:pPr>
      <w:r>
        <w:rPr>
          <w:rFonts w:ascii="Arial" w:hAnsi="Arial" w:eastAsia="Arial"/>
          <w:b/>
          <w:color w:val="17365D"/>
          <w:sz w:val="20"/>
        </w:rPr>
        <w:t xml:space="preserve">C. </w:t>
      </w:r>
      <w:r>
        <w:rPr>
          <w:rFonts w:ascii="Arial" w:hAnsi="Arial" w:eastAsia="Arial"/>
          <w:b/>
          <w:color w:val="1F2937"/>
          <w:sz w:val="20"/>
        </w:rPr>
        <w:t xml:space="preserve">Incorrect. </w:t>
      </w:r>
      <w:r>
        <w:rPr>
          <w:rFonts w:ascii="Arial" w:hAnsi="Arial" w:eastAsia="Arial"/>
          <w:color w:val="1F2937"/>
          <w:sz w:val="20"/>
        </w:rPr>
        <w:t>Compliance language weakens collaboration and autonomy.</w:t>
      </w:r>
    </w:p>
    <w:p>
      <w:pPr>
        <w:spacing w:after="60" w:line="250" w:lineRule="auto"/>
        <w:ind w:left="173" w:hanging="173"/>
      </w:pPr>
      <w:r>
        <w:rPr>
          <w:rFonts w:ascii="Arial" w:hAnsi="Arial" w:eastAsia="Arial"/>
          <w:b/>
          <w:color w:val="1F7A8C"/>
          <w:sz w:val="20"/>
        </w:rPr>
        <w:t xml:space="preserve">D. </w:t>
      </w:r>
      <w:r>
        <w:rPr>
          <w:rFonts w:ascii="Arial" w:hAnsi="Arial" w:eastAsia="Arial"/>
          <w:b/>
          <w:color w:val="1F7A8C"/>
          <w:sz w:val="20"/>
        </w:rPr>
        <w:t xml:space="preserve">Correct. </w:t>
      </w:r>
      <w:r>
        <w:rPr>
          <w:rFonts w:ascii="Arial" w:hAnsi="Arial" w:eastAsia="Arial"/>
          <w:color w:val="1F2937"/>
          <w:sz w:val="20"/>
        </w:rPr>
        <w:t>This is specific, measurable, time linked, connected to Maya’s goals, and designed for collaborative review.</w:t>
      </w:r>
    </w:p>
    <w:tbl>
      <w:tblPr>
        <w:tblW w:type="auto" w:w="0"/>
        <w:jc w:val="center"/>
        <w:tblLook w:firstColumn="1" w:firstRow="1" w:lastColumn="0" w:lastRow="0" w:noHBand="0" w:noVBand="1" w:val="04A0"/>
      </w:tblPr>
      <w:tblGrid>
        <w:gridCol w:w="10310"/>
      </w:tblGrid>
      <w:tr>
        <w:trPr>
          <w:cantSplit/>
          <w:tblHeader w:val="true"/>
        </w:trPr>
        <w:tc>
          <w:tcPr>
            <w:tcW w:type="dxa" w:w="10310"/>
            <w:shd w:fill="E7F3F3"/>
            <w:tcBorders>
              <w:top w:val="single" w:sz="10" w:color="159C9C"/>
              <w:left w:val="single" w:sz="10" w:color="159C9C"/>
              <w:bottom w:val="single" w:sz="10" w:color="159C9C"/>
              <w:right w:val="single" w:sz="10" w:color="159C9C"/>
            </w:tcBorders>
            <w:tcMar>
              <w:top w:w="110" w:type="dxa"/>
              <w:start w:w="140" w:type="dxa"/>
              <w:bottom w:w="110" w:type="dxa"/>
              <w:end w:w="140" w:type="dxa"/>
            </w:tcMar>
          </w:tcPr>
          <w:p>
            <w:pPr>
              <w:spacing w:after="60"/>
            </w:pPr>
            <w:r>
              <w:rPr>
                <w:rFonts w:ascii="Arial" w:hAnsi="Arial" w:eastAsia="Arial"/>
                <w:b/>
                <w:color w:val="1F7A8C"/>
                <w:sz w:val="21"/>
              </w:rPr>
              <w:t>CTA EXAM STRATEGY</w:t>
            </w:r>
          </w:p>
          <w:p>
            <w:pPr>
              <w:spacing w:after="20" w:line="250" w:lineRule="auto"/>
            </w:pPr>
            <w:r>
              <w:rPr>
                <w:rFonts w:ascii="Arial" w:hAnsi="Arial" w:eastAsia="Arial"/>
                <w:color w:val="1F2937"/>
                <w:sz w:val="19"/>
              </w:rPr>
              <w:t>Strong goals are client centered, observable, and reviewable. Avoid vague wellness statements, guarantees, and compliance-based wording.</w:t>
            </w:r>
          </w:p>
        </w:tc>
      </w:tr>
    </w:tbl>
    <w:p>
      <w:pPr>
        <w:spacing w:after="0"/>
      </w:pPr>
    </w:p>
    <w:tbl>
      <w:tblPr>
        <w:tblW w:type="auto" w:w="0"/>
        <w:jc w:val="center"/>
        <w:tblLook w:firstColumn="1" w:firstRow="1" w:lastColumn="0" w:lastRow="0" w:noHBand="0" w:noVBand="1" w:val="04A0"/>
      </w:tblPr>
      <w:tblGrid>
        <w:gridCol w:w="10310"/>
      </w:tblGrid>
      <w:tr>
        <w:trPr>
          <w:cantSplit/>
          <w:tblHeader w:val="true"/>
        </w:trPr>
        <w:tc>
          <w:tcPr>
            <w:tcW w:type="dxa" w:w="10310"/>
            <w:shd w:fill="EAF0F7"/>
            <w:tcBorders>
              <w:top w:val="single" w:sz="10" w:color="1F4E78"/>
              <w:left w:val="single" w:sz="10" w:color="1F4E78"/>
              <w:bottom w:val="single" w:sz="10" w:color="1F4E78"/>
              <w:right w:val="single" w:sz="10" w:color="1F4E78"/>
            </w:tcBorders>
            <w:tcMar>
              <w:top w:w="110" w:type="dxa"/>
              <w:start w:w="140" w:type="dxa"/>
              <w:bottom w:w="110" w:type="dxa"/>
              <w:end w:w="140" w:type="dxa"/>
            </w:tcMar>
          </w:tcPr>
          <w:p>
            <w:pPr>
              <w:spacing w:after="60"/>
            </w:pPr>
            <w:r>
              <w:rPr>
                <w:rFonts w:ascii="Arial" w:hAnsi="Arial" w:eastAsia="Arial"/>
                <w:b/>
                <w:color w:val="17365D"/>
                <w:sz w:val="21"/>
              </w:rPr>
              <w:t>LIKELY ERROR CODE</w:t>
            </w:r>
          </w:p>
          <w:p>
            <w:pPr>
              <w:spacing w:after="20" w:line="250" w:lineRule="auto"/>
            </w:pPr>
            <w:r>
              <w:rPr>
                <w:rFonts w:ascii="Arial" w:hAnsi="Arial" w:eastAsia="Arial"/>
                <w:color w:val="1F2937"/>
                <w:sz w:val="19"/>
              </w:rPr>
              <w:t>S - Sequence / timing. Move from formulation to measurable goals before selecting or evaluating interventions.</w:t>
            </w:r>
          </w:p>
        </w:tc>
      </w:tr>
    </w:tbl>
    <w:p>
      <w:pPr>
        <w:spacing w:after="0"/>
      </w:pPr>
    </w:p>
    <w:p>
      <w:r>
        <w:br w:type="page"/>
      </w:r>
    </w:p>
    <w:p>
      <w:pPr>
        <w:pStyle w:val="Heading2"/>
        <w:spacing w:before="0" w:after="60"/>
      </w:pPr>
      <w:r>
        <w:rPr>
          <w:rFonts w:ascii="Arial" w:hAnsi="Arial" w:eastAsia="Arial"/>
          <w:b/>
          <w:color w:val="159C9C"/>
          <w:sz w:val="26"/>
        </w:rPr>
        <w:t>Question 11 (LPCC-WB01-PB-Q011)</w:t>
      </w:r>
    </w:p>
    <w:p>
      <w:pPr>
        <w:spacing w:before="100" w:after="40"/>
        <w:keepNext/>
      </w:pPr>
      <w:r>
        <w:rPr>
          <w:rFonts w:ascii="Arial" w:hAnsi="Arial" w:eastAsia="Arial"/>
          <w:b/>
          <w:color w:val="1F7A8C"/>
          <w:sz w:val="17"/>
        </w:rPr>
        <w:t>LPCC-WB01-PB-Q011 | Integrated Clinical Reasoning | Difficult | Primary concept: Theory-consistent initial intervention</w:t>
      </w:r>
    </w:p>
    <w:p>
      <w:pPr>
        <w:spacing w:after="60" w:line="250" w:lineRule="auto"/>
      </w:pPr>
      <w:r>
        <w:rPr>
          <w:rFonts w:ascii="Arial" w:hAnsi="Arial" w:eastAsia="Arial"/>
          <w:b/>
          <w:color w:val="1F2937"/>
          <w:sz w:val="20"/>
        </w:rPr>
        <w:t>Maya requests a practical, structured approach. The counselor and Maya agree that avoidance, disrupted routines, and unhelpful predictions are maintaining distress. What is the BEST initial intervention plan?</w:t>
      </w:r>
    </w:p>
    <w:p>
      <w:pPr>
        <w:spacing w:after="40"/>
        <w:ind w:left="230" w:hanging="230"/>
      </w:pPr>
      <w:r>
        <w:rPr>
          <w:rFonts w:ascii="Arial" w:hAnsi="Arial" w:eastAsia="Arial"/>
          <w:sz w:val="20"/>
        </w:rPr>
        <w:t>A. Use collaborative activity scheduling and graded re-engagement, identify and test unhelpful predictions, support agreed sleep and substance-use changes, and monitor response.</w:t>
      </w:r>
    </w:p>
    <w:p>
      <w:pPr>
        <w:spacing w:after="40"/>
        <w:ind w:left="230" w:hanging="230"/>
      </w:pPr>
      <w:r>
        <w:rPr>
          <w:rFonts w:ascii="Arial" w:hAnsi="Arial" w:eastAsia="Arial"/>
          <w:sz w:val="20"/>
        </w:rPr>
        <w:t>B. Interpret Maya’s symptoms primarily as unconscious conflict and avoid behavioral tasks because she requested structure.</w:t>
      </w:r>
    </w:p>
    <w:p>
      <w:pPr>
        <w:spacing w:after="40"/>
        <w:ind w:left="230" w:hanging="230"/>
      </w:pPr>
      <w:r>
        <w:rPr>
          <w:rFonts w:ascii="Arial" w:hAnsi="Arial" w:eastAsia="Arial"/>
          <w:sz w:val="20"/>
        </w:rPr>
        <w:t>C. Begin intensive trauma processing even though no trauma target has been assessed or selected.</w:t>
      </w:r>
    </w:p>
    <w:p>
      <w:pPr>
        <w:spacing w:after="40"/>
        <w:ind w:left="230" w:hanging="230"/>
      </w:pPr>
      <w:r>
        <w:rPr>
          <w:rFonts w:ascii="Arial" w:hAnsi="Arial" w:eastAsia="Arial"/>
          <w:sz w:val="20"/>
        </w:rPr>
        <w:t>D. Provide several unrelated coping handouts and ask Maya to choose whichever feels easiest.</w:t>
      </w:r>
    </w:p>
    <w:tbl>
      <w:tblPr>
        <w:tblW w:type="auto" w:w="0"/>
        <w:jc w:val="center"/>
        <w:tblLook w:firstColumn="1" w:firstRow="1" w:lastColumn="0" w:lastRow="0" w:noHBand="0" w:noVBand="1" w:val="04A0"/>
      </w:tblPr>
      <w:tblGrid>
        <w:gridCol w:w="10310"/>
      </w:tblGrid>
      <w:tr>
        <w:trPr>
          <w:cantSplit/>
          <w:tblHeader w:val="true"/>
        </w:trPr>
        <w:tc>
          <w:tcPr>
            <w:tcW w:type="dxa" w:w="10310"/>
            <w:shd w:fill="E7F2EA"/>
            <w:tcBorders>
              <w:top w:val="single" w:sz="10" w:color="1F7A8C"/>
              <w:left w:val="single" w:sz="10" w:color="1F7A8C"/>
              <w:bottom w:val="single" w:sz="10" w:color="1F7A8C"/>
              <w:right w:val="single" w:sz="10" w:color="1F7A8C"/>
            </w:tcBorders>
            <w:tcMar>
              <w:top w:w="110" w:type="dxa"/>
              <w:start w:w="140" w:type="dxa"/>
              <w:bottom w:w="110" w:type="dxa"/>
              <w:end w:w="140" w:type="dxa"/>
            </w:tcMar>
          </w:tcPr>
          <w:p>
            <w:pPr>
              <w:spacing w:after="60"/>
            </w:pPr>
            <w:r>
              <w:rPr>
                <w:rFonts w:ascii="Arial" w:hAnsi="Arial" w:eastAsia="Arial"/>
                <w:b/>
                <w:color w:val="17365D"/>
                <w:sz w:val="21"/>
              </w:rPr>
              <w:t>CORRECT ANSWER</w:t>
            </w:r>
          </w:p>
          <w:p>
            <w:pPr>
              <w:spacing w:after="20" w:line="250" w:lineRule="auto"/>
            </w:pPr>
            <w:r>
              <w:rPr>
                <w:rFonts w:ascii="Arial" w:hAnsi="Arial" w:eastAsia="Arial"/>
                <w:color w:val="1F2937"/>
                <w:sz w:val="20"/>
              </w:rPr>
              <w:t>A. Use collaborative activity scheduling and graded re-engagement, identify and test unhelpful predictions, support agreed sleep and substance-use changes, and monitor response.</w:t>
            </w:r>
          </w:p>
        </w:tc>
      </w:tr>
    </w:tbl>
    <w:p>
      <w:pPr>
        <w:spacing w:after="0"/>
      </w:pPr>
    </w:p>
    <w:p>
      <w:pPr>
        <w:pStyle w:val="Heading3"/>
        <w:spacing w:before="100" w:after="80"/>
        <w:keepNext/>
      </w:pPr>
      <w:r>
        <w:rPr>
          <w:rFonts w:ascii="Arial" w:hAnsi="Arial" w:eastAsia="Arial"/>
          <w:b/>
          <w:color w:val="17365D"/>
          <w:sz w:val="23"/>
        </w:rPr>
        <w:t>Why Each Option Is Correct or Incorrect</w:t>
      </w:r>
    </w:p>
    <w:p>
      <w:pPr>
        <w:spacing w:after="60" w:line="250" w:lineRule="auto"/>
        <w:ind w:left="173" w:hanging="173"/>
      </w:pPr>
      <w:r>
        <w:rPr>
          <w:rFonts w:ascii="Arial" w:hAnsi="Arial" w:eastAsia="Arial"/>
          <w:b/>
          <w:color w:val="1F7A8C"/>
          <w:sz w:val="20"/>
        </w:rPr>
        <w:t xml:space="preserve">A. </w:t>
      </w:r>
      <w:r>
        <w:rPr>
          <w:rFonts w:ascii="Arial" w:hAnsi="Arial" w:eastAsia="Arial"/>
          <w:b/>
          <w:color w:val="1F7A8C"/>
          <w:sz w:val="20"/>
        </w:rPr>
        <w:t xml:space="preserve">Correct. </w:t>
      </w:r>
      <w:r>
        <w:rPr>
          <w:rFonts w:ascii="Arial" w:hAnsi="Arial" w:eastAsia="Arial"/>
          <w:color w:val="1F2937"/>
          <w:sz w:val="20"/>
        </w:rPr>
        <w:t>This fits the shared formulation, client preference, target behaviors, and a structured cognitive-behavioral approach while preserving collaboration and monitoring.</w:t>
      </w:r>
    </w:p>
    <w:p>
      <w:pPr>
        <w:spacing w:after="60" w:line="250" w:lineRule="auto"/>
        <w:ind w:left="173" w:hanging="173"/>
      </w:pPr>
      <w:r>
        <w:rPr>
          <w:rFonts w:ascii="Arial" w:hAnsi="Arial" w:eastAsia="Arial"/>
          <w:b/>
          <w:color w:val="17365D"/>
          <w:sz w:val="20"/>
        </w:rPr>
        <w:t xml:space="preserve">B. </w:t>
      </w:r>
      <w:r>
        <w:rPr>
          <w:rFonts w:ascii="Arial" w:hAnsi="Arial" w:eastAsia="Arial"/>
          <w:b/>
          <w:color w:val="1F2937"/>
          <w:sz w:val="20"/>
        </w:rPr>
        <w:t xml:space="preserve">Incorrect. </w:t>
      </w:r>
      <w:r>
        <w:rPr>
          <w:rFonts w:ascii="Arial" w:hAnsi="Arial" w:eastAsia="Arial"/>
          <w:color w:val="1F2937"/>
          <w:sz w:val="20"/>
        </w:rPr>
        <w:t>The intervention does not match the agreed formulation or client request and dismisses a reasonable preference.</w:t>
      </w:r>
    </w:p>
    <w:p>
      <w:pPr>
        <w:spacing w:after="60" w:line="250" w:lineRule="auto"/>
        <w:ind w:left="173" w:hanging="173"/>
      </w:pPr>
      <w:r>
        <w:rPr>
          <w:rFonts w:ascii="Arial" w:hAnsi="Arial" w:eastAsia="Arial"/>
          <w:b/>
          <w:color w:val="17365D"/>
          <w:sz w:val="20"/>
        </w:rPr>
        <w:t xml:space="preserve">C. </w:t>
      </w:r>
      <w:r>
        <w:rPr>
          <w:rFonts w:ascii="Arial" w:hAnsi="Arial" w:eastAsia="Arial"/>
          <w:b/>
          <w:color w:val="1F2937"/>
          <w:sz w:val="20"/>
        </w:rPr>
        <w:t xml:space="preserve">Incorrect. </w:t>
      </w:r>
      <w:r>
        <w:rPr>
          <w:rFonts w:ascii="Arial" w:hAnsi="Arial" w:eastAsia="Arial"/>
          <w:color w:val="1F2937"/>
          <w:sz w:val="20"/>
        </w:rPr>
        <w:t>Trauma processing is unsupported without an assessed trauma target, readiness, and treatment rationale.</w:t>
      </w:r>
    </w:p>
    <w:p>
      <w:pPr>
        <w:spacing w:after="60" w:line="250" w:lineRule="auto"/>
        <w:ind w:left="173" w:hanging="173"/>
      </w:pPr>
      <w:r>
        <w:rPr>
          <w:rFonts w:ascii="Arial" w:hAnsi="Arial" w:eastAsia="Arial"/>
          <w:b/>
          <w:color w:val="17365D"/>
          <w:sz w:val="20"/>
        </w:rPr>
        <w:t xml:space="preserve">D. </w:t>
      </w:r>
      <w:r>
        <w:rPr>
          <w:rFonts w:ascii="Arial" w:hAnsi="Arial" w:eastAsia="Arial"/>
          <w:b/>
          <w:color w:val="1F2937"/>
          <w:sz w:val="20"/>
        </w:rPr>
        <w:t xml:space="preserve">Incorrect. </w:t>
      </w:r>
      <w:r>
        <w:rPr>
          <w:rFonts w:ascii="Arial" w:hAnsi="Arial" w:eastAsia="Arial"/>
          <w:color w:val="1F2937"/>
          <w:sz w:val="20"/>
        </w:rPr>
        <w:t>Handouts alone do not create a coherent, theory-consistent intervention plan tied to the maintenance cycle.</w:t>
      </w:r>
    </w:p>
    <w:tbl>
      <w:tblPr>
        <w:tblW w:type="auto" w:w="0"/>
        <w:jc w:val="center"/>
        <w:tblLook w:firstColumn="1" w:firstRow="1" w:lastColumn="0" w:lastRow="0" w:noHBand="0" w:noVBand="1" w:val="04A0"/>
      </w:tblPr>
      <w:tblGrid>
        <w:gridCol w:w="10310"/>
      </w:tblGrid>
      <w:tr>
        <w:trPr>
          <w:cantSplit/>
          <w:tblHeader w:val="true"/>
        </w:trPr>
        <w:tc>
          <w:tcPr>
            <w:tcW w:type="dxa" w:w="10310"/>
            <w:shd w:fill="E7F3F3"/>
            <w:tcBorders>
              <w:top w:val="single" w:sz="10" w:color="159C9C"/>
              <w:left w:val="single" w:sz="10" w:color="159C9C"/>
              <w:bottom w:val="single" w:sz="10" w:color="159C9C"/>
              <w:right w:val="single" w:sz="10" w:color="159C9C"/>
            </w:tcBorders>
            <w:tcMar>
              <w:top w:w="110" w:type="dxa"/>
              <w:start w:w="140" w:type="dxa"/>
              <w:bottom w:w="110" w:type="dxa"/>
              <w:end w:w="140" w:type="dxa"/>
            </w:tcMar>
          </w:tcPr>
          <w:p>
            <w:pPr>
              <w:spacing w:after="60"/>
            </w:pPr>
            <w:r>
              <w:rPr>
                <w:rFonts w:ascii="Arial" w:hAnsi="Arial" w:eastAsia="Arial"/>
                <w:b/>
                <w:color w:val="1F7A8C"/>
                <w:sz w:val="21"/>
              </w:rPr>
              <w:t>CTA EXAM STRATEGY</w:t>
            </w:r>
          </w:p>
          <w:p>
            <w:pPr>
              <w:spacing w:after="20" w:line="250" w:lineRule="auto"/>
            </w:pPr>
            <w:r>
              <w:rPr>
                <w:rFonts w:ascii="Arial" w:hAnsi="Arial" w:eastAsia="Arial"/>
                <w:color w:val="1F2937"/>
                <w:sz w:val="19"/>
              </w:rPr>
              <w:t>Intervention questions are formulation questions. Select the option that connects mechanism, goal, client preference, technique, and outcome monitoring.</w:t>
            </w:r>
          </w:p>
        </w:tc>
      </w:tr>
    </w:tbl>
    <w:p>
      <w:pPr>
        <w:spacing w:after="0"/>
      </w:pPr>
    </w:p>
    <w:tbl>
      <w:tblPr>
        <w:tblW w:type="auto" w:w="0"/>
        <w:jc w:val="center"/>
        <w:tblLook w:firstColumn="1" w:firstRow="1" w:lastColumn="0" w:lastRow="0" w:noHBand="0" w:noVBand="1" w:val="04A0"/>
      </w:tblPr>
      <w:tblGrid>
        <w:gridCol w:w="10310"/>
      </w:tblGrid>
      <w:tr>
        <w:trPr>
          <w:cantSplit/>
          <w:tblHeader w:val="true"/>
        </w:trPr>
        <w:tc>
          <w:tcPr>
            <w:tcW w:type="dxa" w:w="10310"/>
            <w:shd w:fill="EAF0F7"/>
            <w:tcBorders>
              <w:top w:val="single" w:sz="10" w:color="1F4E78"/>
              <w:left w:val="single" w:sz="10" w:color="1F4E78"/>
              <w:bottom w:val="single" w:sz="10" w:color="1F4E78"/>
              <w:right w:val="single" w:sz="10" w:color="1F4E78"/>
            </w:tcBorders>
            <w:tcMar>
              <w:top w:w="110" w:type="dxa"/>
              <w:start w:w="140" w:type="dxa"/>
              <w:bottom w:w="110" w:type="dxa"/>
              <w:end w:w="140" w:type="dxa"/>
            </w:tcMar>
          </w:tcPr>
          <w:p>
            <w:pPr>
              <w:spacing w:after="60"/>
            </w:pPr>
            <w:r>
              <w:rPr>
                <w:rFonts w:ascii="Arial" w:hAnsi="Arial" w:eastAsia="Arial"/>
                <w:b/>
                <w:color w:val="17365D"/>
                <w:sz w:val="21"/>
              </w:rPr>
              <w:t>LIKELY ERROR CODE</w:t>
            </w:r>
          </w:p>
          <w:p>
            <w:pPr>
              <w:spacing w:after="20" w:line="250" w:lineRule="auto"/>
            </w:pPr>
            <w:r>
              <w:rPr>
                <w:rFonts w:ascii="Arial" w:hAnsi="Arial" w:eastAsia="Arial"/>
                <w:color w:val="1F2937"/>
                <w:sz w:val="19"/>
              </w:rPr>
              <w:t>I - Intervention / theory fit. Choose techniques because they fit the agreed formulation, not because they are familiar or intensive.</w:t>
            </w:r>
          </w:p>
        </w:tc>
      </w:tr>
    </w:tbl>
    <w:p>
      <w:pPr>
        <w:spacing w:after="0"/>
      </w:pPr>
    </w:p>
    <w:p>
      <w:r>
        <w:br w:type="page"/>
      </w:r>
    </w:p>
    <w:p>
      <w:pPr>
        <w:pStyle w:val="Heading2"/>
        <w:spacing w:before="0" w:after="60"/>
      </w:pPr>
      <w:r>
        <w:rPr>
          <w:rFonts w:ascii="Arial" w:hAnsi="Arial" w:eastAsia="Arial"/>
          <w:b/>
          <w:color w:val="159C9C"/>
          <w:sz w:val="26"/>
        </w:rPr>
        <w:t>Question 12 (LPCC-WB01-PB-Q012)</w:t>
      </w:r>
    </w:p>
    <w:p>
      <w:pPr>
        <w:spacing w:before="100" w:after="40"/>
        <w:keepNext/>
      </w:pPr>
      <w:r>
        <w:rPr>
          <w:rFonts w:ascii="Arial" w:hAnsi="Arial" w:eastAsia="Arial"/>
          <w:b/>
          <w:color w:val="1F7A8C"/>
          <w:sz w:val="17"/>
        </w:rPr>
        <w:t>LPCC-WB01-PB-Q012 | Scenario-Based | Easy | Primary concept: Barrier-responsive continuity</w:t>
      </w:r>
    </w:p>
    <w:p>
      <w:pPr>
        <w:spacing w:after="60" w:line="250" w:lineRule="auto"/>
      </w:pPr>
      <w:r>
        <w:rPr>
          <w:rFonts w:ascii="Arial" w:hAnsi="Arial" w:eastAsia="Arial"/>
          <w:b/>
          <w:color w:val="1F2937"/>
          <w:sz w:val="20"/>
        </w:rPr>
        <w:t>Maya misses one appointment after an unexpected night shift and says her rotating schedule is making attendance difficult. What should the counselor do?</w:t>
      </w:r>
    </w:p>
    <w:p>
      <w:pPr>
        <w:spacing w:after="40"/>
        <w:ind w:left="230" w:hanging="230"/>
      </w:pPr>
      <w:r>
        <w:rPr>
          <w:rFonts w:ascii="Arial" w:hAnsi="Arial" w:eastAsia="Arial"/>
          <w:sz w:val="20"/>
        </w:rPr>
        <w:t>A. Interpret the missed session as resistance and confront Maya about avoiding treatment.</w:t>
      </w:r>
    </w:p>
    <w:p>
      <w:pPr>
        <w:spacing w:after="40"/>
        <w:ind w:left="230" w:hanging="230"/>
      </w:pPr>
      <w:r>
        <w:rPr>
          <w:rFonts w:ascii="Arial" w:hAnsi="Arial" w:eastAsia="Arial"/>
          <w:sz w:val="20"/>
        </w:rPr>
        <w:t>B. Terminate immediately because consistent attendance is required for all clients.</w:t>
      </w:r>
    </w:p>
    <w:p>
      <w:pPr>
        <w:spacing w:after="40"/>
        <w:ind w:left="230" w:hanging="230"/>
      </w:pPr>
      <w:r>
        <w:rPr>
          <w:rFonts w:ascii="Arial" w:hAnsi="Arial" w:eastAsia="Arial"/>
          <w:sz w:val="20"/>
        </w:rPr>
        <w:t>C. Explore the barrier, review treatment needs and attendance expectations, and collaborate on a feasible schedule or alternative continuity plan.</w:t>
      </w:r>
    </w:p>
    <w:p>
      <w:pPr>
        <w:spacing w:after="40"/>
        <w:ind w:left="230" w:hanging="230"/>
      </w:pPr>
      <w:r>
        <w:rPr>
          <w:rFonts w:ascii="Arial" w:hAnsi="Arial" w:eastAsia="Arial"/>
          <w:sz w:val="20"/>
        </w:rPr>
        <w:t>D. Ignore the missed session because discussing attendance may harm rapport.</w:t>
      </w:r>
    </w:p>
    <w:tbl>
      <w:tblPr>
        <w:tblW w:type="auto" w:w="0"/>
        <w:jc w:val="center"/>
        <w:tblLook w:firstColumn="1" w:firstRow="1" w:lastColumn="0" w:lastRow="0" w:noHBand="0" w:noVBand="1" w:val="04A0"/>
      </w:tblPr>
      <w:tblGrid>
        <w:gridCol w:w="10310"/>
      </w:tblGrid>
      <w:tr>
        <w:trPr>
          <w:cantSplit/>
          <w:tblHeader w:val="true"/>
        </w:trPr>
        <w:tc>
          <w:tcPr>
            <w:tcW w:type="dxa" w:w="10310"/>
            <w:shd w:fill="E7F2EA"/>
            <w:tcBorders>
              <w:top w:val="single" w:sz="10" w:color="1F7A8C"/>
              <w:left w:val="single" w:sz="10" w:color="1F7A8C"/>
              <w:bottom w:val="single" w:sz="10" w:color="1F7A8C"/>
              <w:right w:val="single" w:sz="10" w:color="1F7A8C"/>
            </w:tcBorders>
            <w:tcMar>
              <w:top w:w="110" w:type="dxa"/>
              <w:start w:w="140" w:type="dxa"/>
              <w:bottom w:w="110" w:type="dxa"/>
              <w:end w:w="140" w:type="dxa"/>
            </w:tcMar>
          </w:tcPr>
          <w:p>
            <w:pPr>
              <w:spacing w:after="60"/>
            </w:pPr>
            <w:r>
              <w:rPr>
                <w:rFonts w:ascii="Arial" w:hAnsi="Arial" w:eastAsia="Arial"/>
                <w:b/>
                <w:color w:val="17365D"/>
                <w:sz w:val="21"/>
              </w:rPr>
              <w:t>CORRECT ANSWER</w:t>
            </w:r>
          </w:p>
          <w:p>
            <w:pPr>
              <w:spacing w:after="20" w:line="250" w:lineRule="auto"/>
            </w:pPr>
            <w:r>
              <w:rPr>
                <w:rFonts w:ascii="Arial" w:hAnsi="Arial" w:eastAsia="Arial"/>
                <w:color w:val="1F2937"/>
                <w:sz w:val="20"/>
              </w:rPr>
              <w:t>C. Explore the barrier, review treatment needs and attendance expectations, and collaborate on a feasible schedule or alternative continuity plan.</w:t>
            </w:r>
          </w:p>
        </w:tc>
      </w:tr>
    </w:tbl>
    <w:p>
      <w:pPr>
        <w:spacing w:after="0"/>
      </w:pPr>
    </w:p>
    <w:p>
      <w:pPr>
        <w:pStyle w:val="Heading3"/>
        <w:spacing w:before="100" w:after="80"/>
        <w:keepNext/>
      </w:pPr>
      <w:r>
        <w:rPr>
          <w:rFonts w:ascii="Arial" w:hAnsi="Arial" w:eastAsia="Arial"/>
          <w:b/>
          <w:color w:val="17365D"/>
          <w:sz w:val="23"/>
        </w:rPr>
        <w:t>Why Each Option Is Correct or Incorrect</w:t>
      </w:r>
    </w:p>
    <w:p>
      <w:pPr>
        <w:spacing w:after="60" w:line="250" w:lineRule="auto"/>
        <w:ind w:left="173" w:hanging="173"/>
      </w:pPr>
      <w:r>
        <w:rPr>
          <w:rFonts w:ascii="Arial" w:hAnsi="Arial" w:eastAsia="Arial"/>
          <w:b/>
          <w:color w:val="17365D"/>
          <w:sz w:val="20"/>
        </w:rPr>
        <w:t xml:space="preserve">A. </w:t>
      </w:r>
      <w:r>
        <w:rPr>
          <w:rFonts w:ascii="Arial" w:hAnsi="Arial" w:eastAsia="Arial"/>
          <w:b/>
          <w:color w:val="1F2937"/>
          <w:sz w:val="20"/>
        </w:rPr>
        <w:t xml:space="preserve">Incorrect. </w:t>
      </w:r>
      <w:r>
        <w:rPr>
          <w:rFonts w:ascii="Arial" w:hAnsi="Arial" w:eastAsia="Arial"/>
          <w:color w:val="1F2937"/>
          <w:sz w:val="20"/>
        </w:rPr>
        <w:t>A single missed session with a stated work barrier does not establish resistance. The option adds an unsupported motive.</w:t>
      </w:r>
    </w:p>
    <w:p>
      <w:pPr>
        <w:spacing w:after="60" w:line="250" w:lineRule="auto"/>
        <w:ind w:left="173" w:hanging="173"/>
      </w:pPr>
      <w:r>
        <w:rPr>
          <w:rFonts w:ascii="Arial" w:hAnsi="Arial" w:eastAsia="Arial"/>
          <w:b/>
          <w:color w:val="17365D"/>
          <w:sz w:val="20"/>
        </w:rPr>
        <w:t xml:space="preserve">B. </w:t>
      </w:r>
      <w:r>
        <w:rPr>
          <w:rFonts w:ascii="Arial" w:hAnsi="Arial" w:eastAsia="Arial"/>
          <w:b/>
          <w:color w:val="1F2937"/>
          <w:sz w:val="20"/>
        </w:rPr>
        <w:t xml:space="preserve">Incorrect. </w:t>
      </w:r>
      <w:r>
        <w:rPr>
          <w:rFonts w:ascii="Arial" w:hAnsi="Arial" w:eastAsia="Arial"/>
          <w:color w:val="1F2937"/>
          <w:sz w:val="20"/>
        </w:rPr>
        <w:t>Immediate termination is disproportionate and ignores continuity and access.</w:t>
      </w:r>
    </w:p>
    <w:p>
      <w:pPr>
        <w:spacing w:after="60" w:line="250" w:lineRule="auto"/>
        <w:ind w:left="173" w:hanging="173"/>
      </w:pPr>
      <w:r>
        <w:rPr>
          <w:rFonts w:ascii="Arial" w:hAnsi="Arial" w:eastAsia="Arial"/>
          <w:b/>
          <w:color w:val="1F7A8C"/>
          <w:sz w:val="20"/>
        </w:rPr>
        <w:t xml:space="preserve">C. </w:t>
      </w:r>
      <w:r>
        <w:rPr>
          <w:rFonts w:ascii="Arial" w:hAnsi="Arial" w:eastAsia="Arial"/>
          <w:b/>
          <w:color w:val="1F7A8C"/>
          <w:sz w:val="20"/>
        </w:rPr>
        <w:t xml:space="preserve">Correct. </w:t>
      </w:r>
      <w:r>
        <w:rPr>
          <w:rFonts w:ascii="Arial" w:hAnsi="Arial" w:eastAsia="Arial"/>
          <w:color w:val="1F2937"/>
          <w:sz w:val="20"/>
        </w:rPr>
        <w:t>This response addresses the real barrier, preserves accountability, and supports collaborative continuity of care.</w:t>
      </w:r>
    </w:p>
    <w:p>
      <w:pPr>
        <w:spacing w:after="60" w:line="250" w:lineRule="auto"/>
        <w:ind w:left="173" w:hanging="173"/>
      </w:pPr>
      <w:r>
        <w:rPr>
          <w:rFonts w:ascii="Arial" w:hAnsi="Arial" w:eastAsia="Arial"/>
          <w:b/>
          <w:color w:val="17365D"/>
          <w:sz w:val="20"/>
        </w:rPr>
        <w:t xml:space="preserve">D. </w:t>
      </w:r>
      <w:r>
        <w:rPr>
          <w:rFonts w:ascii="Arial" w:hAnsi="Arial" w:eastAsia="Arial"/>
          <w:b/>
          <w:color w:val="1F2937"/>
          <w:sz w:val="20"/>
        </w:rPr>
        <w:t xml:space="preserve">Incorrect. </w:t>
      </w:r>
      <w:r>
        <w:rPr>
          <w:rFonts w:ascii="Arial" w:hAnsi="Arial" w:eastAsia="Arial"/>
          <w:color w:val="1F2937"/>
          <w:sz w:val="20"/>
        </w:rPr>
        <w:t>Avoiding the issue does not solve the access problem or clarify expectations.</w:t>
      </w:r>
    </w:p>
    <w:tbl>
      <w:tblPr>
        <w:tblW w:type="auto" w:w="0"/>
        <w:jc w:val="center"/>
        <w:tblLook w:firstColumn="1" w:firstRow="1" w:lastColumn="0" w:lastRow="0" w:noHBand="0" w:noVBand="1" w:val="04A0"/>
      </w:tblPr>
      <w:tblGrid>
        <w:gridCol w:w="10310"/>
      </w:tblGrid>
      <w:tr>
        <w:trPr>
          <w:cantSplit/>
          <w:tblHeader w:val="true"/>
        </w:trPr>
        <w:tc>
          <w:tcPr>
            <w:tcW w:type="dxa" w:w="10310"/>
            <w:shd w:fill="E7F3F3"/>
            <w:tcBorders>
              <w:top w:val="single" w:sz="10" w:color="159C9C"/>
              <w:left w:val="single" w:sz="10" w:color="159C9C"/>
              <w:bottom w:val="single" w:sz="10" w:color="159C9C"/>
              <w:right w:val="single" w:sz="10" w:color="159C9C"/>
            </w:tcBorders>
            <w:tcMar>
              <w:top w:w="110" w:type="dxa"/>
              <w:start w:w="140" w:type="dxa"/>
              <w:bottom w:w="110" w:type="dxa"/>
              <w:end w:w="140" w:type="dxa"/>
            </w:tcMar>
          </w:tcPr>
          <w:p>
            <w:pPr>
              <w:spacing w:after="60"/>
            </w:pPr>
            <w:r>
              <w:rPr>
                <w:rFonts w:ascii="Arial" w:hAnsi="Arial" w:eastAsia="Arial"/>
                <w:b/>
                <w:color w:val="1F7A8C"/>
                <w:sz w:val="21"/>
              </w:rPr>
              <w:t>CTA EXAM STRATEGY</w:t>
            </w:r>
          </w:p>
          <w:p>
            <w:pPr>
              <w:spacing w:after="20" w:line="250" w:lineRule="auto"/>
            </w:pPr>
            <w:r>
              <w:rPr>
                <w:rFonts w:ascii="Arial" w:hAnsi="Arial" w:eastAsia="Arial"/>
                <w:color w:val="1F2937"/>
                <w:sz w:val="19"/>
              </w:rPr>
              <w:t>When the case gives a concrete access barrier, address the barrier before assigning a psychological motive.</w:t>
            </w:r>
          </w:p>
        </w:tc>
      </w:tr>
    </w:tbl>
    <w:p>
      <w:pPr>
        <w:spacing w:after="0"/>
      </w:pPr>
    </w:p>
    <w:tbl>
      <w:tblPr>
        <w:tblW w:type="auto" w:w="0"/>
        <w:jc w:val="center"/>
        <w:tblLook w:firstColumn="1" w:firstRow="1" w:lastColumn="0" w:lastRow="0" w:noHBand="0" w:noVBand="1" w:val="04A0"/>
      </w:tblPr>
      <w:tblGrid>
        <w:gridCol w:w="10310"/>
      </w:tblGrid>
      <w:tr>
        <w:trPr>
          <w:cantSplit/>
          <w:tblHeader w:val="true"/>
        </w:trPr>
        <w:tc>
          <w:tcPr>
            <w:tcW w:type="dxa" w:w="10310"/>
            <w:shd w:fill="EAF0F7"/>
            <w:tcBorders>
              <w:top w:val="single" w:sz="10" w:color="1F4E78"/>
              <w:left w:val="single" w:sz="10" w:color="1F4E78"/>
              <w:bottom w:val="single" w:sz="10" w:color="1F4E78"/>
              <w:right w:val="single" w:sz="10" w:color="1F4E78"/>
            </w:tcBorders>
            <w:tcMar>
              <w:top w:w="110" w:type="dxa"/>
              <w:start w:w="140" w:type="dxa"/>
              <w:bottom w:w="110" w:type="dxa"/>
              <w:end w:w="140" w:type="dxa"/>
            </w:tcMar>
          </w:tcPr>
          <w:p>
            <w:pPr>
              <w:spacing w:after="60"/>
            </w:pPr>
            <w:r>
              <w:rPr>
                <w:rFonts w:ascii="Arial" w:hAnsi="Arial" w:eastAsia="Arial"/>
                <w:b/>
                <w:color w:val="17365D"/>
                <w:sz w:val="21"/>
              </w:rPr>
              <w:t>LIKELY ERROR CODE</w:t>
            </w:r>
          </w:p>
          <w:p>
            <w:pPr>
              <w:spacing w:after="20" w:line="250" w:lineRule="auto"/>
            </w:pPr>
            <w:r>
              <w:rPr>
                <w:rFonts w:ascii="Arial" w:hAnsi="Arial" w:eastAsia="Arial"/>
                <w:color w:val="1F2937"/>
                <w:sz w:val="19"/>
              </w:rPr>
              <w:t>C - Culture / context / client voice. Distinguish logistical barriers from resistance and collaborate on a workable plan.</w:t>
            </w:r>
          </w:p>
        </w:tc>
      </w:tr>
    </w:tbl>
    <w:p>
      <w:pPr>
        <w:spacing w:after="0"/>
      </w:pPr>
    </w:p>
    <w:p>
      <w:r>
        <w:br w:type="page"/>
      </w:r>
    </w:p>
    <w:p>
      <w:pPr>
        <w:pStyle w:val="Heading2"/>
        <w:spacing w:before="0" w:after="60"/>
      </w:pPr>
      <w:r>
        <w:rPr>
          <w:rFonts w:ascii="Arial" w:hAnsi="Arial" w:eastAsia="Arial"/>
          <w:b/>
          <w:color w:val="159C9C"/>
          <w:sz w:val="26"/>
        </w:rPr>
        <w:t>Question 13 (LPCC-WB01-PB-Q013)</w:t>
      </w:r>
    </w:p>
    <w:p>
      <w:pPr>
        <w:spacing w:before="100" w:after="40"/>
        <w:keepNext/>
      </w:pPr>
      <w:r>
        <w:rPr>
          <w:rFonts w:ascii="Arial" w:hAnsi="Arial" w:eastAsia="Arial"/>
          <w:b/>
          <w:color w:val="1F7A8C"/>
          <w:sz w:val="17"/>
        </w:rPr>
        <w:t>LPCC-WB01-PB-Q013 | Integrated Clinical Reasoning | Difficult | Primary concept: Counselor role and medication coordination</w:t>
      </w:r>
    </w:p>
    <w:p>
      <w:pPr>
        <w:spacing w:after="60" w:line="250" w:lineRule="auto"/>
      </w:pPr>
      <w:r>
        <w:rPr>
          <w:rFonts w:ascii="Arial" w:hAnsi="Arial" w:eastAsia="Arial"/>
          <w:b/>
          <w:color w:val="1F2937"/>
          <w:sz w:val="20"/>
        </w:rPr>
        <w:t>Maya asks the counselor which antidepressant she should start. Which response is BEST?</w:t>
      </w:r>
    </w:p>
    <w:p>
      <w:pPr>
        <w:spacing w:after="40"/>
        <w:ind w:left="230" w:hanging="230"/>
      </w:pPr>
      <w:r>
        <w:rPr>
          <w:rFonts w:ascii="Arial" w:hAnsi="Arial" w:eastAsia="Arial"/>
          <w:sz w:val="20"/>
        </w:rPr>
        <w:t>A. Recommend the medication the counselor has seen work most often for similar clients.</w:t>
      </w:r>
    </w:p>
    <w:p>
      <w:pPr>
        <w:spacing w:after="40"/>
        <w:ind w:left="230" w:hanging="230"/>
      </w:pPr>
      <w:r>
        <w:rPr>
          <w:rFonts w:ascii="Arial" w:hAnsi="Arial" w:eastAsia="Arial"/>
          <w:sz w:val="20"/>
        </w:rPr>
        <w:t>B. Clarify the counselor’s nonprescribing role, explore Maya’s concerns and preferences, encourage consultation with a qualified prescriber, and coordinate care with Maya’s authorization when appropriate.</w:t>
      </w:r>
    </w:p>
    <w:p>
      <w:pPr>
        <w:spacing w:after="40"/>
        <w:ind w:left="230" w:hanging="230"/>
      </w:pPr>
      <w:r>
        <w:rPr>
          <w:rFonts w:ascii="Arial" w:hAnsi="Arial" w:eastAsia="Arial"/>
          <w:sz w:val="20"/>
        </w:rPr>
        <w:t>C. Tell Maya medication is unnecessary because counseling should be tried first in every case.</w:t>
      </w:r>
    </w:p>
    <w:p>
      <w:pPr>
        <w:spacing w:after="40"/>
        <w:ind w:left="230" w:hanging="230"/>
      </w:pPr>
      <w:r>
        <w:rPr>
          <w:rFonts w:ascii="Arial" w:hAnsi="Arial" w:eastAsia="Arial"/>
          <w:sz w:val="20"/>
        </w:rPr>
        <w:t>D. Give Maya a list of medication doses and ask her to select one to discuss with the pharmacy.</w:t>
      </w:r>
    </w:p>
    <w:tbl>
      <w:tblPr>
        <w:tblW w:type="auto" w:w="0"/>
        <w:jc w:val="center"/>
        <w:tblLook w:firstColumn="1" w:firstRow="1" w:lastColumn="0" w:lastRow="0" w:noHBand="0" w:noVBand="1" w:val="04A0"/>
      </w:tblPr>
      <w:tblGrid>
        <w:gridCol w:w="10310"/>
      </w:tblGrid>
      <w:tr>
        <w:trPr>
          <w:cantSplit/>
          <w:tblHeader w:val="true"/>
        </w:trPr>
        <w:tc>
          <w:tcPr>
            <w:tcW w:type="dxa" w:w="10310"/>
            <w:shd w:fill="E7F2EA"/>
            <w:tcBorders>
              <w:top w:val="single" w:sz="10" w:color="1F7A8C"/>
              <w:left w:val="single" w:sz="10" w:color="1F7A8C"/>
              <w:bottom w:val="single" w:sz="10" w:color="1F7A8C"/>
              <w:right w:val="single" w:sz="10" w:color="1F7A8C"/>
            </w:tcBorders>
            <w:tcMar>
              <w:top w:w="110" w:type="dxa"/>
              <w:start w:w="140" w:type="dxa"/>
              <w:bottom w:w="110" w:type="dxa"/>
              <w:end w:w="140" w:type="dxa"/>
            </w:tcMar>
          </w:tcPr>
          <w:p>
            <w:pPr>
              <w:spacing w:after="60"/>
            </w:pPr>
            <w:r>
              <w:rPr>
                <w:rFonts w:ascii="Arial" w:hAnsi="Arial" w:eastAsia="Arial"/>
                <w:b/>
                <w:color w:val="17365D"/>
                <w:sz w:val="21"/>
              </w:rPr>
              <w:t>CORRECT ANSWER</w:t>
            </w:r>
          </w:p>
          <w:p>
            <w:pPr>
              <w:spacing w:after="20" w:line="250" w:lineRule="auto"/>
            </w:pPr>
            <w:r>
              <w:rPr>
                <w:rFonts w:ascii="Arial" w:hAnsi="Arial" w:eastAsia="Arial"/>
                <w:color w:val="1F2937"/>
                <w:sz w:val="20"/>
              </w:rPr>
              <w:t>B. Clarify the counselor’s nonprescribing role, explore Maya’s concerns and preferences, encourage consultation with a qualified prescriber, and coordinate care with Maya’s authorization when appropriate.</w:t>
            </w:r>
          </w:p>
        </w:tc>
      </w:tr>
    </w:tbl>
    <w:p>
      <w:pPr>
        <w:spacing w:after="0"/>
      </w:pPr>
    </w:p>
    <w:p>
      <w:pPr>
        <w:pStyle w:val="Heading3"/>
        <w:spacing w:before="100" w:after="80"/>
        <w:keepNext/>
      </w:pPr>
      <w:r>
        <w:rPr>
          <w:rFonts w:ascii="Arial" w:hAnsi="Arial" w:eastAsia="Arial"/>
          <w:b/>
          <w:color w:val="17365D"/>
          <w:sz w:val="23"/>
        </w:rPr>
        <w:t>Why Each Option Is Correct or Incorrect</w:t>
      </w:r>
    </w:p>
    <w:p>
      <w:pPr>
        <w:spacing w:after="60" w:line="250" w:lineRule="auto"/>
        <w:ind w:left="173" w:hanging="173"/>
      </w:pPr>
      <w:r>
        <w:rPr>
          <w:rFonts w:ascii="Arial" w:hAnsi="Arial" w:eastAsia="Arial"/>
          <w:b/>
          <w:color w:val="17365D"/>
          <w:sz w:val="20"/>
        </w:rPr>
        <w:t xml:space="preserve">A. </w:t>
      </w:r>
      <w:r>
        <w:rPr>
          <w:rFonts w:ascii="Arial" w:hAnsi="Arial" w:eastAsia="Arial"/>
          <w:b/>
          <w:color w:val="1F2937"/>
          <w:sz w:val="20"/>
        </w:rPr>
        <w:t xml:space="preserve">Incorrect. </w:t>
      </w:r>
      <w:r>
        <w:rPr>
          <w:rFonts w:ascii="Arial" w:hAnsi="Arial" w:eastAsia="Arial"/>
          <w:color w:val="1F2937"/>
          <w:sz w:val="20"/>
        </w:rPr>
        <w:t>A counselor should not select or recommend a specific prescription medication outside the counselor’s role and competence.</w:t>
      </w:r>
    </w:p>
    <w:p>
      <w:pPr>
        <w:spacing w:after="60" w:line="250" w:lineRule="auto"/>
        <w:ind w:left="173" w:hanging="173"/>
      </w:pPr>
      <w:r>
        <w:rPr>
          <w:rFonts w:ascii="Arial" w:hAnsi="Arial" w:eastAsia="Arial"/>
          <w:b/>
          <w:color w:val="1F7A8C"/>
          <w:sz w:val="20"/>
        </w:rPr>
        <w:t xml:space="preserve">B. </w:t>
      </w:r>
      <w:r>
        <w:rPr>
          <w:rFonts w:ascii="Arial" w:hAnsi="Arial" w:eastAsia="Arial"/>
          <w:b/>
          <w:color w:val="1F7A8C"/>
          <w:sz w:val="20"/>
        </w:rPr>
        <w:t xml:space="preserve">Correct. </w:t>
      </w:r>
      <w:r>
        <w:rPr>
          <w:rFonts w:ascii="Arial" w:hAnsi="Arial" w:eastAsia="Arial"/>
          <w:color w:val="1F2937"/>
          <w:sz w:val="20"/>
        </w:rPr>
        <w:t>This maintains scope, supports informed client choice, and facilitates appropriate interdisciplinary coordination with consent.</w:t>
      </w:r>
    </w:p>
    <w:p>
      <w:pPr>
        <w:spacing w:after="60" w:line="250" w:lineRule="auto"/>
        <w:ind w:left="173" w:hanging="173"/>
      </w:pPr>
      <w:r>
        <w:rPr>
          <w:rFonts w:ascii="Arial" w:hAnsi="Arial" w:eastAsia="Arial"/>
          <w:b/>
          <w:color w:val="17365D"/>
          <w:sz w:val="20"/>
        </w:rPr>
        <w:t xml:space="preserve">C. </w:t>
      </w:r>
      <w:r>
        <w:rPr>
          <w:rFonts w:ascii="Arial" w:hAnsi="Arial" w:eastAsia="Arial"/>
          <w:b/>
          <w:color w:val="1F2937"/>
          <w:sz w:val="20"/>
        </w:rPr>
        <w:t xml:space="preserve">Incorrect. </w:t>
      </w:r>
      <w:r>
        <w:rPr>
          <w:rFonts w:ascii="Arial" w:hAnsi="Arial" w:eastAsia="Arial"/>
          <w:color w:val="1F2937"/>
          <w:sz w:val="20"/>
        </w:rPr>
        <w:t>This imposes an absolute sequencing rule and exceeds the evidence. Medication decisions are individualized.</w:t>
      </w:r>
    </w:p>
    <w:p>
      <w:pPr>
        <w:spacing w:after="60" w:line="250" w:lineRule="auto"/>
        <w:ind w:left="173" w:hanging="173"/>
      </w:pPr>
      <w:r>
        <w:rPr>
          <w:rFonts w:ascii="Arial" w:hAnsi="Arial" w:eastAsia="Arial"/>
          <w:b/>
          <w:color w:val="17365D"/>
          <w:sz w:val="20"/>
        </w:rPr>
        <w:t xml:space="preserve">D. </w:t>
      </w:r>
      <w:r>
        <w:rPr>
          <w:rFonts w:ascii="Arial" w:hAnsi="Arial" w:eastAsia="Arial"/>
          <w:b/>
          <w:color w:val="1F2937"/>
          <w:sz w:val="20"/>
        </w:rPr>
        <w:t xml:space="preserve">Incorrect. </w:t>
      </w:r>
      <w:r>
        <w:rPr>
          <w:rFonts w:ascii="Arial" w:hAnsi="Arial" w:eastAsia="Arial"/>
          <w:color w:val="1F2937"/>
          <w:sz w:val="20"/>
        </w:rPr>
        <w:t>Providing dose-selection guidance is outside the counselor’s role and may create safety risk.</w:t>
      </w:r>
    </w:p>
    <w:tbl>
      <w:tblPr>
        <w:tblW w:type="auto" w:w="0"/>
        <w:jc w:val="center"/>
        <w:tblLook w:firstColumn="1" w:firstRow="1" w:lastColumn="0" w:lastRow="0" w:noHBand="0" w:noVBand="1" w:val="04A0"/>
      </w:tblPr>
      <w:tblGrid>
        <w:gridCol w:w="10310"/>
      </w:tblGrid>
      <w:tr>
        <w:trPr>
          <w:cantSplit/>
          <w:tblHeader w:val="true"/>
        </w:trPr>
        <w:tc>
          <w:tcPr>
            <w:tcW w:type="dxa" w:w="10310"/>
            <w:shd w:fill="E7F3F3"/>
            <w:tcBorders>
              <w:top w:val="single" w:sz="10" w:color="159C9C"/>
              <w:left w:val="single" w:sz="10" w:color="159C9C"/>
              <w:bottom w:val="single" w:sz="10" w:color="159C9C"/>
              <w:right w:val="single" w:sz="10" w:color="159C9C"/>
            </w:tcBorders>
            <w:tcMar>
              <w:top w:w="110" w:type="dxa"/>
              <w:start w:w="140" w:type="dxa"/>
              <w:bottom w:w="110" w:type="dxa"/>
              <w:end w:w="140" w:type="dxa"/>
            </w:tcMar>
          </w:tcPr>
          <w:p>
            <w:pPr>
              <w:spacing w:after="60"/>
            </w:pPr>
            <w:r>
              <w:rPr>
                <w:rFonts w:ascii="Arial" w:hAnsi="Arial" w:eastAsia="Arial"/>
                <w:b/>
                <w:color w:val="1F7A8C"/>
                <w:sz w:val="21"/>
              </w:rPr>
              <w:t>CTA EXAM STRATEGY</w:t>
            </w:r>
          </w:p>
          <w:p>
            <w:pPr>
              <w:spacing w:after="20" w:line="250" w:lineRule="auto"/>
            </w:pPr>
            <w:r>
              <w:rPr>
                <w:rFonts w:ascii="Arial" w:hAnsi="Arial" w:eastAsia="Arial"/>
                <w:color w:val="1F2937"/>
                <w:sz w:val="19"/>
              </w:rPr>
              <w:t>Scope questions often contain a helpful action inside an impermissible role. Preserve the helpful part - exploration and coordination - while referring the prescribing decision to the qualified professional.</w:t>
            </w:r>
          </w:p>
        </w:tc>
      </w:tr>
    </w:tbl>
    <w:p>
      <w:pPr>
        <w:spacing w:after="0"/>
      </w:pPr>
    </w:p>
    <w:tbl>
      <w:tblPr>
        <w:tblW w:type="auto" w:w="0"/>
        <w:jc w:val="center"/>
        <w:tblLook w:firstColumn="1" w:firstRow="1" w:lastColumn="0" w:lastRow="0" w:noHBand="0" w:noVBand="1" w:val="04A0"/>
      </w:tblPr>
      <w:tblGrid>
        <w:gridCol w:w="10310"/>
      </w:tblGrid>
      <w:tr>
        <w:trPr>
          <w:cantSplit/>
          <w:tblHeader w:val="true"/>
        </w:trPr>
        <w:tc>
          <w:tcPr>
            <w:tcW w:type="dxa" w:w="10310"/>
            <w:shd w:fill="EAF0F7"/>
            <w:tcBorders>
              <w:top w:val="single" w:sz="10" w:color="1F4E78"/>
              <w:left w:val="single" w:sz="10" w:color="1F4E78"/>
              <w:bottom w:val="single" w:sz="10" w:color="1F4E78"/>
              <w:right w:val="single" w:sz="10" w:color="1F4E78"/>
            </w:tcBorders>
            <w:tcMar>
              <w:top w:w="110" w:type="dxa"/>
              <w:start w:w="140" w:type="dxa"/>
              <w:bottom w:w="110" w:type="dxa"/>
              <w:end w:w="140" w:type="dxa"/>
            </w:tcMar>
          </w:tcPr>
          <w:p>
            <w:pPr>
              <w:spacing w:after="60"/>
            </w:pPr>
            <w:r>
              <w:rPr>
                <w:rFonts w:ascii="Arial" w:hAnsi="Arial" w:eastAsia="Arial"/>
                <w:b/>
                <w:color w:val="17365D"/>
                <w:sz w:val="21"/>
              </w:rPr>
              <w:t>LIKELY ERROR CODE</w:t>
            </w:r>
          </w:p>
          <w:p>
            <w:pPr>
              <w:spacing w:after="20" w:line="250" w:lineRule="auto"/>
            </w:pPr>
            <w:r>
              <w:rPr>
                <w:rFonts w:ascii="Arial" w:hAnsi="Arial" w:eastAsia="Arial"/>
                <w:color w:val="1F2937"/>
                <w:sz w:val="19"/>
              </w:rPr>
              <w:t>P - Professional role / scope. Support informed coordination without practicing beyond the counselor’s authority or competence.</w:t>
            </w:r>
          </w:p>
        </w:tc>
      </w:tr>
    </w:tbl>
    <w:p>
      <w:pPr>
        <w:spacing w:after="0"/>
      </w:pPr>
    </w:p>
    <w:p>
      <w:r>
        <w:br w:type="page"/>
      </w:r>
    </w:p>
    <w:p>
      <w:pPr>
        <w:pStyle w:val="Heading2"/>
        <w:spacing w:before="0" w:after="60"/>
      </w:pPr>
      <w:r>
        <w:rPr>
          <w:rFonts w:ascii="Arial" w:hAnsi="Arial" w:eastAsia="Arial"/>
          <w:b/>
          <w:color w:val="159C9C"/>
          <w:sz w:val="26"/>
        </w:rPr>
        <w:t>Question 14 (LPCC-WB01-PB-Q014)</w:t>
      </w:r>
    </w:p>
    <w:p>
      <w:pPr>
        <w:spacing w:before="100" w:after="40"/>
        <w:keepNext/>
      </w:pPr>
      <w:r>
        <w:rPr>
          <w:rFonts w:ascii="Arial" w:hAnsi="Arial" w:eastAsia="Arial"/>
          <w:b/>
          <w:color w:val="1F7A8C"/>
          <w:sz w:val="17"/>
        </w:rPr>
        <w:t>LPCC-WB01-PB-Q014 | Scenario-Based | Moderate | Primary concept: Collaborative termination and maintenance</w:t>
      </w:r>
    </w:p>
    <w:p>
      <w:pPr>
        <w:spacing w:after="60" w:line="250" w:lineRule="auto"/>
      </w:pPr>
      <w:r>
        <w:rPr>
          <w:rFonts w:ascii="Arial" w:hAnsi="Arial" w:eastAsia="Arial"/>
          <w:b/>
          <w:color w:val="1F2937"/>
          <w:sz w:val="20"/>
        </w:rPr>
        <w:t>Maya reports meaningful improvement and wants to end counseling because of cost and increased confidence, but she worries about relapse. What should the counselor do NEXT?</w:t>
      </w:r>
    </w:p>
    <w:p>
      <w:pPr>
        <w:spacing w:after="40"/>
        <w:ind w:left="230" w:hanging="230"/>
      </w:pPr>
      <w:r>
        <w:rPr>
          <w:rFonts w:ascii="Arial" w:hAnsi="Arial" w:eastAsia="Arial"/>
          <w:sz w:val="20"/>
        </w:rPr>
        <w:t>A. Persuade Maya to remain in weekly counseling until all anxiety has disappeared.</w:t>
      </w:r>
    </w:p>
    <w:p>
      <w:pPr>
        <w:spacing w:after="40"/>
        <w:ind w:left="230" w:hanging="230"/>
      </w:pPr>
      <w:r>
        <w:rPr>
          <w:rFonts w:ascii="Arial" w:hAnsi="Arial" w:eastAsia="Arial"/>
          <w:sz w:val="20"/>
        </w:rPr>
        <w:t>B. End the session immediately because the client requested termination.</w:t>
      </w:r>
    </w:p>
    <w:p>
      <w:pPr>
        <w:spacing w:after="40"/>
        <w:ind w:left="230" w:hanging="230"/>
      </w:pPr>
      <w:r>
        <w:rPr>
          <w:rFonts w:ascii="Arial" w:hAnsi="Arial" w:eastAsia="Arial"/>
          <w:sz w:val="20"/>
        </w:rPr>
        <w:t>C. Avoid discussing relapse so Maya can leave treatment feeling positive.</w:t>
      </w:r>
    </w:p>
    <w:p>
      <w:pPr>
        <w:spacing w:after="40"/>
        <w:ind w:left="230" w:hanging="230"/>
      </w:pPr>
      <w:r>
        <w:rPr>
          <w:rFonts w:ascii="Arial" w:hAnsi="Arial" w:eastAsia="Arial"/>
          <w:sz w:val="20"/>
        </w:rPr>
        <w:t>D. Review progress and remaining needs, collaborate on a maintenance and relapse-response plan, discuss follow-up or booster options, and confirm that termination is clinically and practically appropriate.</w:t>
      </w:r>
    </w:p>
    <w:tbl>
      <w:tblPr>
        <w:tblW w:type="auto" w:w="0"/>
        <w:jc w:val="center"/>
        <w:tblLook w:firstColumn="1" w:firstRow="1" w:lastColumn="0" w:lastRow="0" w:noHBand="0" w:noVBand="1" w:val="04A0"/>
      </w:tblPr>
      <w:tblGrid>
        <w:gridCol w:w="10310"/>
      </w:tblGrid>
      <w:tr>
        <w:trPr>
          <w:cantSplit/>
          <w:tblHeader w:val="true"/>
        </w:trPr>
        <w:tc>
          <w:tcPr>
            <w:tcW w:type="dxa" w:w="10310"/>
            <w:shd w:fill="E7F2EA"/>
            <w:tcBorders>
              <w:top w:val="single" w:sz="10" w:color="1F7A8C"/>
              <w:left w:val="single" w:sz="10" w:color="1F7A8C"/>
              <w:bottom w:val="single" w:sz="10" w:color="1F7A8C"/>
              <w:right w:val="single" w:sz="10" w:color="1F7A8C"/>
            </w:tcBorders>
            <w:tcMar>
              <w:top w:w="110" w:type="dxa"/>
              <w:start w:w="140" w:type="dxa"/>
              <w:bottom w:w="110" w:type="dxa"/>
              <w:end w:w="140" w:type="dxa"/>
            </w:tcMar>
          </w:tcPr>
          <w:p>
            <w:pPr>
              <w:spacing w:after="60"/>
            </w:pPr>
            <w:r>
              <w:rPr>
                <w:rFonts w:ascii="Arial" w:hAnsi="Arial" w:eastAsia="Arial"/>
                <w:b/>
                <w:color w:val="17365D"/>
                <w:sz w:val="21"/>
              </w:rPr>
              <w:t>CORRECT ANSWER</w:t>
            </w:r>
          </w:p>
          <w:p>
            <w:pPr>
              <w:spacing w:after="20" w:line="250" w:lineRule="auto"/>
            </w:pPr>
            <w:r>
              <w:rPr>
                <w:rFonts w:ascii="Arial" w:hAnsi="Arial" w:eastAsia="Arial"/>
                <w:color w:val="1F2937"/>
                <w:sz w:val="20"/>
              </w:rPr>
              <w:t>D. Review progress and remaining needs, collaborate on a maintenance and relapse-response plan, discuss follow-up or booster options, and confirm that termination is clinically and practically appropriate.</w:t>
            </w:r>
          </w:p>
        </w:tc>
      </w:tr>
    </w:tbl>
    <w:p>
      <w:pPr>
        <w:spacing w:after="0"/>
      </w:pPr>
    </w:p>
    <w:p>
      <w:pPr>
        <w:pStyle w:val="Heading3"/>
        <w:spacing w:before="100" w:after="80"/>
        <w:keepNext/>
      </w:pPr>
      <w:r>
        <w:rPr>
          <w:rFonts w:ascii="Arial" w:hAnsi="Arial" w:eastAsia="Arial"/>
          <w:b/>
          <w:color w:val="17365D"/>
          <w:sz w:val="23"/>
        </w:rPr>
        <w:t>Why Each Option Is Correct or Incorrect</w:t>
      </w:r>
    </w:p>
    <w:p>
      <w:pPr>
        <w:spacing w:after="60" w:line="250" w:lineRule="auto"/>
        <w:ind w:left="173" w:hanging="173"/>
      </w:pPr>
      <w:r>
        <w:rPr>
          <w:rFonts w:ascii="Arial" w:hAnsi="Arial" w:eastAsia="Arial"/>
          <w:b/>
          <w:color w:val="17365D"/>
          <w:sz w:val="20"/>
        </w:rPr>
        <w:t xml:space="preserve">A. </w:t>
      </w:r>
      <w:r>
        <w:rPr>
          <w:rFonts w:ascii="Arial" w:hAnsi="Arial" w:eastAsia="Arial"/>
          <w:b/>
          <w:color w:val="1F2937"/>
          <w:sz w:val="20"/>
        </w:rPr>
        <w:t xml:space="preserve">Incorrect. </w:t>
      </w:r>
      <w:r>
        <w:rPr>
          <w:rFonts w:ascii="Arial" w:hAnsi="Arial" w:eastAsia="Arial"/>
          <w:color w:val="1F2937"/>
          <w:sz w:val="20"/>
        </w:rPr>
        <w:t>Treatment should not be continued solely to eliminate every symptom or override client preference.</w:t>
      </w:r>
    </w:p>
    <w:p>
      <w:pPr>
        <w:spacing w:after="60" w:line="250" w:lineRule="auto"/>
        <w:ind w:left="173" w:hanging="173"/>
      </w:pPr>
      <w:r>
        <w:rPr>
          <w:rFonts w:ascii="Arial" w:hAnsi="Arial" w:eastAsia="Arial"/>
          <w:b/>
          <w:color w:val="17365D"/>
          <w:sz w:val="20"/>
        </w:rPr>
        <w:t xml:space="preserve">B. </w:t>
      </w:r>
      <w:r>
        <w:rPr>
          <w:rFonts w:ascii="Arial" w:hAnsi="Arial" w:eastAsia="Arial"/>
          <w:b/>
          <w:color w:val="1F2937"/>
          <w:sz w:val="20"/>
        </w:rPr>
        <w:t xml:space="preserve">Incorrect. </w:t>
      </w:r>
      <w:r>
        <w:rPr>
          <w:rFonts w:ascii="Arial" w:hAnsi="Arial" w:eastAsia="Arial"/>
          <w:color w:val="1F2937"/>
          <w:sz w:val="20"/>
        </w:rPr>
        <w:t>Client choice matters, but responsible termination includes review, planning, and continuity considerations.</w:t>
      </w:r>
    </w:p>
    <w:p>
      <w:pPr>
        <w:spacing w:after="60" w:line="250" w:lineRule="auto"/>
        <w:ind w:left="173" w:hanging="173"/>
      </w:pPr>
      <w:r>
        <w:rPr>
          <w:rFonts w:ascii="Arial" w:hAnsi="Arial" w:eastAsia="Arial"/>
          <w:b/>
          <w:color w:val="17365D"/>
          <w:sz w:val="20"/>
        </w:rPr>
        <w:t xml:space="preserve">C. </w:t>
      </w:r>
      <w:r>
        <w:rPr>
          <w:rFonts w:ascii="Arial" w:hAnsi="Arial" w:eastAsia="Arial"/>
          <w:b/>
          <w:color w:val="1F2937"/>
          <w:sz w:val="20"/>
        </w:rPr>
        <w:t xml:space="preserve">Incorrect. </w:t>
      </w:r>
      <w:r>
        <w:rPr>
          <w:rFonts w:ascii="Arial" w:hAnsi="Arial" w:eastAsia="Arial"/>
          <w:color w:val="1F2937"/>
          <w:sz w:val="20"/>
        </w:rPr>
        <w:t>Relapse planning is clinically relevant and can strengthen rather than undermine confidence.</w:t>
      </w:r>
    </w:p>
    <w:p>
      <w:pPr>
        <w:spacing w:after="60" w:line="250" w:lineRule="auto"/>
        <w:ind w:left="173" w:hanging="173"/>
      </w:pPr>
      <w:r>
        <w:rPr>
          <w:rFonts w:ascii="Arial" w:hAnsi="Arial" w:eastAsia="Arial"/>
          <w:b/>
          <w:color w:val="1F7A8C"/>
          <w:sz w:val="20"/>
        </w:rPr>
        <w:t xml:space="preserve">D. </w:t>
      </w:r>
      <w:r>
        <w:rPr>
          <w:rFonts w:ascii="Arial" w:hAnsi="Arial" w:eastAsia="Arial"/>
          <w:b/>
          <w:color w:val="1F7A8C"/>
          <w:sz w:val="20"/>
        </w:rPr>
        <w:t xml:space="preserve">Correct. </w:t>
      </w:r>
      <w:r>
        <w:rPr>
          <w:rFonts w:ascii="Arial" w:hAnsi="Arial" w:eastAsia="Arial"/>
          <w:color w:val="1F2937"/>
          <w:sz w:val="20"/>
        </w:rPr>
        <w:t>This integrates autonomy, progress review, maintenance planning, access, and responsible termination.</w:t>
      </w:r>
    </w:p>
    <w:tbl>
      <w:tblPr>
        <w:tblW w:type="auto" w:w="0"/>
        <w:jc w:val="center"/>
        <w:tblLook w:firstColumn="1" w:firstRow="1" w:lastColumn="0" w:lastRow="0" w:noHBand="0" w:noVBand="1" w:val="04A0"/>
      </w:tblPr>
      <w:tblGrid>
        <w:gridCol w:w="10310"/>
      </w:tblGrid>
      <w:tr>
        <w:trPr>
          <w:cantSplit/>
          <w:tblHeader w:val="true"/>
        </w:trPr>
        <w:tc>
          <w:tcPr>
            <w:tcW w:type="dxa" w:w="10310"/>
            <w:shd w:fill="E7F3F3"/>
            <w:tcBorders>
              <w:top w:val="single" w:sz="10" w:color="159C9C"/>
              <w:left w:val="single" w:sz="10" w:color="159C9C"/>
              <w:bottom w:val="single" w:sz="10" w:color="159C9C"/>
              <w:right w:val="single" w:sz="10" w:color="159C9C"/>
            </w:tcBorders>
            <w:tcMar>
              <w:top w:w="110" w:type="dxa"/>
              <w:start w:w="140" w:type="dxa"/>
              <w:bottom w:w="110" w:type="dxa"/>
              <w:end w:w="140" w:type="dxa"/>
            </w:tcMar>
          </w:tcPr>
          <w:p>
            <w:pPr>
              <w:spacing w:after="60"/>
            </w:pPr>
            <w:r>
              <w:rPr>
                <w:rFonts w:ascii="Arial" w:hAnsi="Arial" w:eastAsia="Arial"/>
                <w:b/>
                <w:color w:val="1F7A8C"/>
                <w:sz w:val="21"/>
              </w:rPr>
              <w:t>CTA EXAM STRATEGY</w:t>
            </w:r>
          </w:p>
          <w:p>
            <w:pPr>
              <w:spacing w:after="20" w:line="250" w:lineRule="auto"/>
            </w:pPr>
            <w:r>
              <w:rPr>
                <w:rFonts w:ascii="Arial" w:hAnsi="Arial" w:eastAsia="Arial"/>
                <w:color w:val="1F2937"/>
                <w:sz w:val="19"/>
              </w:rPr>
              <w:t>Termination is a clinical phase, not simply the last appointment. The strongest answer combines progress review, client preference, maintenance, and continuity.</w:t>
            </w:r>
          </w:p>
        </w:tc>
      </w:tr>
    </w:tbl>
    <w:p>
      <w:pPr>
        <w:spacing w:after="0"/>
      </w:pPr>
    </w:p>
    <w:tbl>
      <w:tblPr>
        <w:tblW w:type="auto" w:w="0"/>
        <w:jc w:val="center"/>
        <w:tblLook w:firstColumn="1" w:firstRow="1" w:lastColumn="0" w:lastRow="0" w:noHBand="0" w:noVBand="1" w:val="04A0"/>
      </w:tblPr>
      <w:tblGrid>
        <w:gridCol w:w="10310"/>
      </w:tblGrid>
      <w:tr>
        <w:trPr>
          <w:cantSplit/>
          <w:tblHeader w:val="true"/>
        </w:trPr>
        <w:tc>
          <w:tcPr>
            <w:tcW w:type="dxa" w:w="10310"/>
            <w:shd w:fill="EAF0F7"/>
            <w:tcBorders>
              <w:top w:val="single" w:sz="10" w:color="1F4E78"/>
              <w:left w:val="single" w:sz="10" w:color="1F4E78"/>
              <w:bottom w:val="single" w:sz="10" w:color="1F4E78"/>
              <w:right w:val="single" w:sz="10" w:color="1F4E78"/>
            </w:tcBorders>
            <w:tcMar>
              <w:top w:w="110" w:type="dxa"/>
              <w:start w:w="140" w:type="dxa"/>
              <w:bottom w:w="110" w:type="dxa"/>
              <w:end w:w="140" w:type="dxa"/>
            </w:tcMar>
          </w:tcPr>
          <w:p>
            <w:pPr>
              <w:spacing w:after="60"/>
            </w:pPr>
            <w:r>
              <w:rPr>
                <w:rFonts w:ascii="Arial" w:hAnsi="Arial" w:eastAsia="Arial"/>
                <w:b/>
                <w:color w:val="17365D"/>
                <w:sz w:val="21"/>
              </w:rPr>
              <w:t>LIKELY ERROR CODE</w:t>
            </w:r>
          </w:p>
          <w:p>
            <w:pPr>
              <w:spacing w:after="20" w:line="250" w:lineRule="auto"/>
            </w:pPr>
            <w:r>
              <w:rPr>
                <w:rFonts w:ascii="Arial" w:hAnsi="Arial" w:eastAsia="Arial"/>
                <w:color w:val="1F2937"/>
                <w:sz w:val="19"/>
              </w:rPr>
              <w:t>S - Sequence / timing. When goals improve and termination is requested, shift from active treatment to maintenance and continuity planning.</w:t>
            </w:r>
          </w:p>
        </w:tc>
      </w:tr>
    </w:tbl>
    <w:p>
      <w:pPr>
        <w:spacing w:after="0"/>
      </w:pPr>
    </w:p>
    <w:p>
      <w:r>
        <w:br w:type="page"/>
      </w:r>
    </w:p>
    <w:p>
      <w:pPr>
        <w:pStyle w:val="Heading2"/>
        <w:spacing w:before="0" w:after="60"/>
      </w:pPr>
      <w:r>
        <w:rPr>
          <w:rFonts w:ascii="Arial" w:hAnsi="Arial" w:eastAsia="Arial"/>
          <w:b/>
          <w:color w:val="159C9C"/>
          <w:sz w:val="26"/>
        </w:rPr>
        <w:t>Question 15 (LPCC-WB01-PB-Q015)</w:t>
      </w:r>
    </w:p>
    <w:p>
      <w:pPr>
        <w:spacing w:before="100" w:after="40"/>
        <w:keepNext/>
      </w:pPr>
      <w:r>
        <w:rPr>
          <w:rFonts w:ascii="Arial" w:hAnsi="Arial" w:eastAsia="Arial"/>
          <w:b/>
          <w:color w:val="1F7A8C"/>
          <w:sz w:val="17"/>
        </w:rPr>
        <w:t>LPCC-WB01-PB-Q015 | Integrated Clinical Reasoning | Difficult | Primary concept: Reassessment when risk changes</w:t>
      </w:r>
    </w:p>
    <w:p>
      <w:pPr>
        <w:spacing w:after="60" w:line="250" w:lineRule="auto"/>
      </w:pPr>
      <w:r>
        <w:rPr>
          <w:rFonts w:ascii="Arial" w:hAnsi="Arial" w:eastAsia="Arial"/>
          <w:b/>
          <w:color w:val="1F2937"/>
          <w:sz w:val="20"/>
        </w:rPr>
        <w:t>During the planned final session, Maya says the passive wish not to wake up briefly returned after a conflict the previous night, although she denies a current plan or intent. What should the counselor do FIRST?</w:t>
      </w:r>
    </w:p>
    <w:p>
      <w:pPr>
        <w:spacing w:after="40"/>
        <w:ind w:left="230" w:hanging="230"/>
      </w:pPr>
      <w:r>
        <w:rPr>
          <w:rFonts w:ascii="Arial" w:hAnsi="Arial" w:eastAsia="Arial"/>
          <w:sz w:val="20"/>
        </w:rPr>
        <w:t>A. Conduct a current suicide-risk reassessment and use the findings to update the safety and disposition plan before proceeding with termination.</w:t>
      </w:r>
    </w:p>
    <w:p>
      <w:pPr>
        <w:spacing w:after="40"/>
        <w:ind w:left="230" w:hanging="230"/>
      </w:pPr>
      <w:r>
        <w:rPr>
          <w:rFonts w:ascii="Arial" w:hAnsi="Arial" w:eastAsia="Arial"/>
          <w:sz w:val="20"/>
        </w:rPr>
        <w:t>B. Continue the planned termination because Maya denied current intent.</w:t>
      </w:r>
    </w:p>
    <w:p>
      <w:pPr>
        <w:spacing w:after="40"/>
        <w:ind w:left="230" w:hanging="230"/>
      </w:pPr>
      <w:r>
        <w:rPr>
          <w:rFonts w:ascii="Arial" w:hAnsi="Arial" w:eastAsia="Arial"/>
          <w:sz w:val="20"/>
        </w:rPr>
        <w:t>C. Assume the risk level is unchanged because an earlier assessment found low acute risk.</w:t>
      </w:r>
    </w:p>
    <w:p>
      <w:pPr>
        <w:spacing w:after="40"/>
        <w:ind w:left="230" w:hanging="230"/>
      </w:pPr>
      <w:r>
        <w:rPr>
          <w:rFonts w:ascii="Arial" w:hAnsi="Arial" w:eastAsia="Arial"/>
          <w:sz w:val="20"/>
        </w:rPr>
        <w:t>D. Arrange involuntary hospitalization without asking any additional questions.</w:t>
      </w:r>
    </w:p>
    <w:tbl>
      <w:tblPr>
        <w:tblW w:type="auto" w:w="0"/>
        <w:jc w:val="center"/>
        <w:tblLook w:firstColumn="1" w:firstRow="1" w:lastColumn="0" w:lastRow="0" w:noHBand="0" w:noVBand="1" w:val="04A0"/>
      </w:tblPr>
      <w:tblGrid>
        <w:gridCol w:w="10310"/>
      </w:tblGrid>
      <w:tr>
        <w:trPr>
          <w:cantSplit/>
          <w:tblHeader w:val="true"/>
        </w:trPr>
        <w:tc>
          <w:tcPr>
            <w:tcW w:type="dxa" w:w="10310"/>
            <w:shd w:fill="E7F2EA"/>
            <w:tcBorders>
              <w:top w:val="single" w:sz="10" w:color="1F7A8C"/>
              <w:left w:val="single" w:sz="10" w:color="1F7A8C"/>
              <w:bottom w:val="single" w:sz="10" w:color="1F7A8C"/>
              <w:right w:val="single" w:sz="10" w:color="1F7A8C"/>
            </w:tcBorders>
            <w:tcMar>
              <w:top w:w="110" w:type="dxa"/>
              <w:start w:w="140" w:type="dxa"/>
              <w:bottom w:w="110" w:type="dxa"/>
              <w:end w:w="140" w:type="dxa"/>
            </w:tcMar>
          </w:tcPr>
          <w:p>
            <w:pPr>
              <w:spacing w:after="60"/>
            </w:pPr>
            <w:r>
              <w:rPr>
                <w:rFonts w:ascii="Arial" w:hAnsi="Arial" w:eastAsia="Arial"/>
                <w:b/>
                <w:color w:val="17365D"/>
                <w:sz w:val="21"/>
              </w:rPr>
              <w:t>CORRECT ANSWER</w:t>
            </w:r>
          </w:p>
          <w:p>
            <w:pPr>
              <w:spacing w:after="20" w:line="250" w:lineRule="auto"/>
            </w:pPr>
            <w:r>
              <w:rPr>
                <w:rFonts w:ascii="Arial" w:hAnsi="Arial" w:eastAsia="Arial"/>
                <w:color w:val="1F2937"/>
                <w:sz w:val="20"/>
              </w:rPr>
              <w:t>A. Conduct a current suicide-risk reassessment and use the findings to update the safety and disposition plan before proceeding with termination.</w:t>
            </w:r>
          </w:p>
        </w:tc>
      </w:tr>
    </w:tbl>
    <w:p>
      <w:pPr>
        <w:spacing w:after="0"/>
      </w:pPr>
    </w:p>
    <w:p>
      <w:pPr>
        <w:pStyle w:val="Heading3"/>
        <w:spacing w:before="100" w:after="80"/>
        <w:keepNext/>
      </w:pPr>
      <w:r>
        <w:rPr>
          <w:rFonts w:ascii="Arial" w:hAnsi="Arial" w:eastAsia="Arial"/>
          <w:b/>
          <w:color w:val="17365D"/>
          <w:sz w:val="23"/>
        </w:rPr>
        <w:t>Why Each Option Is Correct or Incorrect</w:t>
      </w:r>
    </w:p>
    <w:p>
      <w:pPr>
        <w:spacing w:after="60" w:line="250" w:lineRule="auto"/>
        <w:ind w:left="173" w:hanging="173"/>
      </w:pPr>
      <w:r>
        <w:rPr>
          <w:rFonts w:ascii="Arial" w:hAnsi="Arial" w:eastAsia="Arial"/>
          <w:b/>
          <w:color w:val="1F7A8C"/>
          <w:sz w:val="20"/>
        </w:rPr>
        <w:t xml:space="preserve">A. </w:t>
      </w:r>
      <w:r>
        <w:rPr>
          <w:rFonts w:ascii="Arial" w:hAnsi="Arial" w:eastAsia="Arial"/>
          <w:b/>
          <w:color w:val="1F7A8C"/>
          <w:sz w:val="20"/>
        </w:rPr>
        <w:t xml:space="preserve">Correct. </w:t>
      </w:r>
      <w:r>
        <w:rPr>
          <w:rFonts w:ascii="Arial" w:hAnsi="Arial" w:eastAsia="Arial"/>
          <w:color w:val="1F2937"/>
          <w:sz w:val="20"/>
        </w:rPr>
        <w:t>New risk information requires a current assessment. The counselor must determine what changed before deciding whether termination, continued outpatient care, or a higher level of care is appropriate.</w:t>
      </w:r>
    </w:p>
    <w:p>
      <w:pPr>
        <w:spacing w:after="60" w:line="250" w:lineRule="auto"/>
        <w:ind w:left="173" w:hanging="173"/>
      </w:pPr>
      <w:r>
        <w:rPr>
          <w:rFonts w:ascii="Arial" w:hAnsi="Arial" w:eastAsia="Arial"/>
          <w:b/>
          <w:color w:val="17365D"/>
          <w:sz w:val="20"/>
        </w:rPr>
        <w:t xml:space="preserve">B. </w:t>
      </w:r>
      <w:r>
        <w:rPr>
          <w:rFonts w:ascii="Arial" w:hAnsi="Arial" w:eastAsia="Arial"/>
          <w:b/>
          <w:color w:val="1F2937"/>
          <w:sz w:val="20"/>
        </w:rPr>
        <w:t xml:space="preserve">Incorrect. </w:t>
      </w:r>
      <w:r>
        <w:rPr>
          <w:rFonts w:ascii="Arial" w:hAnsi="Arial" w:eastAsia="Arial"/>
          <w:color w:val="1F2937"/>
          <w:sz w:val="20"/>
        </w:rPr>
        <w:t>Denial of current intent is important but not sufficient to skip reassessment after a recurrence.</w:t>
      </w:r>
    </w:p>
    <w:p>
      <w:pPr>
        <w:spacing w:after="60" w:line="250" w:lineRule="auto"/>
        <w:ind w:left="173" w:hanging="173"/>
      </w:pPr>
      <w:r>
        <w:rPr>
          <w:rFonts w:ascii="Arial" w:hAnsi="Arial" w:eastAsia="Arial"/>
          <w:b/>
          <w:color w:val="17365D"/>
          <w:sz w:val="20"/>
        </w:rPr>
        <w:t xml:space="preserve">C. </w:t>
      </w:r>
      <w:r>
        <w:rPr>
          <w:rFonts w:ascii="Arial" w:hAnsi="Arial" w:eastAsia="Arial"/>
          <w:b/>
          <w:color w:val="1F2937"/>
          <w:sz w:val="20"/>
        </w:rPr>
        <w:t xml:space="preserve">Incorrect. </w:t>
      </w:r>
      <w:r>
        <w:rPr>
          <w:rFonts w:ascii="Arial" w:hAnsi="Arial" w:eastAsia="Arial"/>
          <w:color w:val="1F2937"/>
          <w:sz w:val="20"/>
        </w:rPr>
        <w:t>Risk is dynamic. A prior low-risk conclusion cannot substitute for current assessment.</w:t>
      </w:r>
    </w:p>
    <w:p>
      <w:pPr>
        <w:spacing w:after="60" w:line="250" w:lineRule="auto"/>
        <w:ind w:left="173" w:hanging="173"/>
      </w:pPr>
      <w:r>
        <w:rPr>
          <w:rFonts w:ascii="Arial" w:hAnsi="Arial" w:eastAsia="Arial"/>
          <w:b/>
          <w:color w:val="17365D"/>
          <w:sz w:val="20"/>
        </w:rPr>
        <w:t xml:space="preserve">D. </w:t>
      </w:r>
      <w:r>
        <w:rPr>
          <w:rFonts w:ascii="Arial" w:hAnsi="Arial" w:eastAsia="Arial"/>
          <w:b/>
          <w:color w:val="1F2937"/>
          <w:sz w:val="20"/>
        </w:rPr>
        <w:t xml:space="preserve">Incorrect. </w:t>
      </w:r>
      <w:r>
        <w:rPr>
          <w:rFonts w:ascii="Arial" w:hAnsi="Arial" w:eastAsia="Arial"/>
          <w:color w:val="1F2937"/>
          <w:sz w:val="20"/>
        </w:rPr>
        <w:t>Automatic hospitalization is premature and disproportionate without a current risk and legal/clinical evaluation.</w:t>
      </w:r>
    </w:p>
    <w:tbl>
      <w:tblPr>
        <w:tblW w:type="auto" w:w="0"/>
        <w:jc w:val="center"/>
        <w:tblLook w:firstColumn="1" w:firstRow="1" w:lastColumn="0" w:lastRow="0" w:noHBand="0" w:noVBand="1" w:val="04A0"/>
      </w:tblPr>
      <w:tblGrid>
        <w:gridCol w:w="10310"/>
      </w:tblGrid>
      <w:tr>
        <w:trPr>
          <w:cantSplit/>
          <w:tblHeader w:val="true"/>
        </w:trPr>
        <w:tc>
          <w:tcPr>
            <w:tcW w:type="dxa" w:w="10310"/>
            <w:shd w:fill="E7F3F3"/>
            <w:tcBorders>
              <w:top w:val="single" w:sz="10" w:color="159C9C"/>
              <w:left w:val="single" w:sz="10" w:color="159C9C"/>
              <w:bottom w:val="single" w:sz="10" w:color="159C9C"/>
              <w:right w:val="single" w:sz="10" w:color="159C9C"/>
            </w:tcBorders>
            <w:tcMar>
              <w:top w:w="110" w:type="dxa"/>
              <w:start w:w="140" w:type="dxa"/>
              <w:bottom w:w="110" w:type="dxa"/>
              <w:end w:w="140" w:type="dxa"/>
            </w:tcMar>
          </w:tcPr>
          <w:p>
            <w:pPr>
              <w:spacing w:after="60"/>
            </w:pPr>
            <w:r>
              <w:rPr>
                <w:rFonts w:ascii="Arial" w:hAnsi="Arial" w:eastAsia="Arial"/>
                <w:b/>
                <w:color w:val="1F7A8C"/>
                <w:sz w:val="21"/>
              </w:rPr>
              <w:t>CTA EXAM STRATEGY</w:t>
            </w:r>
          </w:p>
          <w:p>
            <w:pPr>
              <w:spacing w:after="20" w:line="250" w:lineRule="auto"/>
            </w:pPr>
            <w:r>
              <w:rPr>
                <w:rFonts w:ascii="Arial" w:hAnsi="Arial" w:eastAsia="Arial"/>
                <w:color w:val="1F2937"/>
                <w:sz w:val="19"/>
              </w:rPr>
              <w:t>A later section can change the priority. When new safety information appears, return to SAFER: reassess before continuing the prior plan.</w:t>
            </w:r>
          </w:p>
        </w:tc>
      </w:tr>
    </w:tbl>
    <w:p>
      <w:pPr>
        <w:spacing w:after="0"/>
      </w:pPr>
    </w:p>
    <w:tbl>
      <w:tblPr>
        <w:tblW w:type="auto" w:w="0"/>
        <w:jc w:val="center"/>
        <w:tblLook w:firstColumn="1" w:firstRow="1" w:lastColumn="0" w:lastRow="0" w:noHBand="0" w:noVBand="1" w:val="04A0"/>
      </w:tblPr>
      <w:tblGrid>
        <w:gridCol w:w="10310"/>
      </w:tblGrid>
      <w:tr>
        <w:trPr>
          <w:cantSplit/>
          <w:tblHeader w:val="true"/>
        </w:trPr>
        <w:tc>
          <w:tcPr>
            <w:tcW w:type="dxa" w:w="10310"/>
            <w:shd w:fill="EAF0F7"/>
            <w:tcBorders>
              <w:top w:val="single" w:sz="10" w:color="1F4E78"/>
              <w:left w:val="single" w:sz="10" w:color="1F4E78"/>
              <w:bottom w:val="single" w:sz="10" w:color="1F4E78"/>
              <w:right w:val="single" w:sz="10" w:color="1F4E78"/>
            </w:tcBorders>
            <w:tcMar>
              <w:top w:w="110" w:type="dxa"/>
              <w:start w:w="140" w:type="dxa"/>
              <w:bottom w:w="110" w:type="dxa"/>
              <w:end w:w="140" w:type="dxa"/>
            </w:tcMar>
          </w:tcPr>
          <w:p>
            <w:pPr>
              <w:spacing w:after="60"/>
            </w:pPr>
            <w:r>
              <w:rPr>
                <w:rFonts w:ascii="Arial" w:hAnsi="Arial" w:eastAsia="Arial"/>
                <w:b/>
                <w:color w:val="17365D"/>
                <w:sz w:val="21"/>
              </w:rPr>
              <w:t>LIKELY ERROR CODE</w:t>
            </w:r>
          </w:p>
          <w:p>
            <w:pPr>
              <w:spacing w:after="20" w:line="250" w:lineRule="auto"/>
            </w:pPr>
            <w:r>
              <w:rPr>
                <w:rFonts w:ascii="Arial" w:hAnsi="Arial" w:eastAsia="Arial"/>
                <w:color w:val="1F2937"/>
                <w:sz w:val="19"/>
              </w:rPr>
              <w:t>R - Risk / safety / duty. Treat risk as dynamic and reassess when the client’s current presentation changes.</w:t>
            </w:r>
          </w:p>
        </w:tc>
      </w:tr>
    </w:tbl>
    <w:p>
      <w:pPr>
        <w:spacing w:after="0"/>
      </w:pPr>
    </w:p>
    <w:p>
      <w:r>
        <w:br w:type="page"/>
      </w:r>
    </w:p>
    <w:p>
      <w:pPr>
        <w:pStyle w:val="Heading2"/>
        <w:spacing w:before="0" w:after="60"/>
      </w:pPr>
      <w:r>
        <w:rPr>
          <w:rFonts w:ascii="Arial" w:hAnsi="Arial" w:eastAsia="Arial"/>
          <w:b/>
          <w:color w:val="159C9C"/>
          <w:sz w:val="26"/>
        </w:rPr>
        <w:t>Question 16 (LPCC-WB01-PB-Q016)</w:t>
      </w:r>
    </w:p>
    <w:p>
      <w:pPr>
        <w:spacing w:before="100" w:after="40"/>
        <w:keepNext/>
      </w:pPr>
      <w:r>
        <w:rPr>
          <w:rFonts w:ascii="Arial" w:hAnsi="Arial" w:eastAsia="Arial"/>
          <w:b/>
          <w:color w:val="1F7A8C"/>
          <w:sz w:val="17"/>
        </w:rPr>
        <w:t>LPCC-WB01-PB-Q016 | Integrated Clinical Reasoning | Difficult | Primary concept: Revising termination after changed risk</w:t>
      </w:r>
    </w:p>
    <w:p>
      <w:pPr>
        <w:spacing w:after="60" w:line="250" w:lineRule="auto"/>
      </w:pPr>
      <w:r>
        <w:rPr>
          <w:rFonts w:ascii="Arial" w:hAnsi="Arial" w:eastAsia="Arial"/>
          <w:b/>
          <w:color w:val="1F2937"/>
          <w:sz w:val="20"/>
        </w:rPr>
        <w:t>The reassessment finds no current intent or plan, but passive thoughts are occurring more often, sleep has worsened, and Maya is less certain she can use her supports. What is the PRIMARY planning decision?</w:t>
      </w:r>
    </w:p>
    <w:p>
      <w:pPr>
        <w:spacing w:after="40"/>
        <w:ind w:left="230" w:hanging="230"/>
      </w:pPr>
      <w:r>
        <w:rPr>
          <w:rFonts w:ascii="Arial" w:hAnsi="Arial" w:eastAsia="Arial"/>
          <w:sz w:val="20"/>
        </w:rPr>
        <w:t>A. Proceed with termination because the original treatment goals were largely met.</w:t>
      </w:r>
    </w:p>
    <w:p>
      <w:pPr>
        <w:spacing w:after="40"/>
        <w:ind w:left="230" w:hanging="230"/>
      </w:pPr>
      <w:r>
        <w:rPr>
          <w:rFonts w:ascii="Arial" w:hAnsi="Arial" w:eastAsia="Arial"/>
          <w:sz w:val="20"/>
        </w:rPr>
        <w:t>B. Discontinue telehealth permanently because all risk requires in-person treatment.</w:t>
      </w:r>
    </w:p>
    <w:p>
      <w:pPr>
        <w:spacing w:after="40"/>
        <w:ind w:left="230" w:hanging="230"/>
      </w:pPr>
      <w:r>
        <w:rPr>
          <w:rFonts w:ascii="Arial" w:hAnsi="Arial" w:eastAsia="Arial"/>
          <w:sz w:val="20"/>
        </w:rPr>
        <w:t>C. Revise the termination and treatment plan, update the safety plan, increase monitoring and coordination as indicated, and determine the appropriate level of care from the current risk picture.</w:t>
      </w:r>
    </w:p>
    <w:p>
      <w:pPr>
        <w:spacing w:after="40"/>
        <w:ind w:left="230" w:hanging="230"/>
      </w:pPr>
      <w:r>
        <w:rPr>
          <w:rFonts w:ascii="Arial" w:hAnsi="Arial" w:eastAsia="Arial"/>
          <w:sz w:val="20"/>
        </w:rPr>
        <w:t>D. Hospitalize Maya involuntarily in every circumstance involving recurrent passive thoughts.</w:t>
      </w:r>
    </w:p>
    <w:tbl>
      <w:tblPr>
        <w:tblW w:type="auto" w:w="0"/>
        <w:jc w:val="center"/>
        <w:tblLook w:firstColumn="1" w:firstRow="1" w:lastColumn="0" w:lastRow="0" w:noHBand="0" w:noVBand="1" w:val="04A0"/>
      </w:tblPr>
      <w:tblGrid>
        <w:gridCol w:w="10310"/>
      </w:tblGrid>
      <w:tr>
        <w:trPr>
          <w:cantSplit/>
          <w:tblHeader w:val="true"/>
        </w:trPr>
        <w:tc>
          <w:tcPr>
            <w:tcW w:type="dxa" w:w="10310"/>
            <w:shd w:fill="E7F2EA"/>
            <w:tcBorders>
              <w:top w:val="single" w:sz="10" w:color="1F7A8C"/>
              <w:left w:val="single" w:sz="10" w:color="1F7A8C"/>
              <w:bottom w:val="single" w:sz="10" w:color="1F7A8C"/>
              <w:right w:val="single" w:sz="10" w:color="1F7A8C"/>
            </w:tcBorders>
            <w:tcMar>
              <w:top w:w="110" w:type="dxa"/>
              <w:start w:w="140" w:type="dxa"/>
              <w:bottom w:w="110" w:type="dxa"/>
              <w:end w:w="140" w:type="dxa"/>
            </w:tcMar>
          </w:tcPr>
          <w:p>
            <w:pPr>
              <w:spacing w:after="60"/>
            </w:pPr>
            <w:r>
              <w:rPr>
                <w:rFonts w:ascii="Arial" w:hAnsi="Arial" w:eastAsia="Arial"/>
                <w:b/>
                <w:color w:val="17365D"/>
                <w:sz w:val="21"/>
              </w:rPr>
              <w:t>CORRECT ANSWER</w:t>
            </w:r>
          </w:p>
          <w:p>
            <w:pPr>
              <w:spacing w:after="20" w:line="250" w:lineRule="auto"/>
            </w:pPr>
            <w:r>
              <w:rPr>
                <w:rFonts w:ascii="Arial" w:hAnsi="Arial" w:eastAsia="Arial"/>
                <w:color w:val="1F2937"/>
                <w:sz w:val="20"/>
              </w:rPr>
              <w:t>C. Revise the termination and treatment plan, update the safety plan, increase monitoring and coordination as indicated, and determine the appropriate level of care from the current risk picture.</w:t>
            </w:r>
          </w:p>
        </w:tc>
      </w:tr>
    </w:tbl>
    <w:p>
      <w:pPr>
        <w:spacing w:after="0"/>
      </w:pPr>
    </w:p>
    <w:p>
      <w:pPr>
        <w:pStyle w:val="Heading3"/>
        <w:spacing w:before="100" w:after="80"/>
        <w:keepNext/>
      </w:pPr>
      <w:r>
        <w:rPr>
          <w:rFonts w:ascii="Arial" w:hAnsi="Arial" w:eastAsia="Arial"/>
          <w:b/>
          <w:color w:val="17365D"/>
          <w:sz w:val="23"/>
        </w:rPr>
        <w:t>Why Each Option Is Correct or Incorrect</w:t>
      </w:r>
    </w:p>
    <w:p>
      <w:pPr>
        <w:spacing w:after="60" w:line="250" w:lineRule="auto"/>
        <w:ind w:left="173" w:hanging="173"/>
      </w:pPr>
      <w:r>
        <w:rPr>
          <w:rFonts w:ascii="Arial" w:hAnsi="Arial" w:eastAsia="Arial"/>
          <w:b/>
          <w:color w:val="17365D"/>
          <w:sz w:val="20"/>
        </w:rPr>
        <w:t xml:space="preserve">A. </w:t>
      </w:r>
      <w:r>
        <w:rPr>
          <w:rFonts w:ascii="Arial" w:hAnsi="Arial" w:eastAsia="Arial"/>
          <w:b/>
          <w:color w:val="1F2937"/>
          <w:sz w:val="20"/>
        </w:rPr>
        <w:t xml:space="preserve">Incorrect. </w:t>
      </w:r>
      <w:r>
        <w:rPr>
          <w:rFonts w:ascii="Arial" w:hAnsi="Arial" w:eastAsia="Arial"/>
          <w:color w:val="1F2937"/>
          <w:sz w:val="20"/>
        </w:rPr>
        <w:t>Earlier progress does not override current deterioration. Proceeding unchanged would underreact to new evidence.</w:t>
      </w:r>
    </w:p>
    <w:p>
      <w:pPr>
        <w:spacing w:after="60" w:line="250" w:lineRule="auto"/>
        <w:ind w:left="173" w:hanging="173"/>
      </w:pPr>
      <w:r>
        <w:rPr>
          <w:rFonts w:ascii="Arial" w:hAnsi="Arial" w:eastAsia="Arial"/>
          <w:b/>
          <w:color w:val="17365D"/>
          <w:sz w:val="20"/>
        </w:rPr>
        <w:t xml:space="preserve">B. </w:t>
      </w:r>
      <w:r>
        <w:rPr>
          <w:rFonts w:ascii="Arial" w:hAnsi="Arial" w:eastAsia="Arial"/>
          <w:b/>
          <w:color w:val="1F2937"/>
          <w:sz w:val="20"/>
        </w:rPr>
        <w:t xml:space="preserve">Incorrect. </w:t>
      </w:r>
      <w:r>
        <w:rPr>
          <w:rFonts w:ascii="Arial" w:hAnsi="Arial" w:eastAsia="Arial"/>
          <w:color w:val="1F2937"/>
          <w:sz w:val="20"/>
        </w:rPr>
        <w:t>Telehealth is not automatically inappropriate for every client with risk. Modality decisions require individualized assessment, capability, jurisdiction, and safety planning.</w:t>
      </w:r>
    </w:p>
    <w:p>
      <w:pPr>
        <w:spacing w:after="60" w:line="250" w:lineRule="auto"/>
        <w:ind w:left="173" w:hanging="173"/>
      </w:pPr>
      <w:r>
        <w:rPr>
          <w:rFonts w:ascii="Arial" w:hAnsi="Arial" w:eastAsia="Arial"/>
          <w:b/>
          <w:color w:val="1F7A8C"/>
          <w:sz w:val="20"/>
        </w:rPr>
        <w:t xml:space="preserve">C. </w:t>
      </w:r>
      <w:r>
        <w:rPr>
          <w:rFonts w:ascii="Arial" w:hAnsi="Arial" w:eastAsia="Arial"/>
          <w:b/>
          <w:color w:val="1F7A8C"/>
          <w:sz w:val="20"/>
        </w:rPr>
        <w:t xml:space="preserve">Correct. </w:t>
      </w:r>
      <w:r>
        <w:rPr>
          <w:rFonts w:ascii="Arial" w:hAnsi="Arial" w:eastAsia="Arial"/>
          <w:color w:val="1F2937"/>
          <w:sz w:val="20"/>
        </w:rPr>
        <w:t>This is proportionate and responsive. It pauses the prior termination trajectory and bases continuity and level-of-care decisions on current findings.</w:t>
      </w:r>
    </w:p>
    <w:p>
      <w:pPr>
        <w:spacing w:after="60" w:line="250" w:lineRule="auto"/>
        <w:ind w:left="173" w:hanging="173"/>
      </w:pPr>
      <w:r>
        <w:rPr>
          <w:rFonts w:ascii="Arial" w:hAnsi="Arial" w:eastAsia="Arial"/>
          <w:b/>
          <w:color w:val="17365D"/>
          <w:sz w:val="20"/>
        </w:rPr>
        <w:t xml:space="preserve">D. </w:t>
      </w:r>
      <w:r>
        <w:rPr>
          <w:rFonts w:ascii="Arial" w:hAnsi="Arial" w:eastAsia="Arial"/>
          <w:b/>
          <w:color w:val="1F2937"/>
          <w:sz w:val="20"/>
        </w:rPr>
        <w:t xml:space="preserve">Incorrect. </w:t>
      </w:r>
      <w:r>
        <w:rPr>
          <w:rFonts w:ascii="Arial" w:hAnsi="Arial" w:eastAsia="Arial"/>
          <w:color w:val="1F2937"/>
          <w:sz w:val="20"/>
        </w:rPr>
        <w:t>Recurrent passive thoughts do not automatically establish criteria for involuntary hospitalization.</w:t>
      </w:r>
    </w:p>
    <w:tbl>
      <w:tblPr>
        <w:tblW w:type="auto" w:w="0"/>
        <w:jc w:val="center"/>
        <w:tblLook w:firstColumn="1" w:firstRow="1" w:lastColumn="0" w:lastRow="0" w:noHBand="0" w:noVBand="1" w:val="04A0"/>
      </w:tblPr>
      <w:tblGrid>
        <w:gridCol w:w="10310"/>
      </w:tblGrid>
      <w:tr>
        <w:trPr>
          <w:cantSplit/>
          <w:tblHeader w:val="true"/>
        </w:trPr>
        <w:tc>
          <w:tcPr>
            <w:tcW w:type="dxa" w:w="10310"/>
            <w:shd w:fill="E7F3F3"/>
            <w:tcBorders>
              <w:top w:val="single" w:sz="10" w:color="159C9C"/>
              <w:left w:val="single" w:sz="10" w:color="159C9C"/>
              <w:bottom w:val="single" w:sz="10" w:color="159C9C"/>
              <w:right w:val="single" w:sz="10" w:color="159C9C"/>
            </w:tcBorders>
            <w:tcMar>
              <w:top w:w="110" w:type="dxa"/>
              <w:start w:w="140" w:type="dxa"/>
              <w:bottom w:w="110" w:type="dxa"/>
              <w:end w:w="140" w:type="dxa"/>
            </w:tcMar>
          </w:tcPr>
          <w:p>
            <w:pPr>
              <w:spacing w:after="60"/>
            </w:pPr>
            <w:r>
              <w:rPr>
                <w:rFonts w:ascii="Arial" w:hAnsi="Arial" w:eastAsia="Arial"/>
                <w:b/>
                <w:color w:val="1F7A8C"/>
                <w:sz w:val="21"/>
              </w:rPr>
              <w:t>CTA EXAM STRATEGY</w:t>
            </w:r>
          </w:p>
          <w:p>
            <w:pPr>
              <w:spacing w:after="20" w:line="250" w:lineRule="auto"/>
            </w:pPr>
            <w:r>
              <w:rPr>
                <w:rFonts w:ascii="Arial" w:hAnsi="Arial" w:eastAsia="Arial"/>
                <w:color w:val="1F2937"/>
                <w:sz w:val="19"/>
              </w:rPr>
              <w:t>The best answer often modifies the existing plan rather than choosing an extreme. Integrate new evidence, continuity, safety, and the least restrictive appropriate level of care.</w:t>
            </w:r>
          </w:p>
        </w:tc>
      </w:tr>
    </w:tbl>
    <w:p>
      <w:pPr>
        <w:spacing w:after="0"/>
      </w:pPr>
    </w:p>
    <w:tbl>
      <w:tblPr>
        <w:tblW w:type="auto" w:w="0"/>
        <w:jc w:val="center"/>
        <w:tblLook w:firstColumn="1" w:firstRow="1" w:lastColumn="0" w:lastRow="0" w:noHBand="0" w:noVBand="1" w:val="04A0"/>
      </w:tblPr>
      <w:tblGrid>
        <w:gridCol w:w="10310"/>
      </w:tblGrid>
      <w:tr>
        <w:trPr>
          <w:cantSplit/>
          <w:tblHeader w:val="true"/>
        </w:trPr>
        <w:tc>
          <w:tcPr>
            <w:tcW w:type="dxa" w:w="10310"/>
            <w:shd w:fill="EAF0F7"/>
            <w:tcBorders>
              <w:top w:val="single" w:sz="10" w:color="1F4E78"/>
              <w:left w:val="single" w:sz="10" w:color="1F4E78"/>
              <w:bottom w:val="single" w:sz="10" w:color="1F4E78"/>
              <w:right w:val="single" w:sz="10" w:color="1F4E78"/>
            </w:tcBorders>
            <w:tcMar>
              <w:top w:w="110" w:type="dxa"/>
              <w:start w:w="140" w:type="dxa"/>
              <w:bottom w:w="110" w:type="dxa"/>
              <w:end w:w="140" w:type="dxa"/>
            </w:tcMar>
          </w:tcPr>
          <w:p>
            <w:pPr>
              <w:spacing w:after="60"/>
            </w:pPr>
            <w:r>
              <w:rPr>
                <w:rFonts w:ascii="Arial" w:hAnsi="Arial" w:eastAsia="Arial"/>
                <w:b/>
                <w:color w:val="17365D"/>
                <w:sz w:val="21"/>
              </w:rPr>
              <w:t>LIKELY ERROR CODE</w:t>
            </w:r>
          </w:p>
          <w:p>
            <w:pPr>
              <w:spacing w:after="20" w:line="250" w:lineRule="auto"/>
            </w:pPr>
            <w:r>
              <w:rPr>
                <w:rFonts w:ascii="Arial" w:hAnsi="Arial" w:eastAsia="Arial"/>
                <w:color w:val="1F2937"/>
                <w:sz w:val="19"/>
              </w:rPr>
              <w:t>R - Risk / safety / duty. When risk increases, revise the plan and level-of-care decision instead of following an outdated termination plan.</w:t>
            </w:r>
          </w:p>
        </w:tc>
      </w:tr>
    </w:tbl>
    <w:p>
      <w:pPr>
        <w:spacing w:after="0"/>
      </w:pPr>
    </w:p>
    <w:p>
      <w:r>
        <w:br w:type="page"/>
      </w:r>
    </w:p>
    <w:p>
      <w:pPr>
        <w:pStyle w:val="Heading2"/>
        <w:spacing w:before="0" w:after="60"/>
      </w:pPr>
      <w:r>
        <w:rPr>
          <w:rFonts w:ascii="Arial" w:hAnsi="Arial" w:eastAsia="Arial"/>
          <w:b/>
          <w:color w:val="159C9C"/>
          <w:sz w:val="26"/>
        </w:rPr>
        <w:t>Question 17 (LPCC-WB01-PB-Q017)</w:t>
      </w:r>
    </w:p>
    <w:p>
      <w:pPr>
        <w:spacing w:before="100" w:after="40"/>
        <w:keepNext/>
      </w:pPr>
      <w:r>
        <w:rPr>
          <w:rFonts w:ascii="Arial" w:hAnsi="Arial" w:eastAsia="Arial"/>
          <w:b/>
          <w:color w:val="1F7A8C"/>
          <w:sz w:val="17"/>
        </w:rPr>
        <w:t>LPCC-WB01-PB-Q017 | Application | Moderate | Primary concept: Termination documentation and continuity</w:t>
      </w:r>
    </w:p>
    <w:p>
      <w:pPr>
        <w:spacing w:after="60" w:line="250" w:lineRule="auto"/>
      </w:pPr>
      <w:r>
        <w:rPr>
          <w:rFonts w:ascii="Arial" w:hAnsi="Arial" w:eastAsia="Arial"/>
          <w:b/>
          <w:color w:val="1F2937"/>
          <w:sz w:val="20"/>
        </w:rPr>
        <w:t>Which documentation entry would BEST support continuity of care at the conclusion of Maya’s case?</w:t>
      </w:r>
    </w:p>
    <w:p>
      <w:pPr>
        <w:spacing w:after="40"/>
        <w:ind w:left="230" w:hanging="230"/>
      </w:pPr>
      <w:r>
        <w:rPr>
          <w:rFonts w:ascii="Arial" w:hAnsi="Arial" w:eastAsia="Arial"/>
          <w:sz w:val="20"/>
        </w:rPr>
        <w:t>A. “Client improved. Case closed.”</w:t>
      </w:r>
    </w:p>
    <w:p>
      <w:pPr>
        <w:spacing w:after="40"/>
        <w:ind w:left="230" w:hanging="230"/>
      </w:pPr>
      <w:r>
        <w:rPr>
          <w:rFonts w:ascii="Arial" w:hAnsi="Arial" w:eastAsia="Arial"/>
          <w:sz w:val="20"/>
        </w:rPr>
        <w:t>B. A concise summary of presenting concerns, relevant assessment and risk findings, interventions and response, progress toward goals, current status, maintenance and safety plans, referrals or follow-up options, and the client’s participation in termination decisions.</w:t>
      </w:r>
    </w:p>
    <w:p>
      <w:pPr>
        <w:spacing w:after="40"/>
        <w:ind w:left="230" w:hanging="230"/>
      </w:pPr>
      <w:r>
        <w:rPr>
          <w:rFonts w:ascii="Arial" w:hAnsi="Arial" w:eastAsia="Arial"/>
          <w:sz w:val="20"/>
        </w:rPr>
        <w:t>C. A copy of every psychotherapy note combined into one final note without synthesis.</w:t>
      </w:r>
    </w:p>
    <w:p>
      <w:pPr>
        <w:spacing w:after="40"/>
        <w:ind w:left="230" w:hanging="230"/>
      </w:pPr>
      <w:r>
        <w:rPr>
          <w:rFonts w:ascii="Arial" w:hAnsi="Arial" w:eastAsia="Arial"/>
          <w:sz w:val="20"/>
        </w:rPr>
        <w:t>D. Only the counselor’s opinion that Maya is unlikely to relapse.</w:t>
      </w:r>
    </w:p>
    <w:tbl>
      <w:tblPr>
        <w:tblW w:type="auto" w:w="0"/>
        <w:jc w:val="center"/>
        <w:tblLook w:firstColumn="1" w:firstRow="1" w:lastColumn="0" w:lastRow="0" w:noHBand="0" w:noVBand="1" w:val="04A0"/>
      </w:tblPr>
      <w:tblGrid>
        <w:gridCol w:w="10310"/>
      </w:tblGrid>
      <w:tr>
        <w:trPr>
          <w:cantSplit/>
          <w:tblHeader w:val="true"/>
        </w:trPr>
        <w:tc>
          <w:tcPr>
            <w:tcW w:type="dxa" w:w="10310"/>
            <w:shd w:fill="E7F2EA"/>
            <w:tcBorders>
              <w:top w:val="single" w:sz="10" w:color="1F7A8C"/>
              <w:left w:val="single" w:sz="10" w:color="1F7A8C"/>
              <w:bottom w:val="single" w:sz="10" w:color="1F7A8C"/>
              <w:right w:val="single" w:sz="10" w:color="1F7A8C"/>
            </w:tcBorders>
            <w:tcMar>
              <w:top w:w="110" w:type="dxa"/>
              <w:start w:w="140" w:type="dxa"/>
              <w:bottom w:w="110" w:type="dxa"/>
              <w:end w:w="140" w:type="dxa"/>
            </w:tcMar>
          </w:tcPr>
          <w:p>
            <w:pPr>
              <w:spacing w:after="60"/>
            </w:pPr>
            <w:r>
              <w:rPr>
                <w:rFonts w:ascii="Arial" w:hAnsi="Arial" w:eastAsia="Arial"/>
                <w:b/>
                <w:color w:val="17365D"/>
                <w:sz w:val="21"/>
              </w:rPr>
              <w:t>CORRECT ANSWER</w:t>
            </w:r>
          </w:p>
          <w:p>
            <w:pPr>
              <w:spacing w:after="20" w:line="250" w:lineRule="auto"/>
            </w:pPr>
            <w:r>
              <w:rPr>
                <w:rFonts w:ascii="Arial" w:hAnsi="Arial" w:eastAsia="Arial"/>
                <w:color w:val="1F2937"/>
                <w:sz w:val="20"/>
              </w:rPr>
              <w:t>B. A concise summary of presenting concerns, relevant assessment and risk findings, interventions and response, progress toward goals, current status, maintenance and safety plans, referrals or follow-up options, and the client’s participation in termination decisions.</w:t>
            </w:r>
          </w:p>
        </w:tc>
      </w:tr>
    </w:tbl>
    <w:p>
      <w:pPr>
        <w:spacing w:after="0"/>
      </w:pPr>
    </w:p>
    <w:p>
      <w:pPr>
        <w:pStyle w:val="Heading3"/>
        <w:spacing w:before="100" w:after="80"/>
        <w:keepNext/>
      </w:pPr>
      <w:r>
        <w:rPr>
          <w:rFonts w:ascii="Arial" w:hAnsi="Arial" w:eastAsia="Arial"/>
          <w:b/>
          <w:color w:val="17365D"/>
          <w:sz w:val="23"/>
        </w:rPr>
        <w:t>Why Each Option Is Correct or Incorrect</w:t>
      </w:r>
    </w:p>
    <w:p>
      <w:pPr>
        <w:spacing w:after="60" w:line="250" w:lineRule="auto"/>
        <w:ind w:left="173" w:hanging="173"/>
      </w:pPr>
      <w:r>
        <w:rPr>
          <w:rFonts w:ascii="Arial" w:hAnsi="Arial" w:eastAsia="Arial"/>
          <w:b/>
          <w:color w:val="17365D"/>
          <w:sz w:val="20"/>
        </w:rPr>
        <w:t xml:space="preserve">A. </w:t>
      </w:r>
      <w:r>
        <w:rPr>
          <w:rFonts w:ascii="Arial" w:hAnsi="Arial" w:eastAsia="Arial"/>
          <w:b/>
          <w:color w:val="1F2937"/>
          <w:sz w:val="20"/>
        </w:rPr>
        <w:t xml:space="preserve">Incorrect. </w:t>
      </w:r>
      <w:r>
        <w:rPr>
          <w:rFonts w:ascii="Arial" w:hAnsi="Arial" w:eastAsia="Arial"/>
          <w:color w:val="1F2937"/>
          <w:sz w:val="20"/>
        </w:rPr>
        <w:t>This is too vague to support clinical continuity, rationale, or risk-management needs.</w:t>
      </w:r>
    </w:p>
    <w:p>
      <w:pPr>
        <w:spacing w:after="60" w:line="250" w:lineRule="auto"/>
        <w:ind w:left="173" w:hanging="173"/>
      </w:pPr>
      <w:r>
        <w:rPr>
          <w:rFonts w:ascii="Arial" w:hAnsi="Arial" w:eastAsia="Arial"/>
          <w:b/>
          <w:color w:val="1F7A8C"/>
          <w:sz w:val="20"/>
        </w:rPr>
        <w:t xml:space="preserve">B. </w:t>
      </w:r>
      <w:r>
        <w:rPr>
          <w:rFonts w:ascii="Arial" w:hAnsi="Arial" w:eastAsia="Arial"/>
          <w:b/>
          <w:color w:val="1F7A8C"/>
          <w:sz w:val="20"/>
        </w:rPr>
        <w:t xml:space="preserve">Correct. </w:t>
      </w:r>
      <w:r>
        <w:rPr>
          <w:rFonts w:ascii="Arial" w:hAnsi="Arial" w:eastAsia="Arial"/>
          <w:color w:val="1F2937"/>
          <w:sz w:val="20"/>
        </w:rPr>
        <w:t>This documentation synthesizes the course of care, current status, planning, and client participation without unnecessary speculation.</w:t>
      </w:r>
    </w:p>
    <w:p>
      <w:pPr>
        <w:spacing w:after="60" w:line="250" w:lineRule="auto"/>
        <w:ind w:left="173" w:hanging="173"/>
      </w:pPr>
      <w:r>
        <w:rPr>
          <w:rFonts w:ascii="Arial" w:hAnsi="Arial" w:eastAsia="Arial"/>
          <w:b/>
          <w:color w:val="17365D"/>
          <w:sz w:val="20"/>
        </w:rPr>
        <w:t xml:space="preserve">C. </w:t>
      </w:r>
      <w:r>
        <w:rPr>
          <w:rFonts w:ascii="Arial" w:hAnsi="Arial" w:eastAsia="Arial"/>
          <w:b/>
          <w:color w:val="1F2937"/>
          <w:sz w:val="20"/>
        </w:rPr>
        <w:t xml:space="preserve">Incorrect. </w:t>
      </w:r>
      <w:r>
        <w:rPr>
          <w:rFonts w:ascii="Arial" w:hAnsi="Arial" w:eastAsia="Arial"/>
          <w:color w:val="1F2937"/>
          <w:sz w:val="20"/>
        </w:rPr>
        <w:t>A record dump is not the same as a clinically useful termination summary and may obscure the key continuity information.</w:t>
      </w:r>
    </w:p>
    <w:p>
      <w:pPr>
        <w:spacing w:after="60" w:line="250" w:lineRule="auto"/>
        <w:ind w:left="173" w:hanging="173"/>
      </w:pPr>
      <w:r>
        <w:rPr>
          <w:rFonts w:ascii="Arial" w:hAnsi="Arial" w:eastAsia="Arial"/>
          <w:b/>
          <w:color w:val="17365D"/>
          <w:sz w:val="20"/>
        </w:rPr>
        <w:t xml:space="preserve">D. </w:t>
      </w:r>
      <w:r>
        <w:rPr>
          <w:rFonts w:ascii="Arial" w:hAnsi="Arial" w:eastAsia="Arial"/>
          <w:b/>
          <w:color w:val="1F2937"/>
          <w:sz w:val="20"/>
        </w:rPr>
        <w:t xml:space="preserve">Incorrect. </w:t>
      </w:r>
      <w:r>
        <w:rPr>
          <w:rFonts w:ascii="Arial" w:hAnsi="Arial" w:eastAsia="Arial"/>
          <w:color w:val="1F2937"/>
          <w:sz w:val="20"/>
        </w:rPr>
        <w:t>A prediction without supporting assessment, planning, and current status is incomplete and overly certain.</w:t>
      </w:r>
    </w:p>
    <w:tbl>
      <w:tblPr>
        <w:tblW w:type="auto" w:w="0"/>
        <w:jc w:val="center"/>
        <w:tblLook w:firstColumn="1" w:firstRow="1" w:lastColumn="0" w:lastRow="0" w:noHBand="0" w:noVBand="1" w:val="04A0"/>
      </w:tblPr>
      <w:tblGrid>
        <w:gridCol w:w="10310"/>
      </w:tblGrid>
      <w:tr>
        <w:trPr>
          <w:cantSplit/>
          <w:tblHeader w:val="true"/>
        </w:trPr>
        <w:tc>
          <w:tcPr>
            <w:tcW w:type="dxa" w:w="10310"/>
            <w:shd w:fill="E7F3F3"/>
            <w:tcBorders>
              <w:top w:val="single" w:sz="10" w:color="159C9C"/>
              <w:left w:val="single" w:sz="10" w:color="159C9C"/>
              <w:bottom w:val="single" w:sz="10" w:color="159C9C"/>
              <w:right w:val="single" w:sz="10" w:color="159C9C"/>
            </w:tcBorders>
            <w:tcMar>
              <w:top w:w="110" w:type="dxa"/>
              <w:start w:w="140" w:type="dxa"/>
              <w:bottom w:w="110" w:type="dxa"/>
              <w:end w:w="140" w:type="dxa"/>
            </w:tcMar>
          </w:tcPr>
          <w:p>
            <w:pPr>
              <w:spacing w:after="60"/>
            </w:pPr>
            <w:r>
              <w:rPr>
                <w:rFonts w:ascii="Arial" w:hAnsi="Arial" w:eastAsia="Arial"/>
                <w:b/>
                <w:color w:val="1F7A8C"/>
                <w:sz w:val="21"/>
              </w:rPr>
              <w:t>CTA EXAM STRATEGY</w:t>
            </w:r>
          </w:p>
          <w:p>
            <w:pPr>
              <w:spacing w:after="20" w:line="250" w:lineRule="auto"/>
            </w:pPr>
            <w:r>
              <w:rPr>
                <w:rFonts w:ascii="Arial" w:hAnsi="Arial" w:eastAsia="Arial"/>
                <w:color w:val="1F2937"/>
                <w:sz w:val="19"/>
              </w:rPr>
              <w:t>Strong documentation is specific, relevant, and tied to clinical decisions. At termination, synthesize the course of care and the continuity plan rather than writing a vague conclusion or copying the entire record.</w:t>
            </w:r>
          </w:p>
        </w:tc>
      </w:tr>
    </w:tbl>
    <w:p>
      <w:pPr>
        <w:spacing w:after="0"/>
      </w:pPr>
    </w:p>
    <w:tbl>
      <w:tblPr>
        <w:tblW w:type="auto" w:w="0"/>
        <w:jc w:val="center"/>
        <w:tblLook w:firstColumn="1" w:firstRow="1" w:lastColumn="0" w:lastRow="0" w:noHBand="0" w:noVBand="1" w:val="04A0"/>
      </w:tblPr>
      <w:tblGrid>
        <w:gridCol w:w="10310"/>
      </w:tblGrid>
      <w:tr>
        <w:trPr>
          <w:cantSplit/>
          <w:tblHeader w:val="true"/>
        </w:trPr>
        <w:tc>
          <w:tcPr>
            <w:tcW w:type="dxa" w:w="10310"/>
            <w:shd w:fill="EAF0F7"/>
            <w:tcBorders>
              <w:top w:val="single" w:sz="10" w:color="1F4E78"/>
              <w:left w:val="single" w:sz="10" w:color="1F4E78"/>
              <w:bottom w:val="single" w:sz="10" w:color="1F4E78"/>
              <w:right w:val="single" w:sz="10" w:color="1F4E78"/>
            </w:tcBorders>
            <w:tcMar>
              <w:top w:w="110" w:type="dxa"/>
              <w:start w:w="140" w:type="dxa"/>
              <w:bottom w:w="110" w:type="dxa"/>
              <w:end w:w="140" w:type="dxa"/>
            </w:tcMar>
          </w:tcPr>
          <w:p>
            <w:pPr>
              <w:spacing w:after="60"/>
            </w:pPr>
            <w:r>
              <w:rPr>
                <w:rFonts w:ascii="Arial" w:hAnsi="Arial" w:eastAsia="Arial"/>
                <w:b/>
                <w:color w:val="17365D"/>
                <w:sz w:val="21"/>
              </w:rPr>
              <w:t>LIKELY ERROR CODE</w:t>
            </w:r>
          </w:p>
          <w:p>
            <w:pPr>
              <w:spacing w:after="20" w:line="250" w:lineRule="auto"/>
            </w:pPr>
            <w:r>
              <w:rPr>
                <w:rFonts w:ascii="Arial" w:hAnsi="Arial" w:eastAsia="Arial"/>
                <w:color w:val="1F2937"/>
                <w:sz w:val="19"/>
              </w:rPr>
              <w:t>P - Professional role / scope. Document the clinical reasoning, current status, client participation, and continuity plan that support closure.</w:t>
            </w:r>
          </w:p>
        </w:tc>
      </w:tr>
    </w:tbl>
    <w:p>
      <w:pPr>
        <w:spacing w:after="0"/>
      </w:pPr>
    </w:p>
    <w:p>
      <w:r>
        <w:br w:type="page"/>
      </w:r>
    </w:p>
    <w:p>
      <w:pPr>
        <w:pStyle w:val="Heading2"/>
        <w:spacing w:before="140" w:after="80"/>
        <w:keepNext/>
      </w:pPr>
      <w:r>
        <w:rPr>
          <w:rFonts w:ascii="Arial" w:hAnsi="Arial" w:eastAsia="Arial"/>
          <w:b/>
          <w:color w:val="159C9C"/>
          <w:sz w:val="26"/>
        </w:rPr>
        <w:t>Score and Remediation Summary</w:t>
      </w:r>
    </w:p>
    <w:tbl>
      <w:tblPr>
        <w:tblW w:type="auto" w:w="0"/>
        <w:jc w:val="center"/>
        <w:tblLayout w:type="fixed"/>
        <w:tblLook w:firstColumn="1" w:firstRow="1" w:lastColumn="0" w:lastRow="0" w:noHBand="0" w:noVBand="1" w:val="04A0"/>
      </w:tblPr>
      <w:tblGrid>
        <w:gridCol w:w="5155"/>
        <w:gridCol w:w="5155"/>
      </w:tblGrid>
      <w:tr>
        <w:trPr>
          <w:tblHeader w:val="true"/>
          <w:cantSplit/>
        </w:trPr>
        <w:tc>
          <w:tcPr>
            <w:tcW w:type="dxa" w:w="4032"/>
            <w:shd w:fill="17365D"/>
            <w:tcMar>
              <w:top w:w="85" w:type="dxa"/>
              <w:start w:w="90" w:type="dxa"/>
              <w:bottom w:w="85" w:type="dxa"/>
              <w:end w:w="90"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8"/>
              </w:rPr>
              <w:t>Measure</w:t>
            </w:r>
          </w:p>
        </w:tc>
        <w:tc>
          <w:tcPr>
            <w:tcW w:type="dxa" w:w="6480"/>
            <w:shd w:fill="17365D"/>
            <w:tcMar>
              <w:top w:w="85" w:type="dxa"/>
              <w:start w:w="90" w:type="dxa"/>
              <w:bottom w:w="85" w:type="dxa"/>
              <w:end w:w="90"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8"/>
              </w:rPr>
              <w:t>Result</w:t>
            </w:r>
          </w:p>
        </w:tc>
      </w:tr>
      <w:tr>
        <w:trPr>
          <w:cantSplit/>
        </w:trPr>
        <w:tc>
          <w:tcPr>
            <w:tcW w:type="dxa" w:w="403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Total score</w:t>
            </w:r>
          </w:p>
        </w:tc>
        <w:tc>
          <w:tcPr>
            <w:tcW w:type="dxa" w:w="648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____ / 17</w:t>
            </w:r>
          </w:p>
        </w:tc>
      </w:tr>
      <w:tr>
        <w:trPr>
          <w:cantSplit/>
        </w:trPr>
        <w:tc>
          <w:tcPr>
            <w:tcW w:type="dxa" w:w="403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Easy items</w:t>
            </w:r>
          </w:p>
        </w:tc>
        <w:tc>
          <w:tcPr>
            <w:tcW w:type="dxa" w:w="648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____ / 5</w:t>
            </w:r>
          </w:p>
        </w:tc>
      </w:tr>
      <w:tr>
        <w:trPr>
          <w:cantSplit/>
        </w:trPr>
        <w:tc>
          <w:tcPr>
            <w:tcW w:type="dxa" w:w="403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Moderate items</w:t>
            </w:r>
          </w:p>
        </w:tc>
        <w:tc>
          <w:tcPr>
            <w:tcW w:type="dxa" w:w="648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____ / 7</w:t>
            </w:r>
          </w:p>
        </w:tc>
      </w:tr>
      <w:tr>
        <w:trPr>
          <w:cantSplit/>
        </w:trPr>
        <w:tc>
          <w:tcPr>
            <w:tcW w:type="dxa" w:w="403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Difficult items</w:t>
            </w:r>
          </w:p>
        </w:tc>
        <w:tc>
          <w:tcPr>
            <w:tcW w:type="dxa" w:w="648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____ / 5</w:t>
            </w:r>
          </w:p>
        </w:tc>
      </w:tr>
      <w:tr>
        <w:trPr>
          <w:cantSplit/>
        </w:trPr>
        <w:tc>
          <w:tcPr>
            <w:tcW w:type="dxa" w:w="403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Low-confidence correct answers</w:t>
            </w:r>
          </w:p>
        </w:tc>
        <w:tc>
          <w:tcPr>
            <w:tcW w:type="dxa" w:w="648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____</w:t>
            </w:r>
          </w:p>
        </w:tc>
      </w:tr>
      <w:tr>
        <w:trPr>
          <w:cantSplit/>
        </w:trPr>
        <w:tc>
          <w:tcPr>
            <w:tcW w:type="dxa" w:w="403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Most frequent error code</w:t>
            </w:r>
          </w:p>
        </w:tc>
        <w:tc>
          <w:tcPr>
            <w:tcW w:type="dxa" w:w="648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____</w:t>
            </w:r>
          </w:p>
        </w:tc>
      </w:tr>
      <w:tr>
        <w:trPr>
          <w:cantSplit/>
        </w:trPr>
        <w:tc>
          <w:tcPr>
            <w:tcW w:type="dxa" w:w="403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Time used</w:t>
            </w:r>
          </w:p>
        </w:tc>
        <w:tc>
          <w:tcPr>
            <w:tcW w:type="dxa" w:w="648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____ minutes</w:t>
            </w:r>
          </w:p>
        </w:tc>
      </w:tr>
      <w:tr>
        <w:trPr>
          <w:cantSplit/>
        </w:trPr>
        <w:tc>
          <w:tcPr>
            <w:tcW w:type="dxa" w:w="4032"/>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One demonstrated strength</w:t>
            </w:r>
          </w:p>
        </w:tc>
        <w:tc>
          <w:tcPr>
            <w:tcW w:type="dxa" w:w="6480"/>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________________________________________</w:t>
            </w:r>
          </w:p>
        </w:tc>
      </w:tr>
      <w:tr>
        <w:trPr>
          <w:cantSplit/>
        </w:trPr>
        <w:tc>
          <w:tcPr>
            <w:tcW w:type="dxa" w:w="4032"/>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One priority for remediation</w:t>
            </w:r>
          </w:p>
        </w:tc>
        <w:tc>
          <w:tcPr>
            <w:tcW w:type="dxa" w:w="6480"/>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8"/>
              </w:rPr>
              <w:t>________________________________________</w:t>
            </w:r>
          </w:p>
        </w:tc>
      </w:tr>
    </w:tbl>
    <w:p>
      <w:pPr>
        <w:spacing w:after="0"/>
      </w:pPr>
    </w:p>
    <w:p>
      <w:pPr>
        <w:pStyle w:val="Heading2"/>
        <w:spacing w:before="140" w:after="80"/>
        <w:keepNext/>
      </w:pPr>
      <w:r>
        <w:rPr>
          <w:rFonts w:ascii="Arial" w:hAnsi="Arial" w:eastAsia="Arial"/>
          <w:b/>
          <w:color w:val="159C9C"/>
          <w:sz w:val="26"/>
        </w:rPr>
        <w:t>Correction-Rule Log</w:t>
      </w:r>
    </w:p>
    <w:tbl>
      <w:tblPr>
        <w:tblW w:type="auto" w:w="0"/>
        <w:jc w:val="center"/>
        <w:tblLayout w:type="fixed"/>
        <w:tblLook w:firstColumn="1" w:firstRow="1" w:lastColumn="0" w:lastRow="0" w:noHBand="0" w:noVBand="1" w:val="04A0"/>
      </w:tblPr>
      <w:tblGrid>
        <w:gridCol w:w="2577"/>
        <w:gridCol w:w="2577"/>
        <w:gridCol w:w="2577"/>
        <w:gridCol w:w="2577"/>
      </w:tblGrid>
      <w:tr>
        <w:trPr>
          <w:tblHeader w:val="true"/>
          <w:cantSplit/>
        </w:trPr>
        <w:tc>
          <w:tcPr>
            <w:tcW w:type="dxa" w:w="864"/>
            <w:shd w:fill="17365D"/>
            <w:tcMar>
              <w:top w:w="85" w:type="dxa"/>
              <w:start w:w="90" w:type="dxa"/>
              <w:bottom w:w="85" w:type="dxa"/>
              <w:end w:w="90"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Item</w:t>
            </w:r>
          </w:p>
        </w:tc>
        <w:tc>
          <w:tcPr>
            <w:tcW w:type="dxa" w:w="1296"/>
            <w:shd w:fill="17365D"/>
            <w:tcMar>
              <w:top w:w="85" w:type="dxa"/>
              <w:start w:w="90" w:type="dxa"/>
              <w:bottom w:w="85" w:type="dxa"/>
              <w:end w:w="90"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Error Code</w:t>
            </w:r>
          </w:p>
        </w:tc>
        <w:tc>
          <w:tcPr>
            <w:tcW w:type="dxa" w:w="6768"/>
            <w:shd w:fill="17365D"/>
            <w:tcMar>
              <w:top w:w="85" w:type="dxa"/>
              <w:start w:w="90" w:type="dxa"/>
              <w:bottom w:w="85" w:type="dxa"/>
              <w:end w:w="90"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My Transferable Correction Rule</w:t>
            </w:r>
          </w:p>
        </w:tc>
        <w:tc>
          <w:tcPr>
            <w:tcW w:type="dxa" w:w="1584"/>
            <w:shd w:fill="17365D"/>
            <w:tcMar>
              <w:top w:w="85" w:type="dxa"/>
              <w:start w:w="90" w:type="dxa"/>
              <w:bottom w:w="85" w:type="dxa"/>
              <w:end w:w="90" w:type="dxa"/>
            </w:tcMar>
            <w:tcBorders>
              <w:top w:val="single" w:sz="5" w:color="707070"/>
              <w:left w:val="single" w:sz="5" w:color="707070"/>
              <w:bottom w:val="single" w:sz="5" w:color="707070"/>
              <w:right w:val="single" w:sz="5" w:color="707070"/>
            </w:tcBorders>
          </w:tcPr>
          <w:p>
            <w:pPr>
              <w:spacing w:after="0"/>
              <w:jc w:val="center"/>
            </w:pPr>
            <w:r>
              <w:rPr>
                <w:rFonts w:ascii="Arial" w:hAnsi="Arial" w:eastAsia="Arial"/>
                <w:b/>
                <w:color w:val="FFFFFF"/>
                <w:sz w:val="17"/>
              </w:rPr>
              <w:t>New Practice Completed?</w:t>
            </w:r>
          </w:p>
        </w:tc>
      </w:tr>
      <w:tr>
        <w:trPr>
          <w:cantSplit/>
        </w:trPr>
        <w:tc>
          <w:tcPr>
            <w:tcW w:type="dxa" w:w="864"/>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c>
          <w:tcPr>
            <w:tcW w:type="dxa" w:w="1296"/>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c>
          <w:tcPr>
            <w:tcW w:type="dxa" w:w="6768"/>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c>
          <w:tcPr>
            <w:tcW w:type="dxa" w:w="1584"/>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r>
      <w:tr>
        <w:trPr>
          <w:cantSplit/>
        </w:trPr>
        <w:tc>
          <w:tcPr>
            <w:tcW w:type="dxa" w:w="864"/>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c>
          <w:tcPr>
            <w:tcW w:type="dxa" w:w="1296"/>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c>
          <w:tcPr>
            <w:tcW w:type="dxa" w:w="6768"/>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c>
          <w:tcPr>
            <w:tcW w:type="dxa" w:w="1584"/>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r>
      <w:tr>
        <w:trPr>
          <w:cantSplit/>
        </w:trPr>
        <w:tc>
          <w:tcPr>
            <w:tcW w:type="dxa" w:w="864"/>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c>
          <w:tcPr>
            <w:tcW w:type="dxa" w:w="1296"/>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c>
          <w:tcPr>
            <w:tcW w:type="dxa" w:w="6768"/>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c>
          <w:tcPr>
            <w:tcW w:type="dxa" w:w="1584"/>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r>
      <w:tr>
        <w:trPr>
          <w:cantSplit/>
        </w:trPr>
        <w:tc>
          <w:tcPr>
            <w:tcW w:type="dxa" w:w="864"/>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c>
          <w:tcPr>
            <w:tcW w:type="dxa" w:w="1296"/>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c>
          <w:tcPr>
            <w:tcW w:type="dxa" w:w="6768"/>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c>
          <w:tcPr>
            <w:tcW w:type="dxa" w:w="1584"/>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r>
      <w:tr>
        <w:trPr>
          <w:cantSplit/>
        </w:trPr>
        <w:tc>
          <w:tcPr>
            <w:tcW w:type="dxa" w:w="864"/>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c>
          <w:tcPr>
            <w:tcW w:type="dxa" w:w="1296"/>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c>
          <w:tcPr>
            <w:tcW w:type="dxa" w:w="6768"/>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c>
          <w:tcPr>
            <w:tcW w:type="dxa" w:w="1584"/>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r>
      <w:tr>
        <w:trPr>
          <w:cantSplit/>
        </w:trPr>
        <w:tc>
          <w:tcPr>
            <w:tcW w:type="dxa" w:w="864"/>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c>
          <w:tcPr>
            <w:tcW w:type="dxa" w:w="1296"/>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c>
          <w:tcPr>
            <w:tcW w:type="dxa" w:w="6768"/>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c>
          <w:tcPr>
            <w:tcW w:type="dxa" w:w="1584"/>
            <w:shd w:fill="F2F4F7"/>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r>
      <w:tr>
        <w:trPr>
          <w:cantSplit/>
        </w:trPr>
        <w:tc>
          <w:tcPr>
            <w:tcW w:type="dxa" w:w="864"/>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c>
          <w:tcPr>
            <w:tcW w:type="dxa" w:w="1296"/>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c>
          <w:tcPr>
            <w:tcW w:type="dxa" w:w="6768"/>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c>
          <w:tcPr>
            <w:tcW w:type="dxa" w:w="1584"/>
            <w:tcMar>
              <w:top w:w="80" w:type="dxa"/>
              <w:start w:w="90" w:type="dxa"/>
              <w:bottom w:w="80" w:type="dxa"/>
              <w:end w:w="90" w:type="dxa"/>
            </w:tcMar>
            <w:vAlign w:val="center"/>
            <w:tcBorders>
              <w:top w:val="single" w:sz="4" w:color="A0A0A0"/>
              <w:left w:val="single" w:sz="4" w:color="A0A0A0"/>
              <w:bottom w:val="single" w:sz="4" w:color="A0A0A0"/>
              <w:right w:val="single" w:sz="4" w:color="A0A0A0"/>
            </w:tcBorders>
          </w:tcPr>
          <w:p>
            <w:pPr>
              <w:spacing w:after="0" w:line="240" w:lineRule="auto"/>
            </w:pPr>
            <w:r>
              <w:rPr>
                <w:rFonts w:ascii="Arial" w:hAnsi="Arial" w:eastAsia="Arial"/>
                <w:color w:val="1F2937"/>
                <w:sz w:val="17"/>
              </w:rPr>
            </w:r>
          </w:p>
        </w:tc>
      </w:tr>
    </w:tbl>
    <w:p>
      <w:pPr>
        <w:spacing w:after="0"/>
      </w:pPr>
    </w:p>
    <w:tbl>
      <w:tblPr>
        <w:tblW w:type="auto" w:w="0"/>
        <w:jc w:val="center"/>
        <w:tblLook w:firstColumn="1" w:firstRow="1" w:lastColumn="0" w:lastRow="0" w:noHBand="0" w:noVBand="1" w:val="04A0"/>
      </w:tblPr>
      <w:tblGrid>
        <w:gridCol w:w="10310"/>
      </w:tblGrid>
      <w:tr>
        <w:trPr>
          <w:cantSplit/>
          <w:tblHeader w:val="true"/>
        </w:trPr>
        <w:tc>
          <w:tcPr>
            <w:tcW w:type="dxa" w:w="10310"/>
            <w:shd w:fill="E7F2EA"/>
            <w:tcBorders>
              <w:top w:val="single" w:sz="10" w:color="1F7A8C"/>
              <w:left w:val="single" w:sz="10" w:color="1F7A8C"/>
              <w:bottom w:val="single" w:sz="10" w:color="1F7A8C"/>
              <w:right w:val="single" w:sz="10" w:color="1F7A8C"/>
            </w:tcBorders>
            <w:tcMar>
              <w:top w:w="110" w:type="dxa"/>
              <w:start w:w="140" w:type="dxa"/>
              <w:bottom w:w="110" w:type="dxa"/>
              <w:end w:w="140" w:type="dxa"/>
            </w:tcMar>
          </w:tcPr>
          <w:p>
            <w:pPr>
              <w:spacing w:after="60"/>
            </w:pPr>
            <w:r>
              <w:rPr>
                <w:rFonts w:ascii="Arial" w:hAnsi="Arial" w:eastAsia="Arial"/>
                <w:b/>
                <w:color w:val="17365D"/>
                <w:sz w:val="21"/>
              </w:rPr>
              <w:t>READINESS STANDARD</w:t>
            </w:r>
          </w:p>
          <w:p>
            <w:pPr>
              <w:spacing w:after="20" w:line="250" w:lineRule="auto"/>
            </w:pPr>
            <w:r>
              <w:rPr>
                <w:rFonts w:ascii="Arial" w:hAnsi="Arial" w:eastAsia="Arial"/>
                <w:color w:val="1F2937"/>
                <w:sz w:val="20"/>
              </w:rPr>
              <w:t>A strong score is encouraging, but Workbook 1 readiness requires stable reasoning: accurate task identification, evidence control, correct sequencing, proportionate safety decisions, and the ability to explain why distractors are weaker.</w:t>
            </w:r>
          </w:p>
        </w:tc>
      </w:tr>
    </w:tbl>
    <w:p>
      <w:pPr>
        <w:spacing w:after="0"/>
      </w:pPr>
    </w:p>
    <w:tbl>
      <w:tblPr>
        <w:tblW w:type="auto" w:w="0"/>
        <w:jc w:val="center"/>
        <w:tblLook w:firstColumn="1" w:firstRow="1" w:lastColumn="0" w:lastRow="0" w:noHBand="0" w:noVBand="1" w:val="04A0"/>
      </w:tblPr>
      <w:tblGrid>
        <w:gridCol w:w="10310"/>
      </w:tblGrid>
      <w:tr>
        <w:trPr>
          <w:cantSplit/>
          <w:tblHeader w:val="true"/>
        </w:trPr>
        <w:tc>
          <w:tcPr>
            <w:tcW w:type="dxa" w:w="10310"/>
            <w:shd w:fill="F2F4F7"/>
            <w:tcBorders>
              <w:top w:val="single" w:sz="10" w:color="4E5B6B"/>
              <w:left w:val="single" w:sz="10" w:color="4E5B6B"/>
              <w:bottom w:val="single" w:sz="10" w:color="4E5B6B"/>
              <w:right w:val="single" w:sz="10" w:color="4E5B6B"/>
            </w:tcBorders>
            <w:tcMar>
              <w:top w:w="110" w:type="dxa"/>
              <w:start w:w="140" w:type="dxa"/>
              <w:bottom w:w="110" w:type="dxa"/>
              <w:end w:w="140" w:type="dxa"/>
            </w:tcMar>
          </w:tcPr>
          <w:p>
            <w:pPr>
              <w:spacing w:after="60"/>
            </w:pPr>
            <w:r>
              <w:rPr>
                <w:rFonts w:ascii="Arial" w:hAnsi="Arial" w:eastAsia="Arial"/>
                <w:b/>
                <w:color w:val="17365D"/>
                <w:sz w:val="21"/>
              </w:rPr>
              <w:t>PUBLICATION CONTROL</w:t>
            </w:r>
          </w:p>
          <w:p>
            <w:pPr>
              <w:spacing w:after="20" w:line="250" w:lineRule="auto"/>
            </w:pPr>
            <w:r>
              <w:rPr>
                <w:rFonts w:ascii="Arial" w:hAnsi="Arial" w:eastAsia="Arial"/>
                <w:color w:val="1F2937"/>
                <w:sz w:val="19"/>
              </w:rPr>
              <w:t>This practice bank is aligned to CTA LPCC Workbook 1 and the official examination information verified in July 2026. Candidates must confirm the current NBCC handbook and exam specifications that apply to their scheduled test date.</w:t>
            </w:r>
          </w:p>
        </w:tc>
      </w:tr>
    </w:tbl>
    <w:p>
      <w:pPr>
        <w:spacing w:after="0"/>
      </w:pPr>
    </w:p>
    <w:sectPr w:rsidR="00FC693F" w:rsidRPr="0006063C" w:rsidSect="00034616">
      <w:headerReference w:type="default" r:id="rId9"/>
      <w:footerReference w:type="default" r:id="rId10"/>
      <w:headerReference w:type="first" r:id="rId12"/>
      <w:headerReference w:type="even" r:id="rId13"/>
      <w:footerReference w:type="first" r:id="rId14"/>
      <w:footerReference w:type="even" r:id="rId15"/>
      <w:pgSz w:w="12240" w:h="15840"/>
      <w:pgMar w:top="922" w:right="965" w:bottom="893" w:left="965" w:header="317" w:footer="36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Arial" w:hAnsi="Arial" w:eastAsia="Arial"/>
        <w:color w:val="4E5B6B"/>
        <w:sz w:val="16"/>
      </w:rPr>
      <w:t xml:space="preserve">Clinical Training Academy - LPCC WB1 Practice Bank Answer &amp; Rationales v1.0  |  Page </w:t>
    </w:r>
    <w:r>
      <w:rPr>
        <w:rFonts w:ascii="Arial" w:hAnsi="Arial" w:eastAsia="Arial"/>
        <w:color w:val="4E5B6B"/>
        <w:sz w:val="17"/>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Pr>
    <w:tblGrid>
      <w:gridCol w:w="5256"/>
      <w:gridCol w:w="5256"/>
    </w:tblGrid>
    <w:tr>
      <w:trPr>
        <w:tblHeader w:val="true"/>
      </w:trPr>
      <w:tc>
        <w:tcPr>
          <w:tcW w:type="dxa" w:w="2520"/>
          <w:tcMar>
            <w:top w:w="0" w:type="dxa"/>
            <w:start w:w="0" w:type="dxa"/>
            <w:bottom w:w="0" w:type="dxa"/>
            <w:end w:w="0" w:type="dxa"/>
          </w:tcMar>
        </w:tcPr>
        <w:p>
          <w:pPr>
            <w:spacing w:after="0"/>
          </w:pPr>
          <w:r>
            <w:drawing>
              <wp:inline xmlns:a="http://schemas.openxmlformats.org/drawingml/2006/main" xmlns:pic="http://schemas.openxmlformats.org/drawingml/2006/picture">
                <wp:extent cx="1417320" cy="320220"/>
                <wp:docPr id="1" name="CTA horizontal logo" descr="Clinical Training and Supervision Academy logo"/>
                <wp:cNvGraphicFramePr>
                  <a:graphicFrameLocks noChangeAspect="1"/>
                </wp:cNvGraphicFramePr>
                <a:graphic>
                  <a:graphicData uri="http://schemas.openxmlformats.org/drawingml/2006/picture">
                    <pic:pic>
                      <pic:nvPicPr>
                        <pic:cNvPr id="0" name="CTA_Horizontal_Logo.png"/>
                        <pic:cNvPicPr/>
                      </pic:nvPicPr>
                      <pic:blipFill>
                        <a:blip r:embed="rId1"/>
                        <a:stretch>
                          <a:fillRect/>
                        </a:stretch>
                      </pic:blipFill>
                      <pic:spPr>
                        <a:xfrm>
                          <a:off x="0" y="0"/>
                          <a:ext cx="1417320" cy="320220"/>
                        </a:xfrm>
                        <a:prstGeom prst="rect"/>
                      </pic:spPr>
                    </pic:pic>
                  </a:graphicData>
                </a:graphic>
              </wp:inline>
            </w:drawing>
          </w:r>
        </w:p>
      </w:tc>
      <w:tc>
        <w:tcPr>
          <w:tcW w:type="dxa" w:w="7992"/>
          <w:tcMar>
            <w:top w:w="0" w:type="dxa"/>
            <w:start w:w="0" w:type="dxa"/>
            <w:bottom w:w="0" w:type="dxa"/>
            <w:end w:w="0" w:type="dxa"/>
          </w:tcMar>
        </w:tcPr>
        <w:p>
          <w:pPr>
            <w:spacing w:after="0"/>
            <w:jc w:val="right"/>
          </w:pPr>
          <w:r>
            <w:rPr>
              <w:rFonts w:ascii="Arial" w:hAnsi="Arial" w:eastAsia="Arial"/>
              <w:b/>
              <w:color w:val="17365D"/>
              <w:sz w:val="16"/>
            </w:rPr>
            <w:t>CTA LPCC WB1 - 17-Question Practice Bank - Answer &amp; Rationales</w:t>
          </w:r>
        </w:p>
      </w:tc>
    </w:tr>
  </w:tbl>
  <w:p>
    <w:pPr>
      <w:spacing w:after="0"/>
      <w:pBdr>
        <w:bottom w:val="single" w:sz="5" w:space="1" w:color="159C9C"/>
      </w:pBd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Arial" w:hAnsi="Arial" w:eastAsia="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eastAsia="Arial"/>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eastAsia="Arial"/>
      <w:b/>
      <w:bCs/>
      <w:color w:val="159C9C"/>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eastAsia="Arial"/>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sz w:val="20"/>
    </w:rPr>
  </w:style>
  <w:style w:type="paragraph" w:styleId="ListBullet2">
    <w:name w:val="List Bullet 2"/>
    <w:basedOn w:val="Normal"/>
    <w:uiPriority w:val="99"/>
    <w:unhideWhenUsed/>
    <w:rsid w:val="00326F90"/>
    <w:pPr>
      <w:numPr>
        <w:numId w:val="2"/>
      </w:numPr>
      <w:contextualSpacing/>
    </w:pPr>
    <w:rPr>
      <w:rFonts w:ascii="Arial" w:hAnsi="Arial" w:eastAsia="Arial"/>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eastAsia="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LPCC Workbook 1 17-Question Practice Bank - Answer &amp; Rationales</dc:title>
  <dc:subject>NCMHCE case-study strategy and applied clinical counselor reasoning</dc:subject>
  <dc:creator>Clinical Training and Supervision Academy</dc:creator>
  <cp:keywords>LPCC, NCMHCE, exam preparation, practice bank, clinical reasoning</cp:keywords>
  <dc:description>generated by python-docx</dc:description>
  <cp:lastModifiedBy/>
  <cp:revision>1</cp:revision>
  <dcterms:created xsi:type="dcterms:W3CDTF">2013-12-23T23:15:00Z</dcterms:created>
  <dcterms:modified xsi:type="dcterms:W3CDTF">2013-12-23T23:15:00Z</dcterms:modified>
  <cp:category/>
</cp:coreProperties>
</file>