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drawing>
          <wp:inline xmlns:a="http://schemas.openxmlformats.org/drawingml/2006/main" xmlns:pic="http://schemas.openxmlformats.org/drawingml/2006/picture">
            <wp:extent cx="2148840" cy="1553281"/>
            <wp:docPr id="1" name="CTA stacked logo" descr="Clinical Training and Supervision Academy logo"/>
            <wp:cNvGraphicFramePr>
              <a:graphicFrameLocks noChangeAspect="1"/>
            </wp:cNvGraphicFramePr>
            <a:graphic>
              <a:graphicData uri="http://schemas.openxmlformats.org/drawingml/2006/picture">
                <pic:pic>
                  <pic:nvPicPr>
                    <pic:cNvPr id="0" name="CTA_Stacked_Logo(3).png"/>
                    <pic:cNvPicPr/>
                  </pic:nvPicPr>
                  <pic:blipFill>
                    <a:blip r:embed="rId11"/>
                    <a:stretch>
                      <a:fillRect/>
                    </a:stretch>
                  </pic:blipFill>
                  <pic:spPr>
                    <a:xfrm>
                      <a:off x="0" y="0"/>
                      <a:ext cx="2148840" cy="1553281"/>
                    </a:xfrm>
                    <a:prstGeom prst="rect"/>
                  </pic:spPr>
                </pic:pic>
              </a:graphicData>
            </a:graphic>
          </wp:inline>
        </w:drawing>
      </w:r>
    </w:p>
    <w:p>
      <w:pPr>
        <w:spacing w:before="40" w:after="100" w:line="254" w:lineRule="auto"/>
        <w:jc w:val="center"/>
      </w:pPr>
      <w:r>
        <w:rPr>
          <w:rFonts w:ascii="Arial" w:hAnsi="Arial" w:eastAsia="Arial"/>
          <w:b/>
          <w:i w:val="0"/>
          <w:color w:val="1F7A8C"/>
          <w:sz w:val="25"/>
        </w:rPr>
        <w:t>LPCC NCMHCE EXAM PREPARATION PROGRAM</w:t>
      </w:r>
    </w:p>
    <w:p>
      <w:pPr>
        <w:spacing w:before="0" w:after="160" w:line="254" w:lineRule="auto"/>
        <w:jc w:val="center"/>
      </w:pPr>
      <w:r>
        <w:rPr>
          <w:rFonts w:ascii="Arial" w:hAnsi="Arial" w:eastAsia="Arial"/>
          <w:b/>
          <w:i w:val="0"/>
          <w:color w:val="C6922F"/>
          <w:sz w:val="31"/>
        </w:rPr>
        <w:t>Answer &amp; Rationales</w:t>
      </w:r>
    </w:p>
    <w:p>
      <w:pPr>
        <w:spacing w:before="0" w:after="60" w:line="240" w:lineRule="auto"/>
        <w:jc w:val="center"/>
        <w:pBdr>
          <w:bottom w:val="single" w:sz="12" w:space="1" w:color="159C9C"/>
        </w:pBdr>
      </w:pPr>
      <w:r>
        <w:rPr>
          <w:rFonts w:ascii="Arial" w:hAnsi="Arial" w:eastAsia="Arial"/>
          <w:b/>
          <w:i w:val="0"/>
          <w:color w:val="17365D"/>
          <w:sz w:val="44"/>
        </w:rPr>
        <w:t>Workbook 3: 17-Question Practice Bank</w:t>
      </w:r>
    </w:p>
    <w:p>
      <w:pPr>
        <w:spacing w:before="100" w:after="120" w:line="254" w:lineRule="auto"/>
        <w:jc w:val="center"/>
      </w:pPr>
      <w:r>
        <w:rPr>
          <w:rFonts w:ascii="Arial" w:hAnsi="Arial" w:eastAsia="Arial"/>
          <w:b/>
          <w:i w:val="0"/>
          <w:color w:val="17365D"/>
          <w:sz w:val="25"/>
        </w:rPr>
        <w:t>Intake, Informed Consent, Clinical Interviewing, MSE, and Biopsychosocial-Cultural Assessment</w:t>
      </w:r>
    </w:p>
    <w:p>
      <w:pPr>
        <w:spacing w:before="0" w:after="260" w:line="254" w:lineRule="auto"/>
        <w:jc w:val="center"/>
      </w:pPr>
      <w:r>
        <w:rPr>
          <w:rFonts w:ascii="Arial" w:hAnsi="Arial" w:eastAsia="Arial"/>
          <w:b w:val="0"/>
          <w:i/>
          <w:color w:val="4E5B6B"/>
          <w:sz w:val="23"/>
        </w:rPr>
        <w:t>Controlled review form - open only after completing the candidate form</w:t>
      </w:r>
    </w:p>
    <w:p>
      <w:pPr>
        <w:spacing w:before="0" w:after="240" w:line="254" w:lineRule="auto"/>
        <w:jc w:val="center"/>
      </w:pPr>
      <w:r>
        <w:rPr>
          <w:rFonts w:ascii="Arial" w:hAnsi="Arial" w:eastAsia="Arial"/>
          <w:b w:val="0"/>
          <w:i w:val="0"/>
          <w:color w:val="4E5B6B"/>
          <w:sz w:val="20"/>
        </w:rPr>
        <w:t>Version 1.0 - July 2026</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ORIGINAL CTA PRACTICE MATERIAL</w:t>
            </w:r>
          </w:p>
          <w:p>
            <w:pPr>
              <w:spacing w:after="20" w:line="250" w:lineRule="auto"/>
            </w:pPr>
            <w:r>
              <w:rPr>
                <w:rFonts w:ascii="Arial" w:hAnsi="Arial" w:eastAsia="Arial"/>
                <w:color w:val="1F2937"/>
                <w:sz w:val="20"/>
              </w:rPr>
              <w:t>Every question and case detail in this bank is an original CTA educational item. No item is an actual, recalled, reconstructed, or purported licensing-examination question.</w:t>
            </w:r>
          </w:p>
        </w:tc>
      </w:tr>
    </w:tbl>
    <w:p>
      <w:pPr>
        <w:spacing w:after="0"/>
      </w:pPr>
    </w:p>
    <w:p>
      <w:pPr>
        <w:spacing w:before="80" w:after="0" w:line="254" w:lineRule="auto"/>
        <w:jc w:val="center"/>
      </w:pPr>
      <w:r>
        <w:rPr>
          <w:rFonts w:ascii="Arial" w:hAnsi="Arial" w:eastAsia="Arial"/>
          <w:b/>
          <w:i w:val="0"/>
          <w:color w:val="17365D"/>
          <w:sz w:val="22"/>
        </w:rPr>
        <w:t>Clinical Training Academy</w:t>
      </w:r>
    </w:p>
    <w:p>
      <w:r>
        <w:br w:type="page"/>
      </w:r>
    </w:p>
    <w:p>
      <w:pPr>
        <w:pStyle w:val="Heading1"/>
      </w:pPr>
      <w:r>
        <w:rPr>
          <w:rFonts w:ascii="Arial" w:hAnsi="Arial" w:eastAsia="Arial"/>
          <w:b/>
          <w:color w:val="17365D"/>
          <w:sz w:val="34"/>
        </w:rPr>
        <w:t>How to Use the Rationales</w:t>
      </w:r>
    </w:p>
    <w:p>
      <w:pPr>
        <w:pStyle w:val="ListBullet"/>
        <w:spacing w:after="50" w:line="250" w:lineRule="auto"/>
        <w:keepLines/>
      </w:pPr>
      <w:r>
        <w:rPr>
          <w:rFonts w:ascii="Arial" w:hAnsi="Arial" w:eastAsia="Arial"/>
          <w:color w:val="1F2937"/>
          <w:sz w:val="20"/>
        </w:rPr>
        <w:t>Score the bank, but do not stop at the total. Mark every incorrect response and every correct response with confidence 1.</w:t>
      </w:r>
    </w:p>
    <w:p>
      <w:pPr>
        <w:pStyle w:val="ListBullet"/>
        <w:spacing w:after="50" w:line="250" w:lineRule="auto"/>
        <w:keepLines/>
      </w:pPr>
      <w:r>
        <w:rPr>
          <w:rFonts w:ascii="Arial" w:hAnsi="Arial" w:eastAsia="Arial"/>
          <w:color w:val="1F2937"/>
          <w:sz w:val="20"/>
        </w:rPr>
        <w:t>For each item, identify which evidence source controlled the answer: client report, direct observation, measure, collateral, medical information, or telehealth condition.</w:t>
      </w:r>
    </w:p>
    <w:p>
      <w:pPr>
        <w:pStyle w:val="ListBullet"/>
        <w:spacing w:after="50" w:line="250" w:lineRule="auto"/>
        <w:keepLines/>
      </w:pPr>
      <w:r>
        <w:rPr>
          <w:rFonts w:ascii="Arial" w:hAnsi="Arial" w:eastAsia="Arial"/>
          <w:color w:val="1F2937"/>
          <w:sz w:val="20"/>
        </w:rPr>
        <w:t>Explain why each distractor is weaker, especially when it treats a signature, score, cultural phrase, collateral statement, or observed behavior as a conclusion.</w:t>
      </w:r>
    </w:p>
    <w:p>
      <w:pPr>
        <w:pStyle w:val="ListBullet"/>
        <w:spacing w:after="50" w:line="250" w:lineRule="auto"/>
        <w:keepLines/>
      </w:pPr>
      <w:r>
        <w:rPr>
          <w:rFonts w:ascii="Arial" w:hAnsi="Arial" w:eastAsia="Arial"/>
          <w:color w:val="1F2937"/>
          <w:sz w:val="20"/>
        </w:rPr>
        <w:t>Apply the listed CTA error code or select another Workbook 3 code that better describes your reasoning.</w:t>
      </w:r>
    </w:p>
    <w:p>
      <w:pPr>
        <w:pStyle w:val="ListBullet"/>
        <w:spacing w:after="50" w:line="250" w:lineRule="auto"/>
        <w:keepLines/>
      </w:pPr>
      <w:r>
        <w:rPr>
          <w:rFonts w:ascii="Arial" w:hAnsi="Arial" w:eastAsia="Arial"/>
          <w:color w:val="1F2937"/>
          <w:sz w:val="20"/>
        </w:rPr>
        <w:t>Write one transferable correction rule and complete a new application item after targeted review.</w:t>
      </w:r>
    </w:p>
    <w:p>
      <w:pPr>
        <w:pStyle w:val="ListBullet"/>
        <w:spacing w:after="50" w:line="250" w:lineRule="auto"/>
        <w:keepLines/>
      </w:pPr>
      <w:r>
        <w:rPr>
          <w:rFonts w:ascii="Arial" w:hAnsi="Arial" w:eastAsia="Arial"/>
          <w:color w:val="1F2937"/>
          <w:sz w:val="20"/>
        </w:rPr>
        <w:t>Do not treat this bank score as an official NCMHCE passing score or guarantee.</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DIFFICULTY CONTROL</w:t>
            </w:r>
          </w:p>
          <w:p>
            <w:pPr>
              <w:spacing w:after="20" w:line="250" w:lineRule="auto"/>
            </w:pPr>
            <w:r>
              <w:rPr>
                <w:rFonts w:ascii="Arial" w:hAnsi="Arial" w:eastAsia="Arial"/>
                <w:color w:val="1F2937"/>
                <w:sz w:val="20"/>
              </w:rPr>
              <w:t>5 Easy, 7 Moderate, and 5 Difficult items. The bank contains five targeted questions and one three-part, 12-question case.</w:t>
            </w:r>
          </w:p>
        </w:tc>
      </w:tr>
    </w:tbl>
    <w:p>
      <w:pPr>
        <w:spacing w:after="0"/>
      </w:pPr>
    </w:p>
    <w:p>
      <w:pPr>
        <w:pStyle w:val="Heading2"/>
        <w:spacing w:before="140" w:after="80"/>
        <w:keepNext/>
      </w:pPr>
      <w:r>
        <w:rPr>
          <w:rFonts w:ascii="Arial" w:hAnsi="Arial" w:eastAsia="Arial"/>
          <w:b/>
          <w:color w:val="159C9C"/>
          <w:sz w:val="26"/>
        </w:rPr>
        <w:t>Answer Key Overview</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cantSplit/>
        </w:trPr>
        <w:tc>
          <w:tcPr>
            <w:tcW w:type="dxa" w:w="64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t>
            </w:r>
          </w:p>
        </w:tc>
        <w:tc>
          <w:tcPr>
            <w:tcW w:type="dxa" w:w="72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Key</w:t>
            </w:r>
          </w:p>
        </w:tc>
        <w:tc>
          <w:tcPr>
            <w:tcW w:type="dxa" w:w="151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Difficulty</w:t>
            </w:r>
          </w:p>
        </w:tc>
        <w:tc>
          <w:tcPr>
            <w:tcW w:type="dxa" w:w="511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Primary Concept</w:t>
            </w:r>
          </w:p>
        </w:tc>
        <w:tc>
          <w:tcPr>
            <w:tcW w:type="dxa" w:w="252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Primary Error Code</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Informed consent and third-party referral</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I - Intake / consent</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2</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Objective MSE documentation</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M - MSE / observation</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3</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Cultural formulation and client language</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 - Culture / meaning</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4</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Instrument selection and population fit</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T - Tools / measurement</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5</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Conflicting collateral information</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E - Evidence / discrepancy</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6</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Language access and privacy</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I - Intake / access</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7</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Biopsychosocial-cultural interview sequence</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A - Assessment / differential</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8</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Screening limits</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T - Tools / measurement</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9</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Evidence-matched working conclusion</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E - Evidence / certainty</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10</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MSE versus inference</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M - MSE / observation</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11</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Unsolicited collateral and confidentiality</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L - Legal / collateral</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12</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Baseline and outcome measurement</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T - Tools / measurement</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13</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Integrated formulation without premature closure</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E - Evidence / integration</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14</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Telehealth assessment conditions</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Q - Telehealth conditions</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15</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Urgent medical change</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R - Risk / medical urgency</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16</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Telehealth documentation and data limits</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M - MSE / documentation</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17</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Post-emergency continuity</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 - Sequence / continuity</w:t>
            </w:r>
          </w:p>
        </w:tc>
      </w:tr>
    </w:tbl>
    <w:p>
      <w:pPr>
        <w:spacing w:after="0"/>
      </w:pPr>
    </w:p>
    <w:p>
      <w:pPr>
        <w:pStyle w:val="Heading2"/>
        <w:spacing w:before="140" w:after="80"/>
        <w:keepNext/>
      </w:pPr>
      <w:r>
        <w:rPr>
          <w:rFonts w:ascii="Arial" w:hAnsi="Arial" w:eastAsia="Arial"/>
          <w:b/>
          <w:color w:val="159C9C"/>
          <w:sz w:val="26"/>
        </w:rPr>
        <w:t>Case Evidence Ledger</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80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Section</w:t>
            </w:r>
          </w:p>
        </w:tc>
        <w:tc>
          <w:tcPr>
            <w:tcW w:type="dxa" w:w="525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Decision-Relevant Evidence</w:t>
            </w:r>
          </w:p>
        </w:tc>
        <w:tc>
          <w:tcPr>
            <w:tcW w:type="dxa" w:w="345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What Is Not Yet Established</w:t>
            </w:r>
          </w:p>
        </w:tc>
      </w:tr>
      <w:tr>
        <w:trPr>
          <w:cantSplit/>
        </w:trPr>
        <w:tc>
          <w:tcPr>
            <w:tcW w:type="dxa" w:w="18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1 - Initial intake</w:t>
            </w:r>
          </w:p>
        </w:tc>
        <w:tc>
          <w:tcPr>
            <w:tcW w:type="dxa" w:w="52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Dalia has panic-like episodes, sleep and worry concerns, possible language-access and privacy issues, energy-drink use, a recent thyroid-medication change, no current chest pain or acute safety disclosure, and an organized MSE.</w:t>
            </w:r>
          </w:p>
        </w:tc>
        <w:tc>
          <w:tcPr>
            <w:tcW w:type="dxa" w:w="34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Final diagnosis; cause of symptoms; medical findings; validated measure results; work impairment; spouse information; telehealth conditions.</w:t>
            </w:r>
          </w:p>
        </w:tc>
      </w:tr>
      <w:tr>
        <w:trPr>
          <w:cantSplit/>
        </w:trPr>
        <w:tc>
          <w:tcPr>
            <w:tcW w:type="dxa" w:w="180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2 - Two weeks</w:t>
            </w:r>
          </w:p>
        </w:tc>
        <w:tc>
          <w:tcPr>
            <w:tcW w:type="dxa" w:w="525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Qualified interpreter used; medical coordination authorized; medication change confirmed; medical follow-up recommended; high anxiety score, mild depression score, work and driving impairment; objective MSE; unauthorized spouse call.</w:t>
            </w:r>
          </w:p>
        </w:tc>
        <w:tc>
          <w:tcPr>
            <w:tcW w:type="dxa" w:w="345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Final medical explanation; complete diagnostic criteria and exclusions; whether symptoms will improve; future telehealth emergency.</w:t>
            </w:r>
          </w:p>
        </w:tc>
      </w:tr>
      <w:tr>
        <w:trPr>
          <w:cantSplit/>
        </w:trPr>
        <w:tc>
          <w:tcPr>
            <w:tcW w:type="dxa" w:w="18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3 - Telehealth</w:t>
            </w:r>
          </w:p>
        </w:tc>
        <w:tc>
          <w:tcPr>
            <w:tcW w:type="dxa" w:w="52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Parked-car privacy and connection limitations; exact location verified; sudden severe headache; new slurred speech and loss of track; recent head injury; no immediate support person identified.</w:t>
            </w:r>
          </w:p>
        </w:tc>
        <w:tc>
          <w:tcPr>
            <w:tcW w:type="dxa" w:w="34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Medical diagnosis; long-term outcome; exact post-emergency treatment plan before stabilization and new information.</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EVIDENCE-CONTROL REMINDER</w:t>
            </w:r>
          </w:p>
          <w:p>
            <w:pPr>
              <w:spacing w:after="20" w:line="250" w:lineRule="auto"/>
            </w:pPr>
            <w:r>
              <w:rPr>
                <w:rFonts w:ascii="Arial" w:hAnsi="Arial" w:eastAsia="Arial"/>
                <w:color w:val="1F2937"/>
                <w:sz w:val="20"/>
              </w:rPr>
              <w:t>Later facts can guide later questions, but they cannot retroactively become evidence for an earlier case section.</w:t>
            </w:r>
          </w:p>
        </w:tc>
      </w:tr>
    </w:tbl>
    <w:p>
      <w:pPr>
        <w:spacing w:after="0"/>
      </w:pPr>
    </w:p>
    <w:p>
      <w:r>
        <w:br w:type="page"/>
      </w:r>
    </w:p>
    <w:p>
      <w:pPr>
        <w:pStyle w:val="Heading2"/>
        <w:spacing w:before="0" w:after="60"/>
      </w:pPr>
      <w:r>
        <w:rPr>
          <w:rFonts w:ascii="Arial" w:hAnsi="Arial" w:eastAsia="Arial"/>
          <w:b/>
          <w:color w:val="159C9C"/>
          <w:sz w:val="26"/>
        </w:rPr>
        <w:t>Question 1 (LPCC-WB03-PB-Q001)</w:t>
      </w:r>
    </w:p>
    <w:p>
      <w:pPr>
        <w:spacing w:before="100" w:after="40"/>
        <w:keepNext/>
      </w:pPr>
      <w:r>
        <w:rPr>
          <w:rFonts w:ascii="Arial" w:hAnsi="Arial" w:eastAsia="Arial"/>
          <w:b/>
          <w:color w:val="1F7A8C"/>
          <w:sz w:val="17"/>
        </w:rPr>
        <w:t>LPCC-WB03-PB-Q001 | Application | Easy | Primary concept: Informed consent and third-party referral</w:t>
      </w:r>
    </w:p>
    <w:p>
      <w:pPr>
        <w:spacing w:after="60" w:line="250" w:lineRule="auto"/>
      </w:pPr>
      <w:r>
        <w:rPr>
          <w:rFonts w:ascii="Arial" w:hAnsi="Arial" w:eastAsia="Arial"/>
          <w:b/>
          <w:color w:val="1F2937"/>
          <w:sz w:val="20"/>
        </w:rPr>
        <w:t>A client referred through an employee assistance program has signed all intake forms but asks, “Will my supervisor receive everything I say?” What should the counselor do FIRST?</w:t>
      </w:r>
    </w:p>
    <w:p>
      <w:pPr>
        <w:spacing w:after="40"/>
        <w:ind w:left="230" w:hanging="230"/>
      </w:pPr>
      <w:r>
        <w:rPr>
          <w:rFonts w:ascii="Arial" w:hAnsi="Arial" w:eastAsia="Arial"/>
          <w:sz w:val="20"/>
        </w:rPr>
        <w:t>A. Begin the clinical interview because the signed forms establish informed consent.</w:t>
      </w:r>
    </w:p>
    <w:p>
      <w:pPr>
        <w:spacing w:after="40"/>
        <w:ind w:left="230" w:hanging="230"/>
      </w:pPr>
      <w:r>
        <w:rPr>
          <w:rFonts w:ascii="Arial" w:hAnsi="Arial" w:eastAsia="Arial"/>
          <w:sz w:val="20"/>
        </w:rPr>
        <w:t>B. Clarify the counselor’s role, the client’s rights, confidentiality and its limits, what information may be disclosed, and the client’s questions before proceeding.</w:t>
      </w:r>
    </w:p>
    <w:p>
      <w:pPr>
        <w:spacing w:after="40"/>
        <w:ind w:left="230" w:hanging="230"/>
      </w:pPr>
      <w:r>
        <w:rPr>
          <w:rFonts w:ascii="Arial" w:hAnsi="Arial" w:eastAsia="Arial"/>
          <w:sz w:val="20"/>
        </w:rPr>
        <w:t>C. Assure the client that an employer can never receive any information under any circumstances.</w:t>
      </w:r>
    </w:p>
    <w:p>
      <w:pPr>
        <w:spacing w:after="40"/>
        <w:ind w:left="230" w:hanging="230"/>
      </w:pPr>
      <w:r>
        <w:rPr>
          <w:rFonts w:ascii="Arial" w:hAnsi="Arial" w:eastAsia="Arial"/>
          <w:sz w:val="20"/>
        </w:rPr>
        <w:t>D. Ask the supervisor to explain the referral agreement directly to the client.</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Clarify the counselor’s role, the client’s rights, confidentiality and its limits, what information may be disclosed, and the client’s questions before proceeding.</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A signature supports documentation but does not replace an understandable consent conversation or assessment of the client’s understanding.</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addresses the immediate consent uncertainty, third-party context, confidentiality, and client choice before collecting sensitive information.</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Absolute assurances are inaccurate because authorized, legally required, or otherwise permitted disclosures may exist.</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The counselor remains responsible for explaining the counseling relationship and applicable information-sharing conditions.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a client questions who will receive information, orient before assessing. A completed form does not resolve confusion about roles, privacy, or voluntariness.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I - Intake / consent. Resolve role, rights, confidentiality, and understanding before beginning a detailed assessment.</w:t>
            </w:r>
          </w:p>
        </w:tc>
      </w:tr>
    </w:tbl>
    <w:p>
      <w:pPr>
        <w:spacing w:after="0"/>
      </w:pPr>
    </w:p>
    <w:p>
      <w:r>
        <w:br w:type="page"/>
      </w:r>
    </w:p>
    <w:p>
      <w:pPr>
        <w:pStyle w:val="Heading2"/>
        <w:spacing w:before="0" w:after="60"/>
      </w:pPr>
      <w:r>
        <w:rPr>
          <w:rFonts w:ascii="Arial" w:hAnsi="Arial" w:eastAsia="Arial"/>
          <w:b/>
          <w:color w:val="159C9C"/>
          <w:sz w:val="26"/>
        </w:rPr>
        <w:t>Question 2 (LPCC-WB03-PB-Q002)</w:t>
      </w:r>
    </w:p>
    <w:p>
      <w:pPr>
        <w:spacing w:before="100" w:after="40"/>
        <w:keepNext/>
      </w:pPr>
      <w:r>
        <w:rPr>
          <w:rFonts w:ascii="Arial" w:hAnsi="Arial" w:eastAsia="Arial"/>
          <w:b/>
          <w:color w:val="1F7A8C"/>
          <w:sz w:val="17"/>
        </w:rPr>
        <w:t>LPCC-WB03-PB-Q002 | Knowledge &amp; Application | Easy | Primary concept: Objective MSE documentation</w:t>
      </w:r>
    </w:p>
    <w:p>
      <w:pPr>
        <w:spacing w:after="60" w:line="250" w:lineRule="auto"/>
      </w:pPr>
      <w:r>
        <w:rPr>
          <w:rFonts w:ascii="Arial" w:hAnsi="Arial" w:eastAsia="Arial"/>
          <w:b/>
          <w:color w:val="1F2937"/>
          <w:sz w:val="20"/>
        </w:rPr>
        <w:t>Which statement is the MOST objective mental status documentation?</w:t>
      </w:r>
    </w:p>
    <w:p>
      <w:pPr>
        <w:spacing w:after="40"/>
        <w:ind w:left="230" w:hanging="230"/>
      </w:pPr>
      <w:r>
        <w:rPr>
          <w:rFonts w:ascii="Arial" w:hAnsi="Arial" w:eastAsia="Arial"/>
          <w:sz w:val="20"/>
        </w:rPr>
        <w:t>A. The client was evasive and dramatic throughout the interview.</w:t>
      </w:r>
    </w:p>
    <w:p>
      <w:pPr>
        <w:spacing w:after="40"/>
        <w:ind w:left="230" w:hanging="230"/>
      </w:pPr>
      <w:r>
        <w:rPr>
          <w:rFonts w:ascii="Arial" w:hAnsi="Arial" w:eastAsia="Arial"/>
          <w:sz w:val="20"/>
        </w:rPr>
        <w:t>B. The client appeared manipulative when discussing housing.</w:t>
      </w:r>
    </w:p>
    <w:p>
      <w:pPr>
        <w:spacing w:after="40"/>
        <w:ind w:left="230" w:hanging="230"/>
      </w:pPr>
      <w:r>
        <w:rPr>
          <w:rFonts w:ascii="Arial" w:hAnsi="Arial" w:eastAsia="Arial"/>
          <w:sz w:val="20"/>
        </w:rPr>
        <w:t>C. The client was paranoid and refused to cooperate.</w:t>
      </w:r>
    </w:p>
    <w:p>
      <w:pPr>
        <w:spacing w:after="40"/>
        <w:ind w:left="230" w:hanging="230"/>
      </w:pPr>
      <w:r>
        <w:rPr>
          <w:rFonts w:ascii="Arial" w:hAnsi="Arial" w:eastAsia="Arial"/>
          <w:sz w:val="20"/>
        </w:rPr>
        <w:t>D. The client looked toward the hallway six times, lowered their voice when footsteps passed, and declined two questions about housing.</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The client looked toward the hallway six times, lowered their voice when footsteps passed, and declined two questions about housing.</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This uses interpretive character labels rather than observable behavior.</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“Manipulative” is an inference about motive and is not behavior-based documentation.</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“Paranoid” and “refused to cooperate” combine inference and judgment without enough behavioral detail.</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This records observable actions and the client’s response without assigning motive or diagnosis.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Choose the note another clinician could picture. Separate behavior, client report, and clinical inference.</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M - MSE / observation. Document what was seen and heard before explaining what it may mean.</w:t>
            </w:r>
          </w:p>
        </w:tc>
      </w:tr>
    </w:tbl>
    <w:p>
      <w:pPr>
        <w:spacing w:after="0"/>
      </w:pPr>
    </w:p>
    <w:p>
      <w:r>
        <w:br w:type="page"/>
      </w:r>
    </w:p>
    <w:p>
      <w:pPr>
        <w:pStyle w:val="Heading2"/>
        <w:spacing w:before="0" w:after="60"/>
      </w:pPr>
      <w:r>
        <w:rPr>
          <w:rFonts w:ascii="Arial" w:hAnsi="Arial" w:eastAsia="Arial"/>
          <w:b/>
          <w:color w:val="159C9C"/>
          <w:sz w:val="26"/>
        </w:rPr>
        <w:t>Question 3 (LPCC-WB03-PB-Q003)</w:t>
      </w:r>
    </w:p>
    <w:p>
      <w:pPr>
        <w:spacing w:before="100" w:after="40"/>
        <w:keepNext/>
      </w:pPr>
      <w:r>
        <w:rPr>
          <w:rFonts w:ascii="Arial" w:hAnsi="Arial" w:eastAsia="Arial"/>
          <w:b/>
          <w:color w:val="1F7A8C"/>
          <w:sz w:val="17"/>
        </w:rPr>
        <w:t>LPCC-WB03-PB-Q003 | Application | Moderate | Primary concept: Cultural formulation and client language</w:t>
      </w:r>
    </w:p>
    <w:p>
      <w:pPr>
        <w:spacing w:after="60" w:line="250" w:lineRule="auto"/>
      </w:pPr>
      <w:r>
        <w:rPr>
          <w:rFonts w:ascii="Arial" w:hAnsi="Arial" w:eastAsia="Arial"/>
          <w:b/>
          <w:color w:val="1F2937"/>
          <w:sz w:val="20"/>
        </w:rPr>
        <w:t>A client repeatedly describes “pressure in my spirit” and rejects the counselor’s early use of the term anxiety. What is the BEST response?</w:t>
      </w:r>
    </w:p>
    <w:p>
      <w:pPr>
        <w:spacing w:after="40"/>
        <w:ind w:left="230" w:hanging="230"/>
      </w:pPr>
      <w:r>
        <w:rPr>
          <w:rFonts w:ascii="Arial" w:hAnsi="Arial" w:eastAsia="Arial"/>
          <w:sz w:val="20"/>
        </w:rPr>
        <w:t>A. Ask what the phrase means to the client, how the client and community understand it, how it affects functioning, and then assess symptoms, duration, medical factors, substances, and differentials using the client’s language where possible.</w:t>
      </w:r>
    </w:p>
    <w:p>
      <w:pPr>
        <w:spacing w:after="40"/>
        <w:ind w:left="230" w:hanging="230"/>
      </w:pPr>
      <w:r>
        <w:rPr>
          <w:rFonts w:ascii="Arial" w:hAnsi="Arial" w:eastAsia="Arial"/>
          <w:sz w:val="20"/>
        </w:rPr>
        <w:t>B. Explain that anxiety is the correct clinical term and continue with the standard diagnostic checklist.</w:t>
      </w:r>
    </w:p>
    <w:p>
      <w:pPr>
        <w:spacing w:after="40"/>
        <w:ind w:left="230" w:hanging="230"/>
      </w:pPr>
      <w:r>
        <w:rPr>
          <w:rFonts w:ascii="Arial" w:hAnsi="Arial" w:eastAsia="Arial"/>
          <w:sz w:val="20"/>
        </w:rPr>
        <w:t>C. Avoid further symptom assessment because using diagnostic language could be culturally insensitive.</w:t>
      </w:r>
    </w:p>
    <w:p>
      <w:pPr>
        <w:spacing w:after="40"/>
        <w:ind w:left="230" w:hanging="230"/>
      </w:pPr>
      <w:r>
        <w:rPr>
          <w:rFonts w:ascii="Arial" w:hAnsi="Arial" w:eastAsia="Arial"/>
          <w:sz w:val="20"/>
        </w:rPr>
        <w:t>D. Assume the phrase indicates a religious delusion and arrange emergency evaluation.</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Ask what the phrase means to the client, how the client and community understand it, how it affects functioning, and then assess symptoms, duration, medical factors, substances, and differentials using the client’s language where possible.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This preserves the client’s explanatory model while continuing clinically necessary assessment and differential reasoning.</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Correcting the client prematurely may damage alliance and ignores the client’s meaning.</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Cultural responsiveness does not require abandoning symptom, medical, functional, or diagnostic assessment.</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The phrase alone does not establish psychosis, dangerousness, or emergency need.</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Do not choose between culture and clinical assessment. Use the client’s meaning as data while still clarifying symptoms, function, risk, and alternative explanations.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C - Culture / meaning. Ask before interpreting and integrate cultural meaning with clinical and medical assessment.</w:t>
            </w:r>
          </w:p>
        </w:tc>
      </w:tr>
    </w:tbl>
    <w:p>
      <w:pPr>
        <w:spacing w:after="0"/>
      </w:pPr>
    </w:p>
    <w:p>
      <w:r>
        <w:br w:type="page"/>
      </w:r>
    </w:p>
    <w:p>
      <w:pPr>
        <w:pStyle w:val="Heading2"/>
        <w:spacing w:before="0" w:after="60"/>
      </w:pPr>
      <w:r>
        <w:rPr>
          <w:rFonts w:ascii="Arial" w:hAnsi="Arial" w:eastAsia="Arial"/>
          <w:b/>
          <w:color w:val="159C9C"/>
          <w:sz w:val="26"/>
        </w:rPr>
        <w:t>Question 4 (LPCC-WB03-PB-Q004)</w:t>
      </w:r>
    </w:p>
    <w:p>
      <w:pPr>
        <w:spacing w:before="100" w:after="40"/>
        <w:keepNext/>
      </w:pPr>
      <w:r>
        <w:rPr>
          <w:rFonts w:ascii="Arial" w:hAnsi="Arial" w:eastAsia="Arial"/>
          <w:b/>
          <w:color w:val="1F7A8C"/>
          <w:sz w:val="17"/>
        </w:rPr>
        <w:t>LPCC-WB03-PB-Q004 | Application | Moderate | Primary concept: Instrument selection and population fit</w:t>
      </w:r>
    </w:p>
    <w:p>
      <w:pPr>
        <w:spacing w:after="60" w:line="250" w:lineRule="auto"/>
      </w:pPr>
      <w:r>
        <w:rPr>
          <w:rFonts w:ascii="Arial" w:hAnsi="Arial" w:eastAsia="Arial"/>
          <w:b/>
          <w:color w:val="1F2937"/>
          <w:sz w:val="20"/>
        </w:rPr>
        <w:t>A counselor is selecting a symptom measure for an older adult whose preferred language is not English. Which factor is MOST important before administration?</w:t>
      </w:r>
    </w:p>
    <w:p>
      <w:pPr>
        <w:spacing w:after="40"/>
        <w:ind w:left="230" w:hanging="230"/>
      </w:pPr>
      <w:r>
        <w:rPr>
          <w:rFonts w:ascii="Arial" w:hAnsi="Arial" w:eastAsia="Arial"/>
          <w:sz w:val="20"/>
        </w:rPr>
        <w:t>A. Whether the measure is the shortest option available.</w:t>
      </w:r>
    </w:p>
    <w:p>
      <w:pPr>
        <w:spacing w:after="40"/>
        <w:ind w:left="230" w:hanging="230"/>
      </w:pPr>
      <w:r>
        <w:rPr>
          <w:rFonts w:ascii="Arial" w:hAnsi="Arial" w:eastAsia="Arial"/>
          <w:sz w:val="20"/>
        </w:rPr>
        <w:t>B. Whether the counselor has used the measure with other clients.</w:t>
      </w:r>
    </w:p>
    <w:p>
      <w:pPr>
        <w:spacing w:after="40"/>
        <w:ind w:left="230" w:hanging="230"/>
      </w:pPr>
      <w:r>
        <w:rPr>
          <w:rFonts w:ascii="Arial" w:hAnsi="Arial" w:eastAsia="Arial"/>
          <w:sz w:val="20"/>
        </w:rPr>
        <w:t>C. Whether the measure’s purpose, language, evidence, norms, accessibility, limitations, and planned clinical use fit this client and the decision being made.</w:t>
      </w:r>
    </w:p>
    <w:p>
      <w:pPr>
        <w:spacing w:after="40"/>
        <w:ind w:left="230" w:hanging="230"/>
      </w:pPr>
      <w:r>
        <w:rPr>
          <w:rFonts w:ascii="Arial" w:hAnsi="Arial" w:eastAsia="Arial"/>
          <w:sz w:val="20"/>
        </w:rPr>
        <w:t>D. Whether the measure produces a diagnostic label automatically.</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Whether the measure’s purpose, language, evidence, norms, accessibility, limitations, and planned clinical use fit this client and the decision being made.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Brevity may reduce burden but does not establish validity, accessibility, or usefulness for the client.</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Counselor familiarity does not substitute for population fit, language access, evidence, or competence.</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This applies a complete selection process tied to purpose, client fit, limitations, and the action the result will inform.</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Screening and symptom measures do not independently establish a diagnosis.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Select the tool by purpose and fit, not convenience. Ask what decision the result will change before administering it.</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T - Tools / measurement. Use measures only when purpose, evidence, language, accessibility, competence, and planned action align.</w:t>
            </w:r>
          </w:p>
        </w:tc>
      </w:tr>
    </w:tbl>
    <w:p>
      <w:pPr>
        <w:spacing w:after="0"/>
      </w:pPr>
    </w:p>
    <w:p>
      <w:r>
        <w:br w:type="page"/>
      </w:r>
    </w:p>
    <w:p>
      <w:pPr>
        <w:pStyle w:val="Heading2"/>
        <w:spacing w:before="0" w:after="60"/>
      </w:pPr>
      <w:r>
        <w:rPr>
          <w:rFonts w:ascii="Arial" w:hAnsi="Arial" w:eastAsia="Arial"/>
          <w:b/>
          <w:color w:val="159C9C"/>
          <w:sz w:val="26"/>
        </w:rPr>
        <w:t>Question 5 (LPCC-WB03-PB-Q005)</w:t>
      </w:r>
    </w:p>
    <w:p>
      <w:pPr>
        <w:spacing w:before="100" w:after="40"/>
        <w:keepNext/>
      </w:pPr>
      <w:r>
        <w:rPr>
          <w:rFonts w:ascii="Arial" w:hAnsi="Arial" w:eastAsia="Arial"/>
          <w:b/>
          <w:color w:val="1F7A8C"/>
          <w:sz w:val="17"/>
        </w:rPr>
        <w:t>LPCC-WB03-PB-Q005 | Integrated Clinical Reasoning | Difficult | Primary concept: Conflicting collateral information</w:t>
      </w:r>
    </w:p>
    <w:p>
      <w:pPr>
        <w:spacing w:after="60" w:line="250" w:lineRule="auto"/>
      </w:pPr>
      <w:r>
        <w:rPr>
          <w:rFonts w:ascii="Arial" w:hAnsi="Arial" w:eastAsia="Arial"/>
          <w:b/>
          <w:color w:val="1F2937"/>
          <w:sz w:val="20"/>
        </w:rPr>
        <w:t>A client reports that work functioning is unchanged, while an authorized collateral source says the client has missed several deadlines. What should the counselor do NEXT?</w:t>
      </w:r>
    </w:p>
    <w:p>
      <w:pPr>
        <w:spacing w:after="40"/>
        <w:ind w:left="230" w:hanging="230"/>
      </w:pPr>
      <w:r>
        <w:rPr>
          <w:rFonts w:ascii="Arial" w:hAnsi="Arial" w:eastAsia="Arial"/>
          <w:sz w:val="20"/>
        </w:rPr>
        <w:t>A. Accept the collateral report because outside observers are more objective than clients.</w:t>
      </w:r>
    </w:p>
    <w:p>
      <w:pPr>
        <w:spacing w:after="40"/>
        <w:ind w:left="230" w:hanging="230"/>
      </w:pPr>
      <w:r>
        <w:rPr>
          <w:rFonts w:ascii="Arial" w:hAnsi="Arial" w:eastAsia="Arial"/>
          <w:sz w:val="20"/>
        </w:rPr>
        <w:t>B. Document each source separately, explore the discrepancy with the client when clinically appropriate, assess context and possible bias, and determine what additional information is needed before drawing a conclusion.</w:t>
      </w:r>
    </w:p>
    <w:p>
      <w:pPr>
        <w:spacing w:after="40"/>
        <w:ind w:left="230" w:hanging="230"/>
      </w:pPr>
      <w:r>
        <w:rPr>
          <w:rFonts w:ascii="Arial" w:hAnsi="Arial" w:eastAsia="Arial"/>
          <w:sz w:val="20"/>
        </w:rPr>
        <w:t>C. Conclude that the client lacks insight and revise the diagnosis immediately.</w:t>
      </w:r>
    </w:p>
    <w:p>
      <w:pPr>
        <w:spacing w:after="40"/>
        <w:ind w:left="230" w:hanging="230"/>
      </w:pPr>
      <w:r>
        <w:rPr>
          <w:rFonts w:ascii="Arial" w:hAnsi="Arial" w:eastAsia="Arial"/>
          <w:sz w:val="20"/>
        </w:rPr>
        <w:t>D. Stop using collateral information because the sources disagree.</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Document each source separately, explore the discrepancy with the client when clinically appropriate, assess context and possible bias, and determine what additional information is needed before drawing a conclusion.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Collateral information is useful but not automatically more accurate; source context, incentives, and opportunity to observe matter.</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preserves source distinctions, evaluates limitations, includes the client, and avoids premature closure.</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A discrepancy alone does not prove impaired insight or justify immediate diagnostic revision.</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Disagreement can be clinically informative and should be assessed rather than discarded.</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Do not choose a winner between sources automatically. Keep source, context, limits, and discrepancy visible until the evidence supports a conclusion.</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E - Evidence / discrepancy. Treat collateral as one data source and investigate discrepancies before changing the formulation.</w:t>
            </w:r>
          </w:p>
        </w:tc>
      </w:tr>
    </w:tbl>
    <w:p>
      <w:pPr>
        <w:spacing w:after="0"/>
      </w:pPr>
    </w:p>
    <w:p>
      <w:r>
        <w:br w:type="page"/>
      </w:r>
    </w:p>
    <w:p>
      <w:pPr>
        <w:pStyle w:val="Heading2"/>
        <w:spacing w:before="0" w:after="60"/>
      </w:pPr>
      <w:r>
        <w:rPr>
          <w:rFonts w:ascii="Arial" w:hAnsi="Arial" w:eastAsia="Arial"/>
          <w:b/>
          <w:color w:val="159C9C"/>
          <w:sz w:val="26"/>
        </w:rPr>
        <w:t>Question 6 (LPCC-WB03-PB-Q006)</w:t>
      </w:r>
    </w:p>
    <w:p>
      <w:pPr>
        <w:spacing w:before="100" w:after="40"/>
        <w:keepNext/>
      </w:pPr>
      <w:r>
        <w:rPr>
          <w:rFonts w:ascii="Arial" w:hAnsi="Arial" w:eastAsia="Arial"/>
          <w:b/>
          <w:color w:val="1F7A8C"/>
          <w:sz w:val="17"/>
        </w:rPr>
        <w:t>LPCC-WB03-PB-Q006 | Application | Easy | Primary concept: Language access and privacy</w:t>
      </w:r>
    </w:p>
    <w:p>
      <w:pPr>
        <w:spacing w:after="60" w:line="250" w:lineRule="auto"/>
      </w:pPr>
      <w:r>
        <w:rPr>
          <w:rFonts w:ascii="Arial" w:hAnsi="Arial" w:eastAsia="Arial"/>
          <w:b/>
          <w:color w:val="1F2937"/>
          <w:sz w:val="20"/>
        </w:rPr>
        <w:t>What should the counselor do FIRST regarding the cousin’s offer to interpret?</w:t>
      </w:r>
    </w:p>
    <w:p>
      <w:pPr>
        <w:spacing w:after="40"/>
        <w:ind w:left="230" w:hanging="230"/>
      </w:pPr>
      <w:r>
        <w:rPr>
          <w:rFonts w:ascii="Arial" w:hAnsi="Arial" w:eastAsia="Arial"/>
          <w:sz w:val="20"/>
        </w:rPr>
        <w:t>A. Use the cousin because Dalia said the arrangement was acceptable.</w:t>
      </w:r>
    </w:p>
    <w:p>
      <w:pPr>
        <w:spacing w:after="40"/>
        <w:ind w:left="230" w:hanging="230"/>
      </w:pPr>
      <w:r>
        <w:rPr>
          <w:rFonts w:ascii="Arial" w:hAnsi="Arial" w:eastAsia="Arial"/>
          <w:sz w:val="20"/>
        </w:rPr>
        <w:t>B. Ask the cousin to leave permanently and conduct the intake only in English.</w:t>
      </w:r>
    </w:p>
    <w:p>
      <w:pPr>
        <w:spacing w:after="40"/>
        <w:ind w:left="230" w:hanging="230"/>
      </w:pPr>
      <w:r>
        <w:rPr>
          <w:rFonts w:ascii="Arial" w:hAnsi="Arial" w:eastAsia="Arial"/>
          <w:sz w:val="20"/>
        </w:rPr>
        <w:t>C. Speak privately with Dalia about language preference, confidentiality, voluntariness, and qualified interpreter options before deciding how to proceed.</w:t>
      </w:r>
    </w:p>
    <w:p>
      <w:pPr>
        <w:spacing w:after="40"/>
        <w:ind w:left="230" w:hanging="230"/>
      </w:pPr>
      <w:r>
        <w:rPr>
          <w:rFonts w:ascii="Arial" w:hAnsi="Arial" w:eastAsia="Arial"/>
          <w:sz w:val="20"/>
        </w:rPr>
        <w:t>D. Require Dalia to reschedule after locating her own professional interpreter.</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Speak privately with Dalia about language preference, confidentiality, voluntariness, and qualified interpreter options before deciding how to proceed.</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A brief statement of acceptance may not establish informed, voluntary preference, especially when the client appears hesitant.</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Removing the cousin without discussing Dalia’s preferences and options may disregard autonomy and access needs.</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This protects privacy, clarifies voluntariness, and offers qualified language access while centering the client’s choice.</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The clinic should not automatically shift the burden of obtaining access onto the client or create an unnecessary barrier.</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a family member offers to interpret, assess the client’s preference privately before assuming voluntariness, privacy, or accuracy.</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I - Intake / access. Clarify language preference, confidentiality, voluntariness, and qualified options before using a family interpreter.</w:t>
            </w:r>
          </w:p>
        </w:tc>
      </w:tr>
    </w:tbl>
    <w:p>
      <w:pPr>
        <w:spacing w:after="0"/>
      </w:pPr>
    </w:p>
    <w:p>
      <w:r>
        <w:br w:type="page"/>
      </w:r>
    </w:p>
    <w:p>
      <w:pPr>
        <w:pStyle w:val="Heading2"/>
        <w:spacing w:before="0" w:after="60"/>
      </w:pPr>
      <w:r>
        <w:rPr>
          <w:rFonts w:ascii="Arial" w:hAnsi="Arial" w:eastAsia="Arial"/>
          <w:b/>
          <w:color w:val="159C9C"/>
          <w:sz w:val="26"/>
        </w:rPr>
        <w:t>Question 7 (LPCC-WB03-PB-Q007)</w:t>
      </w:r>
    </w:p>
    <w:p>
      <w:pPr>
        <w:spacing w:before="100" w:after="40"/>
        <w:keepNext/>
      </w:pPr>
      <w:r>
        <w:rPr>
          <w:rFonts w:ascii="Arial" w:hAnsi="Arial" w:eastAsia="Arial"/>
          <w:b/>
          <w:color w:val="1F7A8C"/>
          <w:sz w:val="17"/>
        </w:rPr>
        <w:t>LPCC-WB03-PB-Q007 | Integrated Clinical Reasoning | Moderate | Primary concept: Biopsychosocial-cultural interview sequence</w:t>
      </w:r>
    </w:p>
    <w:p>
      <w:pPr>
        <w:spacing w:after="60" w:line="250" w:lineRule="auto"/>
      </w:pPr>
      <w:r>
        <w:rPr>
          <w:rFonts w:ascii="Arial" w:hAnsi="Arial" w:eastAsia="Arial"/>
          <w:b/>
          <w:color w:val="1F2937"/>
          <w:sz w:val="20"/>
        </w:rPr>
        <w:t>Which assessment approach is BEST supported by the information available?</w:t>
      </w:r>
    </w:p>
    <w:p>
      <w:pPr>
        <w:spacing w:after="40"/>
        <w:ind w:left="230" w:hanging="230"/>
      </w:pPr>
      <w:r>
        <w:rPr>
          <w:rFonts w:ascii="Arial" w:hAnsi="Arial" w:eastAsia="Arial"/>
          <w:sz w:val="20"/>
        </w:rPr>
        <w:t>A. Clarify episode onset, duration, triggers, impairment, medical symptoms, medication change, caffeine use, sleep, stress, cultural meaning, and safety before assigning a diagnosis.</w:t>
      </w:r>
    </w:p>
    <w:p>
      <w:pPr>
        <w:spacing w:after="40"/>
        <w:ind w:left="230" w:hanging="230"/>
      </w:pPr>
      <w:r>
        <w:rPr>
          <w:rFonts w:ascii="Arial" w:hAnsi="Arial" w:eastAsia="Arial"/>
          <w:sz w:val="20"/>
        </w:rPr>
        <w:t>B. Diagnose panic disorder because the client reports racing heart, trembling, dizziness, and worry.</w:t>
      </w:r>
    </w:p>
    <w:p>
      <w:pPr>
        <w:spacing w:after="40"/>
        <w:ind w:left="230" w:hanging="230"/>
      </w:pPr>
      <w:r>
        <w:rPr>
          <w:rFonts w:ascii="Arial" w:hAnsi="Arial" w:eastAsia="Arial"/>
          <w:sz w:val="20"/>
        </w:rPr>
        <w:t>C. Focus only on thyroid medication because medical factors exclude counseling concerns.</w:t>
      </w:r>
    </w:p>
    <w:p>
      <w:pPr>
        <w:spacing w:after="40"/>
        <w:ind w:left="230" w:hanging="230"/>
      </w:pPr>
      <w:r>
        <w:rPr>
          <w:rFonts w:ascii="Arial" w:hAnsi="Arial" w:eastAsia="Arial"/>
          <w:sz w:val="20"/>
        </w:rPr>
        <w:t>D. Explore family conflict in depth before clarifying the physical symptoms or medication change.</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Clarify episode onset, duration, triggers, impairment, medical symptoms, medication change, caffeine use, sleep, stress, cultural meaning, and safety before assigning a diagnosis.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This gathers the information needed for differential reasoning while integrating medical, substance, functional, contextual, and cultural data.</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The current facts do not establish the full criteria, course, exclusions, or differential diagnosis.</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Possible medical contributors require coordination but do not eliminate psychological, behavioral, or contextual assessment.</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Family context may matter, but the current symptom pattern and possible medical contributors require purposeful clarification first.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symptoms can have several explanations, widen the interview before narrowing the diagnosis. Ask what is missing for the next decision.</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A - Assessment / differential. Integrate symptom course, function, medical and substance factors, safety, and client meaning before diagnosis.</w:t>
            </w:r>
          </w:p>
        </w:tc>
      </w:tr>
    </w:tbl>
    <w:p>
      <w:pPr>
        <w:spacing w:after="0"/>
      </w:pPr>
    </w:p>
    <w:p>
      <w:r>
        <w:br w:type="page"/>
      </w:r>
    </w:p>
    <w:p>
      <w:pPr>
        <w:pStyle w:val="Heading2"/>
        <w:spacing w:before="0" w:after="60"/>
      </w:pPr>
      <w:r>
        <w:rPr>
          <w:rFonts w:ascii="Arial" w:hAnsi="Arial" w:eastAsia="Arial"/>
          <w:b/>
          <w:color w:val="159C9C"/>
          <w:sz w:val="26"/>
        </w:rPr>
        <w:t>Question 8 (LPCC-WB03-PB-Q008)</w:t>
      </w:r>
    </w:p>
    <w:p>
      <w:pPr>
        <w:spacing w:before="100" w:after="40"/>
        <w:keepNext/>
      </w:pPr>
      <w:r>
        <w:rPr>
          <w:rFonts w:ascii="Arial" w:hAnsi="Arial" w:eastAsia="Arial"/>
          <w:b/>
          <w:color w:val="1F7A8C"/>
          <w:sz w:val="17"/>
        </w:rPr>
        <w:t>LPCC-WB03-PB-Q008 | Application | Moderate | Primary concept: Screening limits</w:t>
      </w:r>
    </w:p>
    <w:p>
      <w:pPr>
        <w:spacing w:after="60" w:line="250" w:lineRule="auto"/>
      </w:pPr>
      <w:r>
        <w:rPr>
          <w:rFonts w:ascii="Arial" w:hAnsi="Arial" w:eastAsia="Arial"/>
          <w:b/>
          <w:color w:val="1F2937"/>
          <w:sz w:val="20"/>
        </w:rPr>
        <w:t>A brief anxiety screener is elevated. What is the MOST accurate interpretation?</w:t>
      </w:r>
    </w:p>
    <w:p>
      <w:pPr>
        <w:spacing w:after="40"/>
        <w:ind w:left="230" w:hanging="230"/>
      </w:pPr>
      <w:r>
        <w:rPr>
          <w:rFonts w:ascii="Arial" w:hAnsi="Arial" w:eastAsia="Arial"/>
          <w:sz w:val="20"/>
        </w:rPr>
        <w:t>A. The score confirms an anxiety disorder and identifies the correct treatment.</w:t>
      </w:r>
    </w:p>
    <w:p>
      <w:pPr>
        <w:spacing w:after="40"/>
        <w:ind w:left="230" w:hanging="230"/>
      </w:pPr>
      <w:r>
        <w:rPr>
          <w:rFonts w:ascii="Arial" w:hAnsi="Arial" w:eastAsia="Arial"/>
          <w:sz w:val="20"/>
        </w:rPr>
        <w:t>B. The score is invalid because a physician suggested the referral.</w:t>
      </w:r>
    </w:p>
    <w:p>
      <w:pPr>
        <w:spacing w:after="40"/>
        <w:ind w:left="230" w:hanging="230"/>
      </w:pPr>
      <w:r>
        <w:rPr>
          <w:rFonts w:ascii="Arial" w:hAnsi="Arial" w:eastAsia="Arial"/>
          <w:sz w:val="20"/>
        </w:rPr>
        <w:t>C. The score proves the symptoms are not related to medication, caffeine, or a medical condition.</w:t>
      </w:r>
    </w:p>
    <w:p>
      <w:pPr>
        <w:spacing w:after="40"/>
        <w:ind w:left="230" w:hanging="230"/>
      </w:pPr>
      <w:r>
        <w:rPr>
          <w:rFonts w:ascii="Arial" w:hAnsi="Arial" w:eastAsia="Arial"/>
          <w:sz w:val="20"/>
        </w:rPr>
        <w:t>D. The score supports further assessment and may provide a baseline, but it does not establish diagnosis or causation by itself.</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The score supports further assessment and may provide a baseline, but it does not establish diagnosis or causation by itself.</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A screening score does not independently establish diagnosis or select treatment.</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Referral source does not determine whether a measure is valid or useful.</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The measure cannot rule out medical, medication, substance, or contextual contributors.</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This correctly uses the result as one source that may guide further assessment and later measurement.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Screening opens a question; it does not close the case. Keep the score tied to purpose, limitations, and the next assessment step.</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T - Tools / measurement. Use an elevated screen to guide clarification and baseline tracking, not as a stand-alone diagnosis.</w:t>
            </w:r>
          </w:p>
        </w:tc>
      </w:tr>
    </w:tbl>
    <w:p>
      <w:pPr>
        <w:spacing w:after="0"/>
      </w:pPr>
    </w:p>
    <w:p>
      <w:r>
        <w:br w:type="page"/>
      </w:r>
    </w:p>
    <w:p>
      <w:pPr>
        <w:pStyle w:val="Heading2"/>
        <w:spacing w:before="0" w:after="60"/>
      </w:pPr>
      <w:r>
        <w:rPr>
          <w:rFonts w:ascii="Arial" w:hAnsi="Arial" w:eastAsia="Arial"/>
          <w:b/>
          <w:color w:val="159C9C"/>
          <w:sz w:val="26"/>
        </w:rPr>
        <w:t>Question 9 (LPCC-WB03-PB-Q009)</w:t>
      </w:r>
    </w:p>
    <w:p>
      <w:pPr>
        <w:spacing w:before="100" w:after="40"/>
        <w:keepNext/>
      </w:pPr>
      <w:r>
        <w:rPr>
          <w:rFonts w:ascii="Arial" w:hAnsi="Arial" w:eastAsia="Arial"/>
          <w:b/>
          <w:color w:val="1F7A8C"/>
          <w:sz w:val="17"/>
        </w:rPr>
        <w:t>LPCC-WB03-PB-Q009 | Integrated Clinical Reasoning | Difficult | Primary concept: Evidence-matched working conclusion</w:t>
      </w:r>
    </w:p>
    <w:p>
      <w:pPr>
        <w:spacing w:after="60" w:line="250" w:lineRule="auto"/>
      </w:pPr>
      <w:r>
        <w:rPr>
          <w:rFonts w:ascii="Arial" w:hAnsi="Arial" w:eastAsia="Arial"/>
          <w:b/>
          <w:color w:val="1F2937"/>
          <w:sz w:val="20"/>
        </w:rPr>
        <w:t>Which conclusion is BEST supported at the end of the initial section?</w:t>
      </w:r>
    </w:p>
    <w:p>
      <w:pPr>
        <w:spacing w:after="40"/>
        <w:ind w:left="230" w:hanging="230"/>
      </w:pPr>
      <w:r>
        <w:rPr>
          <w:rFonts w:ascii="Arial" w:hAnsi="Arial" w:eastAsia="Arial"/>
          <w:sz w:val="20"/>
        </w:rPr>
        <w:t>A. Dalia has panic disorder caused by workplace stress.</w:t>
      </w:r>
    </w:p>
    <w:p>
      <w:pPr>
        <w:spacing w:after="40"/>
        <w:ind w:left="230" w:hanging="230"/>
      </w:pPr>
      <w:r>
        <w:rPr>
          <w:rFonts w:ascii="Arial" w:hAnsi="Arial" w:eastAsia="Arial"/>
          <w:sz w:val="20"/>
        </w:rPr>
        <w:t>B. Dalia has clinically significant episodes requiring continued assessment of symptom pattern, functioning, medical and medication factors, caffeine, sleep, cultural meaning, and diagnostic differentials, with medical coordination as indicated.</w:t>
      </w:r>
    </w:p>
    <w:p>
      <w:pPr>
        <w:spacing w:after="40"/>
        <w:ind w:left="230" w:hanging="230"/>
      </w:pPr>
      <w:r>
        <w:rPr>
          <w:rFonts w:ascii="Arial" w:hAnsi="Arial" w:eastAsia="Arial"/>
          <w:sz w:val="20"/>
        </w:rPr>
        <w:t>C. Dalia’s symptoms are primarily a cultural expression and do not require medical review.</w:t>
      </w:r>
    </w:p>
    <w:p>
      <w:pPr>
        <w:spacing w:after="40"/>
        <w:ind w:left="230" w:hanging="230"/>
      </w:pPr>
      <w:r>
        <w:rPr>
          <w:rFonts w:ascii="Arial" w:hAnsi="Arial" w:eastAsia="Arial"/>
          <w:sz w:val="20"/>
        </w:rPr>
        <w:t>D. Dalia requires emergency psychiatric hospitalization because she reports chest pressure during past episodes.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Dalia has clinically significant episodes requiring continued assessment of symptom pattern, functioning, medical and medication factors, caffeine, sleep, cultural meaning, and diagnostic differentials, with medical coordination as indicated.</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The diagnosis and cause are stronger than the current evidence supports.</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conclusion stays within the facts, identifies the missing assessment tasks, and recognizes possible medical coordination without overreacting.</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Cultural meaning matters, but it does not replace medical, functional, or diagnostic assessment.</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Past chest pressure requires medical consideration, but the current facts do not support automatic psychiatric hospitalization.</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Select the conclusion whose certainty matches the evidence. “Requires further assessment” is correct when key criteria and exclusions remain unresolved.</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E - Evidence / certainty. Do not make the conclusion stronger than the available symptom, medical, functional, and contextual data.</w:t>
            </w:r>
          </w:p>
        </w:tc>
      </w:tr>
    </w:tbl>
    <w:p>
      <w:pPr>
        <w:spacing w:after="0"/>
      </w:pPr>
    </w:p>
    <w:p>
      <w:r>
        <w:br w:type="page"/>
      </w:r>
    </w:p>
    <w:p>
      <w:pPr>
        <w:pStyle w:val="Heading2"/>
        <w:spacing w:before="0" w:after="60"/>
      </w:pPr>
      <w:r>
        <w:rPr>
          <w:rFonts w:ascii="Arial" w:hAnsi="Arial" w:eastAsia="Arial"/>
          <w:b/>
          <w:color w:val="159C9C"/>
          <w:sz w:val="26"/>
        </w:rPr>
        <w:t>Question 10 (LPCC-WB03-PB-Q010)</w:t>
      </w:r>
    </w:p>
    <w:p>
      <w:pPr>
        <w:spacing w:before="100" w:after="40"/>
        <w:keepNext/>
      </w:pPr>
      <w:r>
        <w:rPr>
          <w:rFonts w:ascii="Arial" w:hAnsi="Arial" w:eastAsia="Arial"/>
          <w:b/>
          <w:color w:val="1F7A8C"/>
          <w:sz w:val="17"/>
        </w:rPr>
        <w:t>LPCC-WB03-PB-Q010 | Knowledge &amp; Application | Easy | Primary concept: MSE versus inference</w:t>
      </w:r>
    </w:p>
    <w:p>
      <w:pPr>
        <w:spacing w:after="60" w:line="250" w:lineRule="auto"/>
      </w:pPr>
      <w:r>
        <w:rPr>
          <w:rFonts w:ascii="Arial" w:hAnsi="Arial" w:eastAsia="Arial"/>
          <w:b/>
          <w:color w:val="1F2937"/>
          <w:sz w:val="20"/>
        </w:rPr>
        <w:t>Which note BEST documents Dalia’s current presentation?</w:t>
      </w:r>
    </w:p>
    <w:p>
      <w:pPr>
        <w:spacing w:after="40"/>
        <w:ind w:left="230" w:hanging="230"/>
      </w:pPr>
      <w:r>
        <w:rPr>
          <w:rFonts w:ascii="Arial" w:hAnsi="Arial" w:eastAsia="Arial"/>
          <w:sz w:val="20"/>
        </w:rPr>
        <w:t>A. Dalia was resistant and clearly minimizing her condition.</w:t>
      </w:r>
    </w:p>
    <w:p>
      <w:pPr>
        <w:spacing w:after="40"/>
        <w:ind w:left="230" w:hanging="230"/>
      </w:pPr>
      <w:r>
        <w:rPr>
          <w:rFonts w:ascii="Arial" w:hAnsi="Arial" w:eastAsia="Arial"/>
          <w:sz w:val="20"/>
        </w:rPr>
        <w:t>B. Dalia appeared severely anxious and lacked insight.</w:t>
      </w:r>
    </w:p>
    <w:p>
      <w:pPr>
        <w:spacing w:after="40"/>
        <w:ind w:left="230" w:hanging="230"/>
      </w:pPr>
      <w:r>
        <w:rPr>
          <w:rFonts w:ascii="Arial" w:hAnsi="Arial" w:eastAsia="Arial"/>
          <w:sz w:val="20"/>
        </w:rPr>
        <w:t>C. Dalia was alert and oriented, spoke at a normal rate, wrung her hands, and paused before answering questions about work.</w:t>
      </w:r>
    </w:p>
    <w:p>
      <w:pPr>
        <w:spacing w:after="40"/>
        <w:ind w:left="230" w:hanging="230"/>
      </w:pPr>
      <w:r>
        <w:rPr>
          <w:rFonts w:ascii="Arial" w:hAnsi="Arial" w:eastAsia="Arial"/>
          <w:sz w:val="20"/>
        </w:rPr>
        <w:t>D. Dalia’s behavior proved that the spouse’s report was accurate.</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Dalia was alert and oriented, spoke at a normal rate, wrung her hands, and paused before answering questions about work.</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This assigns motive and a conclusion not established by the observed behavior.</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“Severely anxious” and “lacked insight” are interpretations that require supporting data and careful attribution.</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This records orientation, speech, motor behavior, and response pattern objectively.</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Observed behavior cannot prove the accuracy of an unauthorized collateral report.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MSE documentation should preserve the observation before the formulation. Avoid motive, character, and unsupported certainty.</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M - MSE / observation. Record current behavior and cognition separately from clinical interpretation and collateral claims.</w:t>
            </w:r>
          </w:p>
        </w:tc>
      </w:tr>
    </w:tbl>
    <w:p>
      <w:pPr>
        <w:spacing w:after="0"/>
      </w:pPr>
    </w:p>
    <w:p>
      <w:r>
        <w:br w:type="page"/>
      </w:r>
    </w:p>
    <w:p>
      <w:pPr>
        <w:pStyle w:val="Heading2"/>
        <w:spacing w:before="0" w:after="60"/>
      </w:pPr>
      <w:r>
        <w:rPr>
          <w:rFonts w:ascii="Arial" w:hAnsi="Arial" w:eastAsia="Arial"/>
          <w:b/>
          <w:color w:val="159C9C"/>
          <w:sz w:val="26"/>
        </w:rPr>
        <w:t>Question 11 (LPCC-WB03-PB-Q011)</w:t>
      </w:r>
    </w:p>
    <w:p>
      <w:pPr>
        <w:spacing w:before="100" w:after="40"/>
        <w:keepNext/>
      </w:pPr>
      <w:r>
        <w:rPr>
          <w:rFonts w:ascii="Arial" w:hAnsi="Arial" w:eastAsia="Arial"/>
          <w:b/>
          <w:color w:val="1F7A8C"/>
          <w:sz w:val="17"/>
        </w:rPr>
        <w:t>LPCC-WB03-PB-Q011 | Application | Moderate | Primary concept: Unsolicited collateral and confidentiality</w:t>
      </w:r>
    </w:p>
    <w:p>
      <w:pPr>
        <w:spacing w:after="60" w:line="250" w:lineRule="auto"/>
      </w:pPr>
      <w:r>
        <w:rPr>
          <w:rFonts w:ascii="Arial" w:hAnsi="Arial" w:eastAsia="Arial"/>
          <w:b/>
          <w:color w:val="1F2937"/>
          <w:sz w:val="20"/>
        </w:rPr>
        <w:t>How should the counselor respond to the spouse’s call?</w:t>
      </w:r>
    </w:p>
    <w:p>
      <w:pPr>
        <w:spacing w:after="40"/>
        <w:ind w:left="230" w:hanging="230"/>
      </w:pPr>
      <w:r>
        <w:rPr>
          <w:rFonts w:ascii="Arial" w:hAnsi="Arial" w:eastAsia="Arial"/>
          <w:sz w:val="20"/>
        </w:rPr>
        <w:t>A. Avoid confirming Dalia’s client status, clarify that the caller may share information, limit any disclosure, document the contact, and address authorization and clinical purpose with Dalia before routine two-way communication.</w:t>
      </w:r>
    </w:p>
    <w:p>
      <w:pPr>
        <w:spacing w:after="40"/>
        <w:ind w:left="230" w:hanging="230"/>
      </w:pPr>
      <w:r>
        <w:rPr>
          <w:rFonts w:ascii="Arial" w:hAnsi="Arial" w:eastAsia="Arial"/>
          <w:sz w:val="20"/>
        </w:rPr>
        <w:t>B. Confirm that Dalia attends counseling so the spouse knows the correct clinic was reached.</w:t>
      </w:r>
    </w:p>
    <w:p>
      <w:pPr>
        <w:spacing w:after="40"/>
        <w:ind w:left="230" w:hanging="230"/>
      </w:pPr>
      <w:r>
        <w:rPr>
          <w:rFonts w:ascii="Arial" w:hAnsi="Arial" w:eastAsia="Arial"/>
          <w:sz w:val="20"/>
        </w:rPr>
        <w:t>C. Refuse to hear any information and immediately disconnect the call.</w:t>
      </w:r>
    </w:p>
    <w:p>
      <w:pPr>
        <w:spacing w:after="40"/>
        <w:ind w:left="230" w:hanging="230"/>
      </w:pPr>
      <w:r>
        <w:rPr>
          <w:rFonts w:ascii="Arial" w:hAnsi="Arial" w:eastAsia="Arial"/>
          <w:sz w:val="20"/>
        </w:rPr>
        <w:t>D. Ask the spouse to email all observations and promise a return call after the next session.</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Avoid confirming Dalia’s client status, clarify that the caller may share information, limit any disclosure, document the contact, and address authorization and clinical purpose with Dalia before routine two-way communication.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This protects confidentiality while allowing receipt of information, controls disclosure, and preserves documentation and future authorization decisions.</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Confirming attendance may disclose protected information without authorization or another lawful basis.</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A counselor may receive information without confirming status; refusing automatically may lose potentially useful data.</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Emailing and promising two-way communication creates privacy and authorization problems and may expand the contact beyond a defined purpose.</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Receiving information and disclosing information are different acts. Protect status and content while controlling purpose, authorization, and documentation.</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L - Legal / collateral. Do not confirm client status; receive cautiously, disclose minimally, and establish authorization before routine exchange.</w:t>
            </w:r>
          </w:p>
        </w:tc>
      </w:tr>
    </w:tbl>
    <w:p>
      <w:pPr>
        <w:spacing w:after="0"/>
      </w:pPr>
    </w:p>
    <w:p>
      <w:r>
        <w:br w:type="page"/>
      </w:r>
    </w:p>
    <w:p>
      <w:pPr>
        <w:pStyle w:val="Heading2"/>
        <w:spacing w:before="0" w:after="60"/>
      </w:pPr>
      <w:r>
        <w:rPr>
          <w:rFonts w:ascii="Arial" w:hAnsi="Arial" w:eastAsia="Arial"/>
          <w:b/>
          <w:color w:val="159C9C"/>
          <w:sz w:val="26"/>
        </w:rPr>
        <w:t>Question 12 (LPCC-WB03-PB-Q012)</w:t>
      </w:r>
    </w:p>
    <w:p>
      <w:pPr>
        <w:spacing w:before="100" w:after="40"/>
        <w:keepNext/>
      </w:pPr>
      <w:r>
        <w:rPr>
          <w:rFonts w:ascii="Arial" w:hAnsi="Arial" w:eastAsia="Arial"/>
          <w:b/>
          <w:color w:val="1F7A8C"/>
          <w:sz w:val="17"/>
        </w:rPr>
        <w:t>LPCC-WB03-PB-Q012 | Application | Moderate | Primary concept: Baseline and outcome measurement</w:t>
      </w:r>
    </w:p>
    <w:p>
      <w:pPr>
        <w:spacing w:after="60" w:line="250" w:lineRule="auto"/>
      </w:pPr>
      <w:r>
        <w:rPr>
          <w:rFonts w:ascii="Arial" w:hAnsi="Arial" w:eastAsia="Arial"/>
          <w:b/>
          <w:color w:val="1F2937"/>
          <w:sz w:val="20"/>
        </w:rPr>
        <w:t>Which measurement plan is MOST clinically useful now?</w:t>
      </w:r>
    </w:p>
    <w:p>
      <w:pPr>
        <w:spacing w:after="40"/>
        <w:ind w:left="230" w:hanging="230"/>
      </w:pPr>
      <w:r>
        <w:rPr>
          <w:rFonts w:ascii="Arial" w:hAnsi="Arial" w:eastAsia="Arial"/>
          <w:sz w:val="20"/>
        </w:rPr>
        <w:t>A. Repeat every available measure at each session regardless of burden.</w:t>
      </w:r>
    </w:p>
    <w:p>
      <w:pPr>
        <w:spacing w:after="40"/>
        <w:ind w:left="230" w:hanging="230"/>
      </w:pPr>
      <w:r>
        <w:rPr>
          <w:rFonts w:ascii="Arial" w:hAnsi="Arial" w:eastAsia="Arial"/>
          <w:sz w:val="20"/>
        </w:rPr>
        <w:t>B. Use only the spouse’s report because family observations are more accurate than self-report.</w:t>
      </w:r>
    </w:p>
    <w:p>
      <w:pPr>
        <w:spacing w:after="40"/>
        <w:ind w:left="230" w:hanging="230"/>
      </w:pPr>
      <w:r>
        <w:rPr>
          <w:rFonts w:ascii="Arial" w:hAnsi="Arial" w:eastAsia="Arial"/>
          <w:sz w:val="20"/>
        </w:rPr>
        <w:t>C. Discontinue measurement because medical follow-up is also occurring.</w:t>
      </w:r>
    </w:p>
    <w:p>
      <w:pPr>
        <w:spacing w:after="40"/>
        <w:ind w:left="230" w:hanging="230"/>
      </w:pPr>
      <w:r>
        <w:rPr>
          <w:rFonts w:ascii="Arial" w:hAnsi="Arial" w:eastAsia="Arial"/>
          <w:sz w:val="20"/>
        </w:rPr>
        <w:t>D. Use the validated anxiety score and functional targets as a baseline, repeat them at meaningful intervals, and define how change, no change, or deterioration will affect the formulation and plan.</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Use the validated anxiety score and functional targets as a baseline, repeat them at meaningful intervals, and define how change, no change, or deterioration will affect the formulation and plan.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Excessive measurement can burden the client and produce data without a decision purpose.</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Collateral is one source and should not automatically replace client report or functional data.</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Medical coordination and outcome measurement can occur together and may improve differential understanding.</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This ties measurement to targets, timing, interpretation, and clinical action.</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 baseline becomes useful only when the counselor knows what will be repeated and how the result will change care.</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T - Tools / measurement. Connect repeated measures to client goals, functioning, review intervals, and treatment decisions.</w:t>
            </w:r>
          </w:p>
        </w:tc>
      </w:tr>
    </w:tbl>
    <w:p>
      <w:pPr>
        <w:spacing w:after="0"/>
      </w:pPr>
    </w:p>
    <w:p>
      <w:r>
        <w:br w:type="page"/>
      </w:r>
    </w:p>
    <w:p>
      <w:pPr>
        <w:pStyle w:val="Heading2"/>
        <w:spacing w:before="0" w:after="60"/>
      </w:pPr>
      <w:r>
        <w:rPr>
          <w:rFonts w:ascii="Arial" w:hAnsi="Arial" w:eastAsia="Arial"/>
          <w:b/>
          <w:color w:val="159C9C"/>
          <w:sz w:val="26"/>
        </w:rPr>
        <w:t>Question 13 (LPCC-WB03-PB-Q013)</w:t>
      </w:r>
    </w:p>
    <w:p>
      <w:pPr>
        <w:spacing w:before="100" w:after="40"/>
        <w:keepNext/>
      </w:pPr>
      <w:r>
        <w:rPr>
          <w:rFonts w:ascii="Arial" w:hAnsi="Arial" w:eastAsia="Arial"/>
          <w:b/>
          <w:color w:val="1F7A8C"/>
          <w:sz w:val="17"/>
        </w:rPr>
        <w:t>LPCC-WB03-PB-Q013 | Integrated Clinical Reasoning | Difficult | Primary concept: Integrated formulation without premature closure</w:t>
      </w:r>
    </w:p>
    <w:p>
      <w:pPr>
        <w:spacing w:after="60" w:line="250" w:lineRule="auto"/>
      </w:pPr>
      <w:r>
        <w:rPr>
          <w:rFonts w:ascii="Arial" w:hAnsi="Arial" w:eastAsia="Arial"/>
          <w:b/>
          <w:color w:val="1F2937"/>
          <w:sz w:val="20"/>
        </w:rPr>
        <w:t>What is the BEST next clinical step after reviewing the new information?</w:t>
      </w:r>
    </w:p>
    <w:p>
      <w:pPr>
        <w:spacing w:after="40"/>
        <w:ind w:left="230" w:hanging="230"/>
      </w:pPr>
      <w:r>
        <w:rPr>
          <w:rFonts w:ascii="Arial" w:hAnsi="Arial" w:eastAsia="Arial"/>
          <w:sz w:val="20"/>
        </w:rPr>
        <w:t>A. Finalize panic disorder because the anxiety score is high and Dalia avoids highways.</w:t>
      </w:r>
    </w:p>
    <w:p>
      <w:pPr>
        <w:spacing w:after="40"/>
        <w:ind w:left="230" w:hanging="230"/>
      </w:pPr>
      <w:r>
        <w:rPr>
          <w:rFonts w:ascii="Arial" w:hAnsi="Arial" w:eastAsia="Arial"/>
          <w:sz w:val="20"/>
        </w:rPr>
        <w:t>B. Integrate the medical update, symptom timeline, functional impairment, measure results, caffeine and sleep patterns, cultural meaning, and differential criteria; continue medical coordination and develop a provisional, collaborative plan without treating the screen as the diagnosis.</w:t>
      </w:r>
    </w:p>
    <w:p>
      <w:pPr>
        <w:spacing w:after="40"/>
        <w:ind w:left="230" w:hanging="230"/>
      </w:pPr>
      <w:r>
        <w:rPr>
          <w:rFonts w:ascii="Arial" w:hAnsi="Arial" w:eastAsia="Arial"/>
          <w:sz w:val="20"/>
        </w:rPr>
        <w:t>C. Conclude that the thyroid medication is the sole cause and suspend counseling until every medical question is resolved.</w:t>
      </w:r>
    </w:p>
    <w:p>
      <w:pPr>
        <w:spacing w:after="40"/>
        <w:ind w:left="230" w:hanging="230"/>
      </w:pPr>
      <w:r>
        <w:rPr>
          <w:rFonts w:ascii="Arial" w:hAnsi="Arial" w:eastAsia="Arial"/>
          <w:sz w:val="20"/>
        </w:rPr>
        <w:t>D. Use the spouse’s statement to diagnose a more severe disorder despite the lack of authorization.</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Integrate the medical update, symptom timeline, functional impairment, measure results, caffeine and sleep patterns, cultural meaning, and differential criteria; continue medical coordination and develop a provisional, collaborative plan without treating the screen as the diagnosis.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Severity and avoidance are important but do not independently establish the complete diagnosis or exclusions.</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uses all current data sources, preserves diagnostic humility, supports coordination, and moves toward a clinically useful provisional plan.</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A possible medical contributor does not establish sole causation or require unnecessary interruption of counseling support.</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The spouse’s statement is limited collateral data and cannot justify an unsupported diagnosis.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Integrated assessment means using every relevant source without allowing one score, one medical factor, or one collateral statement to dominate the formulation.</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E - Evidence / integration. Synthesize symptoms, function, medical data, measures, context, and client meaning before finalizing diagnosis or plan.</w:t>
            </w:r>
          </w:p>
        </w:tc>
      </w:tr>
    </w:tbl>
    <w:p>
      <w:pPr>
        <w:spacing w:after="0"/>
      </w:pPr>
    </w:p>
    <w:p>
      <w:r>
        <w:br w:type="page"/>
      </w:r>
    </w:p>
    <w:p>
      <w:pPr>
        <w:pStyle w:val="Heading2"/>
        <w:spacing w:before="0" w:after="60"/>
      </w:pPr>
      <w:r>
        <w:rPr>
          <w:rFonts w:ascii="Arial" w:hAnsi="Arial" w:eastAsia="Arial"/>
          <w:b/>
          <w:color w:val="159C9C"/>
          <w:sz w:val="26"/>
        </w:rPr>
        <w:t>Question 14 (LPCC-WB03-PB-Q014)</w:t>
      </w:r>
    </w:p>
    <w:p>
      <w:pPr>
        <w:spacing w:before="100" w:after="40"/>
        <w:keepNext/>
      </w:pPr>
      <w:r>
        <w:rPr>
          <w:rFonts w:ascii="Arial" w:hAnsi="Arial" w:eastAsia="Arial"/>
          <w:b/>
          <w:color w:val="1F7A8C"/>
          <w:sz w:val="17"/>
        </w:rPr>
        <w:t>LPCC-WB03-PB-Q014 | Scenario-Based | Moderate | Primary concept: Telehealth assessment conditions</w:t>
      </w:r>
    </w:p>
    <w:p>
      <w:pPr>
        <w:spacing w:after="60" w:line="250" w:lineRule="auto"/>
      </w:pPr>
      <w:r>
        <w:rPr>
          <w:rFonts w:ascii="Arial" w:hAnsi="Arial" w:eastAsia="Arial"/>
          <w:b/>
          <w:color w:val="1F2937"/>
          <w:sz w:val="20"/>
        </w:rPr>
        <w:t>Before the new medical symptoms are disclosed, what should the counselor do NEXT about the telehealth setting?</w:t>
      </w:r>
    </w:p>
    <w:p>
      <w:pPr>
        <w:spacing w:after="40"/>
        <w:ind w:left="230" w:hanging="230"/>
      </w:pPr>
      <w:r>
        <w:rPr>
          <w:rFonts w:ascii="Arial" w:hAnsi="Arial" w:eastAsia="Arial"/>
          <w:sz w:val="20"/>
        </w:rPr>
        <w:t>A. Continue the full assessment because Dalia says she is alone.</w:t>
      </w:r>
    </w:p>
    <w:p>
      <w:pPr>
        <w:spacing w:after="40"/>
        <w:ind w:left="230" w:hanging="230"/>
      </w:pPr>
      <w:r>
        <w:rPr>
          <w:rFonts w:ascii="Arial" w:hAnsi="Arial" w:eastAsia="Arial"/>
          <w:sz w:val="20"/>
        </w:rPr>
        <w:t>B. End treatment permanently because a parked car is never an acceptable setting.</w:t>
      </w:r>
    </w:p>
    <w:p>
      <w:pPr>
        <w:spacing w:after="40"/>
        <w:ind w:left="230" w:hanging="230"/>
      </w:pPr>
      <w:r>
        <w:rPr>
          <w:rFonts w:ascii="Arial" w:hAnsi="Arial" w:eastAsia="Arial"/>
          <w:sz w:val="20"/>
        </w:rPr>
        <w:t>C. Verify the exact location, assess privacy and the risk of interruption, review emergency and disconnection procedures, and decide whether a limited or rescheduled session is clinically appropriate.</w:t>
      </w:r>
    </w:p>
    <w:p>
      <w:pPr>
        <w:spacing w:after="40"/>
        <w:ind w:left="230" w:hanging="230"/>
      </w:pPr>
      <w:r>
        <w:rPr>
          <w:rFonts w:ascii="Arial" w:hAnsi="Arial" w:eastAsia="Arial"/>
          <w:sz w:val="20"/>
        </w:rPr>
        <w:t>D. Ask Dalia to complete all measures through chat so the video limitations do not matter.</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Verify the exact location, assess privacy and the risk of interruption, review emergency and disconnection procedures, and decide whether a limited or rescheduled session is clinically appropriate.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Being alone does not resolve location, interruption, privacy, or emergency-response conditions.</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A parked car may be workable in some circumstances; automatic termination is disproportionate and creates an access barrier.</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This addresses the conditions that determine whether remote assessment can proceed safely and accurately.</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Text-based measures do not resolve privacy, emergency, location, or technology limitations.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Telehealth location and privacy are part of the assessment. Verify conditions before collecting sensitive information or assuming the session can continue normally.</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Q - Telehealth conditions. Confirm location, privacy, interruption risk, emergency planning, and data quality before a full remote assessment.</w:t>
            </w:r>
          </w:p>
        </w:tc>
      </w:tr>
    </w:tbl>
    <w:p>
      <w:pPr>
        <w:spacing w:after="0"/>
      </w:pPr>
    </w:p>
    <w:p>
      <w:r>
        <w:br w:type="page"/>
      </w:r>
    </w:p>
    <w:p>
      <w:pPr>
        <w:pStyle w:val="Heading2"/>
        <w:spacing w:before="0" w:after="60"/>
      </w:pPr>
      <w:r>
        <w:rPr>
          <w:rFonts w:ascii="Arial" w:hAnsi="Arial" w:eastAsia="Arial"/>
          <w:b/>
          <w:color w:val="159C9C"/>
          <w:sz w:val="26"/>
        </w:rPr>
        <w:t>Question 15 (LPCC-WB03-PB-Q015)</w:t>
      </w:r>
    </w:p>
    <w:p>
      <w:pPr>
        <w:spacing w:before="100" w:after="40"/>
        <w:keepNext/>
      </w:pPr>
      <w:r>
        <w:rPr>
          <w:rFonts w:ascii="Arial" w:hAnsi="Arial" w:eastAsia="Arial"/>
          <w:b/>
          <w:color w:val="1F7A8C"/>
          <w:sz w:val="17"/>
        </w:rPr>
        <w:t>LPCC-WB03-PB-Q015 | Integrated Clinical Reasoning | Difficult | Primary concept: Urgent medical change</w:t>
      </w:r>
    </w:p>
    <w:p>
      <w:pPr>
        <w:spacing w:after="60" w:line="250" w:lineRule="auto"/>
      </w:pPr>
      <w:r>
        <w:rPr>
          <w:rFonts w:ascii="Arial" w:hAnsi="Arial" w:eastAsia="Arial"/>
          <w:b/>
          <w:color w:val="1F2937"/>
          <w:sz w:val="20"/>
        </w:rPr>
        <w:t>What is the BEST next action after Dalia develops new slurred speech, confusion, and a sudden severe headache following a recent head injury?</w:t>
      </w:r>
    </w:p>
    <w:p>
      <w:pPr>
        <w:spacing w:after="40"/>
        <w:ind w:left="230" w:hanging="230"/>
      </w:pPr>
      <w:r>
        <w:rPr>
          <w:rFonts w:ascii="Arial" w:hAnsi="Arial" w:eastAsia="Arial"/>
          <w:sz w:val="20"/>
        </w:rPr>
        <w:t>A. Initiate emergency medical response using the verified location, remain focused on immediate safety, and arrange urgent medical evaluation according to emergency procedures.</w:t>
      </w:r>
    </w:p>
    <w:p>
      <w:pPr>
        <w:spacing w:after="40"/>
        <w:ind w:left="230" w:hanging="230"/>
      </w:pPr>
      <w:r>
        <w:rPr>
          <w:rFonts w:ascii="Arial" w:hAnsi="Arial" w:eastAsia="Arial"/>
          <w:sz w:val="20"/>
        </w:rPr>
        <w:t>B. Complete the anxiety measure to determine whether panic explains the symptoms.</w:t>
      </w:r>
    </w:p>
    <w:p>
      <w:pPr>
        <w:spacing w:after="40"/>
        <w:ind w:left="230" w:hanging="230"/>
      </w:pPr>
      <w:r>
        <w:rPr>
          <w:rFonts w:ascii="Arial" w:hAnsi="Arial" w:eastAsia="Arial"/>
          <w:sz w:val="20"/>
        </w:rPr>
        <w:t>C. Use grounding exercises first and reassess in thirty minutes.</w:t>
      </w:r>
    </w:p>
    <w:p>
      <w:pPr>
        <w:spacing w:after="40"/>
        <w:ind w:left="230" w:hanging="230"/>
      </w:pPr>
      <w:r>
        <w:rPr>
          <w:rFonts w:ascii="Arial" w:hAnsi="Arial" w:eastAsia="Arial"/>
          <w:sz w:val="20"/>
        </w:rPr>
        <w:t>D. Schedule an in-person counseling appointment for the following week.</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Initiate emergency medical response using the verified location, remain focused on immediate safety, and arrange urgent medical evaluation according to emergency procedures.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The abrupt neurological and cognitive changes after a head injury create a medical emergency priority that requires immediate response.</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A symptom measure cannot safely rule out an acute medical condition or explain the new neurological signs.</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Grounding may be useful for anxiety but is not an adequate response to possible acute neurological injury.</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Delaying evaluation could expose the client to serious harm.</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timing and physical or cognitive signs suggest a medical emergency, do not force the case into a psychiatric explanation. Act on urgency first.</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R - Risk / medical urgency. Abrupt neurological or cognitive changes require emergency medical evaluation before routine counseling continues.</w:t>
            </w:r>
          </w:p>
        </w:tc>
      </w:tr>
    </w:tbl>
    <w:p>
      <w:pPr>
        <w:spacing w:after="0"/>
      </w:pPr>
    </w:p>
    <w:p>
      <w:r>
        <w:br w:type="page"/>
      </w:r>
    </w:p>
    <w:p>
      <w:pPr>
        <w:pStyle w:val="Heading2"/>
        <w:spacing w:before="0" w:after="60"/>
      </w:pPr>
      <w:r>
        <w:rPr>
          <w:rFonts w:ascii="Arial" w:hAnsi="Arial" w:eastAsia="Arial"/>
          <w:b/>
          <w:color w:val="159C9C"/>
          <w:sz w:val="26"/>
        </w:rPr>
        <w:t>Question 16 (LPCC-WB03-PB-Q016)</w:t>
      </w:r>
    </w:p>
    <w:p>
      <w:pPr>
        <w:spacing w:before="100" w:after="40"/>
        <w:keepNext/>
      </w:pPr>
      <w:r>
        <w:rPr>
          <w:rFonts w:ascii="Arial" w:hAnsi="Arial" w:eastAsia="Arial"/>
          <w:b/>
          <w:color w:val="1F7A8C"/>
          <w:sz w:val="17"/>
        </w:rPr>
        <w:t>LPCC-WB03-PB-Q016 | Integrated Clinical Reasoning | Difficult | Primary concept: Telehealth documentation and data limits</w:t>
      </w:r>
    </w:p>
    <w:p>
      <w:pPr>
        <w:spacing w:after="60" w:line="250" w:lineRule="auto"/>
      </w:pPr>
      <w:r>
        <w:rPr>
          <w:rFonts w:ascii="Arial" w:hAnsi="Arial" w:eastAsia="Arial"/>
          <w:b/>
          <w:color w:val="1F2937"/>
          <w:sz w:val="20"/>
        </w:rPr>
        <w:t>Which documentation is MOST appropriate for the final telehealth section?</w:t>
      </w:r>
    </w:p>
    <w:p>
      <w:pPr>
        <w:spacing w:after="40"/>
        <w:ind w:left="230" w:hanging="230"/>
      </w:pPr>
      <w:r>
        <w:rPr>
          <w:rFonts w:ascii="Arial" w:hAnsi="Arial" w:eastAsia="Arial"/>
          <w:sz w:val="20"/>
        </w:rPr>
        <w:t>A. Dalia was noncompliant, unstable, and probably experiencing a neurological event.</w:t>
      </w:r>
    </w:p>
    <w:p>
      <w:pPr>
        <w:spacing w:after="40"/>
        <w:ind w:left="230" w:hanging="230"/>
      </w:pPr>
      <w:r>
        <w:rPr>
          <w:rFonts w:ascii="Arial" w:hAnsi="Arial" w:eastAsia="Arial"/>
          <w:sz w:val="20"/>
        </w:rPr>
        <w:t>B. The counselor diagnosed a head injury based on video observation.</w:t>
      </w:r>
    </w:p>
    <w:p>
      <w:pPr>
        <w:spacing w:after="40"/>
        <w:ind w:left="230" w:hanging="230"/>
      </w:pPr>
      <w:r>
        <w:rPr>
          <w:rFonts w:ascii="Arial" w:hAnsi="Arial" w:eastAsia="Arial"/>
          <w:sz w:val="20"/>
        </w:rPr>
        <w:t>C. The session was unsuccessful because Dalia chose an inappropriate location.</w:t>
      </w:r>
    </w:p>
    <w:p>
      <w:pPr>
        <w:spacing w:after="40"/>
        <w:ind w:left="230" w:hanging="230"/>
      </w:pPr>
      <w:r>
        <w:rPr>
          <w:rFonts w:ascii="Arial" w:hAnsi="Arial" w:eastAsia="Arial"/>
          <w:sz w:val="20"/>
        </w:rPr>
        <w:t>D. Document the verified location, privacy and connection limitations, Dalia’s reported headache and fall, directly observed slurred speech and loss of track, emergency actions taken, consultations or contacts, and the disposition without claiming a diagnosis outside the available evidence.</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Document the verified location, privacy and connection limitations, Dalia’s reported headache and fall, directly observed slurred speech and loss of track, emergency actions taken, consultations or contacts, and the disposition without claiming a diagnosis outside the available evidence.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This uses judgmental labels and unsupported diagnostic certainty.</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The counselor should not claim a medical diagnosis from limited video data.</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This blames the client and omits clinically essential observations and actions.</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This distinguishes report, observation, limitations, action, and disposition while staying within the evidence.</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In urgent telehealth documentation, show what was reported, what was observed, what the technology limited, what action was taken, and why.</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M - MSE / documentation. Separate report, observation, limitations, action, and disposition; do not document an unsupported diagnosis.</w:t>
            </w:r>
          </w:p>
        </w:tc>
      </w:tr>
    </w:tbl>
    <w:p>
      <w:pPr>
        <w:spacing w:after="0"/>
      </w:pPr>
    </w:p>
    <w:p>
      <w:r>
        <w:br w:type="page"/>
      </w:r>
    </w:p>
    <w:p>
      <w:pPr>
        <w:pStyle w:val="Heading2"/>
        <w:spacing w:before="0" w:after="60"/>
      </w:pPr>
      <w:r>
        <w:rPr>
          <w:rFonts w:ascii="Arial" w:hAnsi="Arial" w:eastAsia="Arial"/>
          <w:b/>
          <w:color w:val="159C9C"/>
          <w:sz w:val="26"/>
        </w:rPr>
        <w:t>Question 17 (LPCC-WB03-PB-Q017)</w:t>
      </w:r>
    </w:p>
    <w:p>
      <w:pPr>
        <w:spacing w:before="100" w:after="40"/>
        <w:keepNext/>
      </w:pPr>
      <w:r>
        <w:rPr>
          <w:rFonts w:ascii="Arial" w:hAnsi="Arial" w:eastAsia="Arial"/>
          <w:b/>
          <w:color w:val="1F7A8C"/>
          <w:sz w:val="17"/>
        </w:rPr>
        <w:t>LPCC-WB03-PB-Q017 | Knowledge &amp; Application | Easy | Primary concept: Post-emergency continuity</w:t>
      </w:r>
    </w:p>
    <w:p>
      <w:pPr>
        <w:spacing w:after="60" w:line="250" w:lineRule="auto"/>
      </w:pPr>
      <w:r>
        <w:rPr>
          <w:rFonts w:ascii="Arial" w:hAnsi="Arial" w:eastAsia="Arial"/>
          <w:b/>
          <w:color w:val="1F2937"/>
          <w:sz w:val="20"/>
        </w:rPr>
        <w:t>After emergency evaluation is arranged, which follow-up principle is MOST appropriate?</w:t>
      </w:r>
    </w:p>
    <w:p>
      <w:pPr>
        <w:spacing w:after="40"/>
        <w:ind w:left="230" w:hanging="230"/>
      </w:pPr>
      <w:r>
        <w:rPr>
          <w:rFonts w:ascii="Arial" w:hAnsi="Arial" w:eastAsia="Arial"/>
          <w:sz w:val="20"/>
        </w:rPr>
        <w:t>A. Assume the emergency department will manage all future counseling needs.</w:t>
      </w:r>
    </w:p>
    <w:p>
      <w:pPr>
        <w:spacing w:after="40"/>
        <w:ind w:left="230" w:hanging="230"/>
      </w:pPr>
      <w:r>
        <w:rPr>
          <w:rFonts w:ascii="Arial" w:hAnsi="Arial" w:eastAsia="Arial"/>
          <w:sz w:val="20"/>
        </w:rPr>
        <w:t>B. Document the transition, obtain information and coordinate within authorization or lawful authority, reassess counseling needs and modality after medical stabilization, and update the plan based on new information.</w:t>
      </w:r>
    </w:p>
    <w:p>
      <w:pPr>
        <w:spacing w:after="40"/>
        <w:ind w:left="230" w:hanging="230"/>
      </w:pPr>
      <w:r>
        <w:rPr>
          <w:rFonts w:ascii="Arial" w:hAnsi="Arial" w:eastAsia="Arial"/>
          <w:sz w:val="20"/>
        </w:rPr>
        <w:t>C. Resume the previous assessment unchanged at the next appointment because later medical findings should not affect the formulation.</w:t>
      </w:r>
    </w:p>
    <w:p>
      <w:pPr>
        <w:spacing w:after="40"/>
        <w:ind w:left="230" w:hanging="230"/>
      </w:pPr>
      <w:r>
        <w:rPr>
          <w:rFonts w:ascii="Arial" w:hAnsi="Arial" w:eastAsia="Arial"/>
          <w:sz w:val="20"/>
        </w:rPr>
        <w:t>D. Close the case automatically because a medical emergency occurred during telehealth.</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Document the transition, obtain information and coordinate within authorization or lawful authority, reassess counseling needs and modality after medical stabilization, and update the plan based on new information.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Emergency medical care does not automatically replace counseling continuity, reassessment, or coordination.</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preserves continuity while allowing medical findings and stabilization to inform the next counseling decision.</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New medical information may materially change the formulation, safety plan, modality, and treatment priorities.</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Automatic closure is unnecessary and may abandon the client unless another clinical or legal basis exists.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 crisis disposition is not the end of clinical reasoning. Document the handoff, obtain needed information appropriately, and reassess before resuming the prior plan.</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S - Sequence / continuity. After urgent transfer, coordinate and reassess rather than assuming either automatic discharge or unchanged treatment.</w:t>
            </w:r>
          </w:p>
        </w:tc>
      </w:tr>
    </w:tbl>
    <w:p>
      <w:pPr>
        <w:spacing w:after="0"/>
      </w:pPr>
    </w:p>
    <w:p>
      <w:r>
        <w:br w:type="page"/>
      </w:r>
    </w:p>
    <w:p>
      <w:pPr>
        <w:pStyle w:val="Heading2"/>
        <w:spacing w:before="140" w:after="80"/>
        <w:keepNext/>
      </w:pPr>
      <w:r>
        <w:rPr>
          <w:rFonts w:ascii="Arial" w:hAnsi="Arial" w:eastAsia="Arial"/>
          <w:b/>
          <w:color w:val="159C9C"/>
          <w:sz w:val="26"/>
        </w:rPr>
        <w:t>Score and Remediation Summary</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403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Measure</w:t>
            </w:r>
          </w:p>
        </w:tc>
        <w:tc>
          <w:tcPr>
            <w:tcW w:type="dxa" w:w="64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Result</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Total score</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17</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Easy items</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5</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Moderate items</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7</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Difficult items</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5</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Low-confidence correct answers</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Most frequent error code</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Time used</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minutes</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One demonstrated strength</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________________________________________</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One priority for remediation</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________________________________________</w:t>
            </w:r>
          </w:p>
        </w:tc>
      </w:tr>
    </w:tbl>
    <w:p>
      <w:pPr>
        <w:spacing w:after="0"/>
      </w:pPr>
    </w:p>
    <w:p>
      <w:pPr>
        <w:pStyle w:val="Heading2"/>
        <w:spacing w:before="140" w:after="80"/>
        <w:keepNext/>
      </w:pPr>
      <w:r>
        <w:rPr>
          <w:rFonts w:ascii="Arial" w:hAnsi="Arial" w:eastAsia="Arial"/>
          <w:b/>
          <w:color w:val="159C9C"/>
          <w:sz w:val="26"/>
        </w:rPr>
        <w:t>Correction-Rule Log</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864"/>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Item</w:t>
            </w:r>
          </w:p>
        </w:tc>
        <w:tc>
          <w:tcPr>
            <w:tcW w:type="dxa" w:w="129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Error Code</w:t>
            </w:r>
          </w:p>
        </w:tc>
        <w:tc>
          <w:tcPr>
            <w:tcW w:type="dxa" w:w="676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My Transferable Correction Rule</w:t>
            </w:r>
          </w:p>
        </w:tc>
        <w:tc>
          <w:tcPr>
            <w:tcW w:type="dxa" w:w="1584"/>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New Practice Completed?</w:t>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READINESS STANDARD</w:t>
            </w:r>
          </w:p>
          <w:p>
            <w:pPr>
              <w:spacing w:after="20" w:line="250" w:lineRule="auto"/>
            </w:pPr>
            <w:r>
              <w:rPr>
                <w:rFonts w:ascii="Arial" w:hAnsi="Arial" w:eastAsia="Arial"/>
                <w:color w:val="1F2937"/>
                <w:sz w:val="20"/>
              </w:rPr>
              <w:t>Workbook 3 readiness requires consistent sequencing of orientation, consent, access, interviewing, MSE, functional assessment, measures, collateral data, medical considerations, cultural meaning, and telehealth conditions without premature diagnostic closure.</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2F4F7"/>
            <w:tcBorders>
              <w:top w:val="single" w:sz="10" w:color="4E5B6B"/>
              <w:left w:val="single" w:sz="10" w:color="4E5B6B"/>
              <w:bottom w:val="single" w:sz="10" w:color="4E5B6B"/>
              <w:right w:val="single" w:sz="10" w:color="4E5B6B"/>
            </w:tcBorders>
            <w:tcMar>
              <w:top w:w="110" w:type="dxa"/>
              <w:start w:w="140" w:type="dxa"/>
              <w:bottom w:w="110" w:type="dxa"/>
              <w:end w:w="140" w:type="dxa"/>
            </w:tcMar>
          </w:tcPr>
          <w:p>
            <w:pPr>
              <w:spacing w:after="60"/>
            </w:pPr>
            <w:r>
              <w:rPr>
                <w:rFonts w:ascii="Arial" w:hAnsi="Arial" w:eastAsia="Arial"/>
                <w:b/>
                <w:color w:val="17365D"/>
                <w:sz w:val="21"/>
              </w:rPr>
              <w:t>SOURCE AND VERSION CONTROL</w:t>
            </w:r>
          </w:p>
          <w:p>
            <w:pPr>
              <w:spacing w:after="20" w:line="250" w:lineRule="auto"/>
            </w:pPr>
            <w:r>
              <w:rPr>
                <w:rFonts w:ascii="Arial" w:hAnsi="Arial" w:eastAsia="Arial"/>
                <w:color w:val="1F2937"/>
                <w:sz w:val="19"/>
              </w:rPr>
              <w:t>This bank was developed from CTA LPCC Workbook 3 and its verified July 2026 source set, including California LPCC assessment boundaries, California telehealth consent requirements, current NCMHCE materials, and the specifications effective July 1, 2027. Re-audit before publication after material legal or examination changes.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2F4F7"/>
            <w:tcBorders>
              <w:top w:val="single" w:sz="10" w:color="4E5B6B"/>
              <w:left w:val="single" w:sz="10" w:color="4E5B6B"/>
              <w:bottom w:val="single" w:sz="10" w:color="4E5B6B"/>
              <w:right w:val="single" w:sz="10" w:color="4E5B6B"/>
            </w:tcBorders>
            <w:tcMar>
              <w:top w:w="110" w:type="dxa"/>
              <w:start w:w="140" w:type="dxa"/>
              <w:bottom w:w="110" w:type="dxa"/>
              <w:end w:w="140" w:type="dxa"/>
            </w:tcMar>
          </w:tcPr>
          <w:p>
            <w:pPr>
              <w:spacing w:after="60"/>
            </w:pPr>
            <w:r>
              <w:rPr>
                <w:rFonts w:ascii="Arial" w:hAnsi="Arial" w:eastAsia="Arial"/>
                <w:b/>
                <w:color w:val="17365D"/>
                <w:sz w:val="21"/>
              </w:rPr>
              <w:t>PUBLICATION CONTROL</w:t>
            </w:r>
          </w:p>
          <w:p>
            <w:pPr>
              <w:spacing w:after="20" w:line="250" w:lineRule="auto"/>
            </w:pPr>
            <w:r>
              <w:rPr>
                <w:rFonts w:ascii="Arial" w:hAnsi="Arial" w:eastAsia="Arial"/>
                <w:color w:val="1F2937"/>
                <w:sz w:val="19"/>
              </w:rPr>
              <w:t>This bank is aligned to CTA LPCC Workbook 3 and the LPCC Master Blueprint Crosswalk. Larger comprehensive simulations are developed separately and should not simply combine or repeat workbook-bank items.</w:t>
            </w:r>
          </w:p>
        </w:tc>
      </w:tr>
    </w:tbl>
    <w:p>
      <w:pPr>
        <w:spacing w:after="0"/>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4E5B6B"/>
        <w:sz w:val="16"/>
      </w:rPr>
      <w:t xml:space="preserve">Clinical Training Academy - LPCC WB3 Practice Bank Answer &amp; Rationales v1.0  |  Page </w:t>
    </w:r>
    <w:r>
      <w:rPr>
        <w:rFonts w:ascii="Arial" w:hAnsi="Arial" w:eastAsia="Arial"/>
        <w:color w:val="4E5B6B"/>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spacing w:after="0"/>
            <w:jc w:val="right"/>
          </w:pPr>
          <w:r>
            <w:rPr>
              <w:rFonts w:ascii="Arial" w:hAnsi="Arial" w:eastAsia="Arial"/>
              <w:b/>
              <w:color w:val="17365D"/>
              <w:sz w:val="16"/>
            </w:rPr>
            <w:t>CTA LPCC WB3 - 17-Question Practice Bank - Answer &amp; Rationales</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3 17-Question Practice Bank - Answer &amp; Rationales</dc:title>
  <dc:subject>Intake, informed consent, clinical interviewing, mental status examination, and biopsychosocial-cultural assessment</dc:subject>
  <dc:creator>Clinical Training and Supervision Academy</dc:creator>
  <cp:keywords>LPCC, APCC, NCMHCE, intake, informed consent, clinical interview, MSE, assessment, telehealth, practice bank</cp:keywords>
  <dc:description>generated by python-docx</dc:description>
  <cp:lastModifiedBy/>
  <cp:revision>1</cp:revision>
  <dcterms:created xsi:type="dcterms:W3CDTF">2013-12-23T23:15:00Z</dcterms:created>
  <dcterms:modified xsi:type="dcterms:W3CDTF">2013-12-23T23:15:00Z</dcterms:modified>
  <cp:category/>
</cp:coreProperties>
</file>