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Candidate Question Form</w:t>
      </w:r>
    </w:p>
    <w:p>
      <w:pPr>
        <w:spacing w:before="0" w:after="60" w:line="245" w:lineRule="auto"/>
        <w:jc w:val="center"/>
      </w:pPr>
      <w:r>
        <w:rPr>
          <w:rFonts w:ascii="Arial" w:hAnsi="Arial" w:eastAsia="Arial"/>
          <w:b/>
          <w:i w:val="0"/>
          <w:color w:val="17365D"/>
          <w:sz w:val="36"/>
        </w:rPr>
        <w:t>Workbook 9: 17-Question Practice Bank</w:t>
      </w:r>
    </w:p>
    <w:p>
      <w:pPr>
        <w:spacing w:before="0" w:after="40" w:line="245" w:lineRule="auto"/>
        <w:jc w:val="center"/>
      </w:pPr>
      <w:r>
        <w:rPr>
          <w:rFonts w:ascii="Arial" w:hAnsi="Arial" w:eastAsia="Arial"/>
          <w:b w:val="0"/>
          <w:i w:val="0"/>
          <w:color w:val="1F2937"/>
          <w:sz w:val="22"/>
        </w:rPr>
        <w:t>Evidence-Based and Evidence-Informed Interventions Across Common Presenting Concerns</w:t>
      </w:r>
    </w:p>
    <w:p>
      <w:pPr>
        <w:spacing w:before="0" w:after="80" w:line="245" w:lineRule="auto"/>
        <w:jc w:val="center"/>
      </w:pPr>
      <w:r>
        <w:rPr>
          <w:rFonts w:ascii="Arial" w:hAnsi="Arial" w:eastAsia="Arial"/>
          <w:b w:val="0"/>
          <w:i/>
          <w:color w:val="4B5563"/>
          <w:sz w:val="17"/>
        </w:rPr>
        <w:t>Complete independently before opening the separate answer-and-rationales document</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Candidate Instructions</w:t>
      </w:r>
    </w:p>
    <w:p>
      <w:pPr>
        <w:pStyle w:val="ListBullet"/>
        <w:spacing w:before="0" w:after="20" w:line="245" w:lineRule="auto"/>
      </w:pPr>
      <w:r>
        <w:rPr>
          <w:rFonts w:ascii="Arial" w:hAnsi="Arial" w:eastAsia="Arial"/>
          <w:sz w:val="17"/>
        </w:rPr>
        <w:t>Complete all 17 questions without opening the Answer &amp; Rationales form.</w:t>
      </w:r>
    </w:p>
    <w:p>
      <w:pPr>
        <w:pStyle w:val="ListBullet"/>
        <w:spacing w:before="0" w:after="20" w:line="245" w:lineRule="auto"/>
      </w:pPr>
      <w:r>
        <w:rPr>
          <w:rFonts w:ascii="Arial" w:hAnsi="Arial" w:eastAsia="Arial"/>
          <w:sz w:val="17"/>
        </w:rPr>
        <w:t>Suggested timing: 27 minutes total. Record one answer, a confidence rating from 1 to 3, and a flag if review is needed.</w:t>
      </w:r>
    </w:p>
    <w:p>
      <w:pPr>
        <w:pStyle w:val="ListBullet"/>
        <w:spacing w:before="0" w:after="20" w:line="245" w:lineRule="auto"/>
      </w:pPr>
      <w:r>
        <w:rPr>
          <w:rFonts w:ascii="Arial" w:hAnsi="Arial" w:eastAsia="Arial"/>
          <w:sz w:val="17"/>
        </w:rPr>
        <w:t>Questions 1-5 are targeted intervention-selection items. Questions 6-17 form one three-part NCMHCE-style case.</w:t>
      </w:r>
    </w:p>
    <w:p>
      <w:pPr>
        <w:pStyle w:val="ListBullet"/>
        <w:spacing w:before="0" w:after="20" w:line="245" w:lineRule="auto"/>
      </w:pPr>
      <w:r>
        <w:rPr>
          <w:rFonts w:ascii="Arial" w:hAnsi="Arial" w:eastAsia="Arial"/>
          <w:sz w:val="17"/>
        </w:rPr>
        <w:t>For the case, use only the facts available in the current section. Once you continue, do not revise earlier case-section answers or use later facts as earlier evidence.</w:t>
      </w:r>
    </w:p>
    <w:p>
      <w:pPr>
        <w:pStyle w:val="ListBullet"/>
        <w:spacing w:before="0" w:after="20" w:line="245" w:lineRule="auto"/>
      </w:pPr>
      <w:r>
        <w:rPr>
          <w:rFonts w:ascii="Arial" w:hAnsi="Arial" w:eastAsia="Arial"/>
          <w:sz w:val="17"/>
        </w:rPr>
        <w:t>Choose one best answer. Give priority to EVIDENCE integration, DOSE and active ingredients, PHASE sequencing, CHANGE motivation, and PIVOT review.</w:t>
      </w:r>
    </w:p>
    <w:p>
      <w:pPr>
        <w:pStyle w:val="ListBullet"/>
        <w:spacing w:before="0" w:after="20" w:line="245" w:lineRule="auto"/>
      </w:pPr>
      <w:r>
        <w:rPr>
          <w:rFonts w:ascii="Arial" w:hAnsi="Arial" w:eastAsia="Arial"/>
          <w:sz w:val="17"/>
        </w:rPr>
        <w:t>After completing the bank, use the separate rationale form to review every option and write a transferable correction rule.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WORKBOOK 9 DECISION TOOLS</w:t>
            </w:r>
          </w:p>
          <w:p>
            <w:pPr>
              <w:spacing w:before="0" w:after="0" w:line="240" w:lineRule="auto"/>
            </w:pPr>
            <w:r>
              <w:rPr>
                <w:rFonts w:ascii="Arial" w:hAnsi="Arial" w:eastAsia="Arial"/>
                <w:color w:val="1F2937"/>
                <w:sz w:val="16"/>
              </w:rPr>
              <w:t>EVIDENCE integrates research, expertise, client characteristics and preferences, feasibility, and monitoring. DOSE matches the mechanism and adequate delivery. PHASE controls timing and readiness. CHANGE supports motivation and recovery. PIVOT reviews nonresponse before intensifying, switching, consulting, or referring.</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EDUCATIONAL AND NON-AFFILIATION NOTICE</w:t>
            </w:r>
          </w:p>
          <w:p>
            <w:pPr>
              <w:spacing w:before="0" w:after="0" w:line="240" w:lineRule="auto"/>
            </w:pPr>
            <w:r>
              <w:rPr>
                <w:rFonts w:ascii="Arial" w:hAnsi="Arial" w:eastAsia="Arial"/>
                <w:color w:val="1F2937"/>
                <w:sz w:val="15"/>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pStyle w:val="Heading2"/>
        <w:spacing w:before="0" w:after="60" w:line="245" w:lineRule="auto"/>
        <w:keepNext/>
      </w:pPr>
      <w:r>
        <w:rPr>
          <w:rFonts w:ascii="Arial" w:hAnsi="Arial" w:eastAsia="Arial"/>
          <w:b/>
          <w:color w:val="17365D"/>
          <w:sz w:val="21"/>
        </w:rPr>
        <w:t>Candidate Answer Sheet</w:t>
      </w:r>
    </w:p>
    <w:p>
      <w:pPr>
        <w:spacing w:before="0" w:after="40" w:line="245" w:lineRule="auto"/>
      </w:pPr>
      <w:r>
        <w:rPr>
          <w:rFonts w:ascii="Arial" w:hAnsi="Arial" w:eastAsia="Arial"/>
          <w:b/>
          <w:i w:val="0"/>
          <w:color w:val="17365D"/>
          <w:sz w:val="16"/>
        </w:rPr>
        <w:t>Start time: __________    End time: __________    Total time: __________</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10</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2</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11</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3</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12</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4</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13</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5</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14</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6</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15</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7</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16</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8</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17</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9</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r>
        <w:br w:type="page"/>
      </w:r>
    </w:p>
    <w:p>
      <w:pPr>
        <w:pStyle w:val="Heading1"/>
        <w:spacing w:before="0" w:after="60" w:line="245" w:lineRule="auto"/>
        <w:keepNext/>
      </w:pPr>
      <w:r>
        <w:rPr>
          <w:rFonts w:ascii="Arial" w:hAnsi="Arial" w:eastAsia="Arial"/>
          <w:b/>
          <w:color w:val="159C9C"/>
          <w:sz w:val="28"/>
        </w:rPr>
        <w:t>Section I - Targeted Intervention-Selection Questions</w:t>
      </w:r>
    </w:p>
    <w:p>
      <w:pPr>
        <w:spacing w:before="0" w:after="60" w:line="245" w:lineRule="auto"/>
      </w:pPr>
      <w:r>
        <w:rPr>
          <w:rFonts w:ascii="Arial" w:hAnsi="Arial" w:eastAsia="Arial"/>
          <w:b w:val="0"/>
          <w:i/>
          <w:color w:val="17365D"/>
          <w:sz w:val="16"/>
        </w:rPr>
        <w:t>Complete Questions 1-5 by integrating evidence and client fit, matching mechanism and dosage, sequencing by phase, supporting motivation, and reviewing nonresponse before changing course.</w:t>
      </w:r>
    </w:p>
    <w:p>
      <w:pPr>
        <w:spacing w:before="0" w:after="20" w:line="245" w:lineRule="auto"/>
        <w:keepNext/>
      </w:pPr>
      <w:r>
        <w:rPr>
          <w:rFonts w:ascii="Arial" w:hAnsi="Arial" w:eastAsia="Arial"/>
          <w:b/>
          <w:color w:val="159C9C"/>
          <w:sz w:val="14"/>
        </w:rPr>
        <w:t>LPCC-WB09-PB-Q001 | Knowledge &amp; Application | Easy | Primary concept: Evidence-based practice integration</w:t>
      </w:r>
    </w:p>
    <w:p>
      <w:pPr>
        <w:spacing w:before="0" w:after="20" w:line="245" w:lineRule="auto"/>
        <w:keepNext/>
      </w:pPr>
      <w:r>
        <w:rPr>
          <w:rFonts w:ascii="Arial" w:hAnsi="Arial" w:eastAsia="Arial"/>
          <w:b/>
          <w:sz w:val="16"/>
        </w:rPr>
        <w:t>A counselor finds a strong study supporting a structured depression protocol. The client has chronic pain, limited English proficiency, transportation barriers, and a preference for brief in-session work. What is the BEST initial use of the research?</w:t>
      </w:r>
    </w:p>
    <w:p>
      <w:pPr>
        <w:spacing w:before="0" w:after="10" w:line="240" w:lineRule="auto"/>
        <w:ind w:left="230" w:hanging="230"/>
      </w:pPr>
      <w:r>
        <w:rPr>
          <w:rFonts w:ascii="Arial" w:hAnsi="Arial" w:eastAsia="Arial"/>
          <w:sz w:val="16"/>
        </w:rPr>
        <w:t>A. Use the protocol exactly as studied because strong evidence overrides individual differences.</w:t>
      </w:r>
    </w:p>
    <w:p>
      <w:pPr>
        <w:spacing w:before="0" w:after="10" w:line="240" w:lineRule="auto"/>
        <w:ind w:left="230" w:hanging="230"/>
      </w:pPr>
      <w:r>
        <w:rPr>
          <w:rFonts w:ascii="Arial" w:hAnsi="Arial" w:eastAsia="Arial"/>
          <w:sz w:val="16"/>
        </w:rPr>
        <w:t>B. Integrate the research with assessment, language access, client goals and preferences, feasibility, counselor competence, and a plan to monitor outcomes.</w:t>
      </w:r>
    </w:p>
    <w:p>
      <w:pPr>
        <w:spacing w:before="0" w:after="10" w:line="240" w:lineRule="auto"/>
        <w:ind w:left="230" w:hanging="230"/>
      </w:pPr>
      <w:r>
        <w:rPr>
          <w:rFonts w:ascii="Arial" w:hAnsi="Arial" w:eastAsia="Arial"/>
          <w:sz w:val="16"/>
        </w:rPr>
        <w:t>C. Reject the research because the client differs from the study population in several ways.</w:t>
      </w:r>
    </w:p>
    <w:p>
      <w:pPr>
        <w:spacing w:before="0" w:after="10" w:line="240" w:lineRule="auto"/>
        <w:ind w:left="230" w:hanging="230"/>
      </w:pPr>
      <w:r>
        <w:rPr>
          <w:rFonts w:ascii="Arial" w:hAnsi="Arial" w:eastAsia="Arial"/>
          <w:sz w:val="16"/>
        </w:rPr>
        <w:t>D. Let client preference alone determine treatment and avoid discussing the evidence.</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LPCC-WB09-PB-Q002 | Knowledge &amp; Application | Easy | Primary concept: DOSE and behavioral activation</w:t>
      </w:r>
    </w:p>
    <w:p>
      <w:pPr>
        <w:spacing w:before="0" w:after="20" w:line="245" w:lineRule="auto"/>
        <w:keepNext/>
      </w:pPr>
      <w:r>
        <w:rPr>
          <w:rFonts w:ascii="Arial" w:hAnsi="Arial" w:eastAsia="Arial"/>
          <w:b/>
          <w:sz w:val="16"/>
        </w:rPr>
        <w:t>A client with depression has stopped exercising, seeing friends, and completing routine tasks. The client says, "I will start doing things when I feel motivated." Which intervention is the BEST initial fit?</w:t>
      </w:r>
    </w:p>
    <w:p>
      <w:pPr>
        <w:spacing w:before="0" w:after="10" w:line="240" w:lineRule="auto"/>
        <w:ind w:left="230" w:hanging="230"/>
      </w:pPr>
      <w:r>
        <w:rPr>
          <w:rFonts w:ascii="Arial" w:hAnsi="Arial" w:eastAsia="Arial"/>
          <w:sz w:val="16"/>
        </w:rPr>
        <w:t>A. Collaboratively schedule small, values-linked activities and monitor mood, mastery, and follow-through.</w:t>
      </w:r>
    </w:p>
    <w:p>
      <w:pPr>
        <w:spacing w:before="0" w:after="10" w:line="240" w:lineRule="auto"/>
        <w:ind w:left="230" w:hanging="230"/>
      </w:pPr>
      <w:r>
        <w:rPr>
          <w:rFonts w:ascii="Arial" w:hAnsi="Arial" w:eastAsia="Arial"/>
          <w:sz w:val="16"/>
        </w:rPr>
        <w:t>B. Wait for motivation to improve before asking the client to change behavior.</w:t>
      </w:r>
    </w:p>
    <w:p>
      <w:pPr>
        <w:spacing w:before="0" w:after="10" w:line="240" w:lineRule="auto"/>
        <w:ind w:left="230" w:hanging="230"/>
      </w:pPr>
      <w:r>
        <w:rPr>
          <w:rFonts w:ascii="Arial" w:hAnsi="Arial" w:eastAsia="Arial"/>
          <w:sz w:val="16"/>
        </w:rPr>
        <w:t>C. Begin intensive exposure to the client's most distressing memory.</w:t>
      </w:r>
    </w:p>
    <w:p>
      <w:pPr>
        <w:spacing w:before="0" w:after="10" w:line="240" w:lineRule="auto"/>
        <w:ind w:left="230" w:hanging="230"/>
      </w:pPr>
      <w:r>
        <w:rPr>
          <w:rFonts w:ascii="Arial" w:hAnsi="Arial" w:eastAsia="Arial"/>
          <w:sz w:val="16"/>
        </w:rPr>
        <w:t>D. Provide reassurance that inactivity is harmless as long as the client attends sessions.</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LPCC-WB09-PB-Q003 | Application | Moderate | Primary concept: PHASE trauma sequencing</w:t>
      </w:r>
    </w:p>
    <w:p>
      <w:pPr>
        <w:spacing w:before="0" w:after="20" w:line="245" w:lineRule="auto"/>
        <w:keepNext/>
      </w:pPr>
      <w:r>
        <w:rPr>
          <w:rFonts w:ascii="Arial" w:hAnsi="Arial" w:eastAsia="Arial"/>
          <w:b/>
          <w:sz w:val="16"/>
        </w:rPr>
        <w:t>Two weeks after an assault, a client is sleeping in different places, arrives intoxicated, has not completed a medical follow-up, and asks to begin detailed trauma-memory processing immediately. What should the counselor do FIRST?</w:t>
      </w:r>
    </w:p>
    <w:p>
      <w:pPr>
        <w:spacing w:before="0" w:after="10" w:line="240" w:lineRule="auto"/>
        <w:ind w:left="230" w:hanging="230"/>
      </w:pPr>
      <w:r>
        <w:rPr>
          <w:rFonts w:ascii="Arial" w:hAnsi="Arial" w:eastAsia="Arial"/>
          <w:sz w:val="16"/>
        </w:rPr>
        <w:t>A. Begin detailed trauma processing because early exposure always prevents chronic symptoms.</w:t>
      </w:r>
    </w:p>
    <w:p>
      <w:pPr>
        <w:spacing w:before="0" w:after="10" w:line="240" w:lineRule="auto"/>
        <w:ind w:left="230" w:hanging="230"/>
      </w:pPr>
      <w:r>
        <w:rPr>
          <w:rFonts w:ascii="Arial" w:hAnsi="Arial" w:eastAsia="Arial"/>
          <w:sz w:val="16"/>
        </w:rPr>
        <w:t>B. Avoid all trauma-related discussion until the client has permanent housing.</w:t>
      </w:r>
    </w:p>
    <w:p>
      <w:pPr>
        <w:spacing w:before="0" w:after="10" w:line="240" w:lineRule="auto"/>
        <w:ind w:left="230" w:hanging="230"/>
      </w:pPr>
      <w:r>
        <w:rPr>
          <w:rFonts w:ascii="Arial" w:hAnsi="Arial" w:eastAsia="Arial"/>
          <w:sz w:val="16"/>
        </w:rPr>
        <w:t>C. Ask the client to sign a commitment to abstain from substances before receiving any care.</w:t>
      </w:r>
    </w:p>
    <w:p>
      <w:pPr>
        <w:spacing w:before="0" w:after="10" w:line="240" w:lineRule="auto"/>
        <w:ind w:left="230" w:hanging="230"/>
      </w:pPr>
      <w:r>
        <w:rPr>
          <w:rFonts w:ascii="Arial" w:hAnsi="Arial" w:eastAsia="Arial"/>
          <w:sz w:val="16"/>
        </w:rPr>
        <w:t>D. Address immediate safety, intoxication and medical needs, stabilize access and coping, explain treatment options, and defer focused processing until the client can participate safely and voluntarily.</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LPCC-WB09-PB-Q004 | Application | Moderate | Primary concept: CHANGE and motivational interviewing</w:t>
      </w:r>
    </w:p>
    <w:p>
      <w:pPr>
        <w:spacing w:before="0" w:after="20" w:line="245" w:lineRule="auto"/>
        <w:keepNext/>
      </w:pPr>
      <w:r>
        <w:rPr>
          <w:rFonts w:ascii="Arial" w:hAnsi="Arial" w:eastAsia="Arial"/>
          <w:b/>
          <w:sz w:val="16"/>
        </w:rPr>
        <w:t>A client says, "Alcohol helps me fall asleep, but I hate feeling foggy at work. I am not sure I want to cut back." Which counselor response BEST reflects motivational interviewing?</w:t>
      </w:r>
    </w:p>
    <w:p>
      <w:pPr>
        <w:spacing w:before="0" w:after="10" w:line="240" w:lineRule="auto"/>
        <w:ind w:left="230" w:hanging="230"/>
      </w:pPr>
      <w:r>
        <w:rPr>
          <w:rFonts w:ascii="Arial" w:hAnsi="Arial" w:eastAsia="Arial"/>
          <w:sz w:val="16"/>
        </w:rPr>
        <w:t>A. "You need to stop drinking before counseling can be effective."</w:t>
      </w:r>
    </w:p>
    <w:p>
      <w:pPr>
        <w:spacing w:before="0" w:after="10" w:line="240" w:lineRule="auto"/>
        <w:ind w:left="230" w:hanging="230"/>
      </w:pPr>
      <w:r>
        <w:rPr>
          <w:rFonts w:ascii="Arial" w:hAnsi="Arial" w:eastAsia="Arial"/>
          <w:sz w:val="16"/>
        </w:rPr>
        <w:t>B. "Alcohol is clearly the only cause of your sleep problem."</w:t>
      </w:r>
    </w:p>
    <w:p>
      <w:pPr>
        <w:spacing w:before="0" w:after="10" w:line="240" w:lineRule="auto"/>
        <w:ind w:left="230" w:hanging="230"/>
      </w:pPr>
      <w:r>
        <w:rPr>
          <w:rFonts w:ascii="Arial" w:hAnsi="Arial" w:eastAsia="Arial"/>
          <w:sz w:val="16"/>
        </w:rPr>
        <w:t>C. "Part of you values the quick relief, and another part is worried about work. What changes, if any, would fit the life you want?"</w:t>
      </w:r>
    </w:p>
    <w:p>
      <w:pPr>
        <w:spacing w:before="0" w:after="10" w:line="240" w:lineRule="auto"/>
        <w:ind w:left="230" w:hanging="230"/>
      </w:pPr>
      <w:r>
        <w:rPr>
          <w:rFonts w:ascii="Arial" w:hAnsi="Arial" w:eastAsia="Arial"/>
          <w:sz w:val="16"/>
        </w:rPr>
        <w:t>D. "I will decide on the correct goal after you complete a personality inventory."</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LPCC-WB09-PB-Q005 | Integrated Clinical Reasoning | Difficult | Primary concept: PIVOT nonresponse review</w:t>
      </w:r>
    </w:p>
    <w:p>
      <w:pPr>
        <w:spacing w:before="0" w:after="20" w:line="245" w:lineRule="auto"/>
        <w:keepNext/>
      </w:pPr>
      <w:r>
        <w:rPr>
          <w:rFonts w:ascii="Arial" w:hAnsi="Arial" w:eastAsia="Arial"/>
          <w:b/>
          <w:sz w:val="16"/>
        </w:rPr>
        <w:t>After eight weeks of CBT for panic, a client reports little improvement. Attendance is consistent, but the counselor relied heavily on written worksheets the client struggles to read, and exposure was practiced only twice. What is the BEST next step?</w:t>
      </w:r>
    </w:p>
    <w:p>
      <w:pPr>
        <w:spacing w:before="0" w:after="10" w:line="240" w:lineRule="auto"/>
        <w:ind w:left="230" w:hanging="230"/>
      </w:pPr>
      <w:r>
        <w:rPr>
          <w:rFonts w:ascii="Arial" w:hAnsi="Arial" w:eastAsia="Arial"/>
          <w:sz w:val="16"/>
        </w:rPr>
        <w:t>A. Declare CBT ineffective and immediately replace it with an unrelated treatment.</w:t>
      </w:r>
    </w:p>
    <w:p>
      <w:pPr>
        <w:spacing w:before="0" w:after="10" w:line="240" w:lineRule="auto"/>
        <w:ind w:left="230" w:hanging="230"/>
      </w:pPr>
      <w:r>
        <w:rPr>
          <w:rFonts w:ascii="Arial" w:hAnsi="Arial" w:eastAsia="Arial"/>
          <w:sz w:val="16"/>
        </w:rPr>
        <w:t>B. Review the formulation, alliance, literacy barrier, active ingredients, exposure dosage and fidelity, adapt delivery while preserving the mechanism, and then reassess response.</w:t>
      </w:r>
    </w:p>
    <w:p>
      <w:pPr>
        <w:spacing w:before="0" w:after="10" w:line="240" w:lineRule="auto"/>
        <w:ind w:left="230" w:hanging="230"/>
      </w:pPr>
      <w:r>
        <w:rPr>
          <w:rFonts w:ascii="Arial" w:hAnsi="Arial" w:eastAsia="Arial"/>
          <w:sz w:val="16"/>
        </w:rPr>
        <w:t>C. Continue the identical plan for eight more weeks because evidence-based treatment should never be modified.</w:t>
      </w:r>
    </w:p>
    <w:p>
      <w:pPr>
        <w:spacing w:before="0" w:after="10" w:line="240" w:lineRule="auto"/>
        <w:ind w:left="230" w:hanging="230"/>
      </w:pPr>
      <w:r>
        <w:rPr>
          <w:rFonts w:ascii="Arial" w:hAnsi="Arial" w:eastAsia="Arial"/>
          <w:sz w:val="16"/>
        </w:rPr>
        <w:t>D. Conclude that the client is resistant because homework was incomplete.</w:t>
      </w:r>
    </w:p>
    <w:p>
      <w:pPr>
        <w:spacing w:before="0" w:after="40" w:line="245" w:lineRule="auto"/>
      </w:pPr>
      <w:r>
        <w:rPr>
          <w:rFonts w:ascii="Arial" w:hAnsi="Arial" w:eastAsia="Arial"/>
          <w:b w:val="0"/>
          <w:i/>
          <w:color w:val="4B5563"/>
          <w:sz w:val="15"/>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1</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Jordan Lee - OCD Cycle, Readiness, and Initial Fit</w:t>
            </w:r>
          </w:p>
        </w:tc>
      </w:tr>
    </w:tbl>
    <w:p>
      <w:pPr>
        <w:spacing w:before="60" w:after="20" w:line="245" w:lineRule="auto"/>
      </w:pPr>
      <w:r>
        <w:rPr>
          <w:rFonts w:ascii="Arial" w:hAnsi="Arial" w:eastAsia="Arial"/>
          <w:b/>
          <w:i w:val="0"/>
          <w:color w:val="17365D"/>
          <w:sz w:val="16"/>
        </w:rPr>
        <w:t>CASE NARRATIVE - PART 1</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Jordan Lee is a 27-year-old Korean American nonbinary laboratory technician. Six months after a coworker became seriously ill, Jordan developed intense contamination fears. Jordan washes 30 to 40 times per day, showers for about 90 minutes, avoids the staff break room and public transit, and asks a partner to open doors and confirm that surfaces are safe. Jordan has missed work, stopped indoor climbing, stays up late washing, and uses a cannabis edible most nights to sleep. Jordan denies current suicidal or homicidal ideation, mania, or psychosis, and reports that a recent medical evaluation found no acute concern. Jordan wants practical help but says, "I am not ready to touch dirty things." The counselor is competent in CBT, ERP, and motivational interviewing.</w:t>
            </w:r>
          </w:p>
        </w:tc>
      </w:tr>
    </w:tbl>
    <w:p>
      <w:pPr>
        <w:spacing w:before="0" w:after="40" w:line="245" w:lineRule="auto"/>
      </w:pPr>
      <w:r>
        <w:rPr>
          <w:rFonts w:ascii="Arial" w:hAnsi="Arial" w:eastAsia="Arial"/>
          <w:b/>
          <w:i w:val="0"/>
          <w:color w:val="159C9C"/>
          <w:sz w:val="16"/>
        </w:rPr>
        <w:t>Answer Questions 6-9 using only the information in this section.</w:t>
      </w:r>
    </w:p>
    <w:p>
      <w:pPr>
        <w:spacing w:before="0" w:after="14" w:line="245" w:lineRule="auto"/>
        <w:keepNext/>
      </w:pPr>
      <w:r>
        <w:rPr>
          <w:rFonts w:ascii="Arial" w:hAnsi="Arial" w:eastAsia="Arial"/>
          <w:b/>
          <w:color w:val="159C9C"/>
          <w:sz w:val="14"/>
        </w:rPr>
        <w:t>LPCC-WB09-PB-Q006 | Knowledge &amp; Application | Easy | Primary concept: Empathy before intervention</w:t>
      </w:r>
    </w:p>
    <w:p>
      <w:pPr>
        <w:spacing w:before="0" w:after="14" w:line="245" w:lineRule="auto"/>
        <w:keepNext/>
      </w:pPr>
      <w:r>
        <w:rPr>
          <w:rFonts w:ascii="Arial" w:hAnsi="Arial" w:eastAsia="Arial"/>
          <w:b/>
          <w:sz w:val="16"/>
        </w:rPr>
        <w:t>Jordan says, "I know the washing is taking over my life, but touching something dirty feels like I am choosing to make someone sick." Which response is BEST initially?</w:t>
      </w:r>
    </w:p>
    <w:p>
      <w:pPr>
        <w:spacing w:before="0" w:after="5" w:line="235" w:lineRule="auto"/>
        <w:ind w:left="216" w:hanging="216"/>
      </w:pPr>
      <w:r>
        <w:rPr>
          <w:rFonts w:ascii="Arial" w:hAnsi="Arial" w:eastAsia="Arial"/>
          <w:sz w:val="15"/>
        </w:rPr>
        <w:t>A. "You already know the fear is irrational, so you should stop washing."</w:t>
      </w:r>
    </w:p>
    <w:p>
      <w:pPr>
        <w:spacing w:before="0" w:after="5" w:line="235" w:lineRule="auto"/>
        <w:ind w:left="216" w:hanging="216"/>
      </w:pPr>
      <w:r>
        <w:rPr>
          <w:rFonts w:ascii="Arial" w:hAnsi="Arial" w:eastAsia="Arial"/>
          <w:sz w:val="15"/>
        </w:rPr>
        <w:t>B. "Let me reassure you that you cannot make anyone sick."</w:t>
      </w:r>
    </w:p>
    <w:p>
      <w:pPr>
        <w:spacing w:before="0" w:after="5" w:line="235" w:lineRule="auto"/>
        <w:ind w:left="216" w:hanging="216"/>
      </w:pPr>
      <w:r>
        <w:rPr>
          <w:rFonts w:ascii="Arial" w:hAnsi="Arial" w:eastAsia="Arial"/>
          <w:sz w:val="15"/>
        </w:rPr>
        <w:t>C. "It sounds frightening to feel responsible for preventing harm, even while the washing is exhausting and shrinking your life."</w:t>
      </w:r>
    </w:p>
    <w:p>
      <w:pPr>
        <w:spacing w:before="0" w:after="5" w:line="235" w:lineRule="auto"/>
        <w:ind w:left="216" w:hanging="216"/>
      </w:pPr>
      <w:r>
        <w:rPr>
          <w:rFonts w:ascii="Arial" w:hAnsi="Arial" w:eastAsia="Arial"/>
          <w:sz w:val="15"/>
        </w:rPr>
        <w:t>D. "We will start with the hardest exposure today so you can prove the fear is false."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LPCC-WB09-PB-Q007 | Application | Moderate | Primary concept: Mechanism-based formulation</w:t>
      </w:r>
    </w:p>
    <w:p>
      <w:pPr>
        <w:spacing w:before="0" w:after="14" w:line="245" w:lineRule="auto"/>
        <w:keepNext/>
      </w:pPr>
      <w:r>
        <w:rPr>
          <w:rFonts w:ascii="Arial" w:hAnsi="Arial" w:eastAsia="Arial"/>
          <w:b/>
          <w:sz w:val="16"/>
        </w:rPr>
        <w:t>Which formulation BEST explains the available information in Part 1?</w:t>
      </w:r>
    </w:p>
    <w:p>
      <w:pPr>
        <w:spacing w:before="0" w:after="5" w:line="235" w:lineRule="auto"/>
        <w:ind w:left="216" w:hanging="216"/>
      </w:pPr>
      <w:r>
        <w:rPr>
          <w:rFonts w:ascii="Arial" w:hAnsi="Arial" w:eastAsia="Arial"/>
          <w:sz w:val="15"/>
        </w:rPr>
        <w:t>A. Contamination fear, washing, avoidance, partner reassurance, and short-term relief may reinforce the OCD cycle, while withdrawal, sleep disruption, and cannabis use may worsen mood and functioning.</w:t>
      </w:r>
    </w:p>
    <w:p>
      <w:pPr>
        <w:spacing w:before="0" w:after="5" w:line="235" w:lineRule="auto"/>
        <w:ind w:left="216" w:hanging="216"/>
      </w:pPr>
      <w:r>
        <w:rPr>
          <w:rFonts w:ascii="Arial" w:hAnsi="Arial" w:eastAsia="Arial"/>
          <w:sz w:val="15"/>
        </w:rPr>
        <w:t>B. Jordan's symptoms are caused entirely by cultural background and should be treated through confrontation of family values.</w:t>
      </w:r>
    </w:p>
    <w:p>
      <w:pPr>
        <w:spacing w:before="0" w:after="5" w:line="235" w:lineRule="auto"/>
        <w:ind w:left="216" w:hanging="216"/>
      </w:pPr>
      <w:r>
        <w:rPr>
          <w:rFonts w:ascii="Arial" w:hAnsi="Arial" w:eastAsia="Arial"/>
          <w:sz w:val="15"/>
        </w:rPr>
        <w:t>C. Jordan has poor motivation, and the main treatment target is compliance with the counselor's assignments.</w:t>
      </w:r>
    </w:p>
    <w:p>
      <w:pPr>
        <w:spacing w:before="0" w:after="5" w:line="235" w:lineRule="auto"/>
        <w:ind w:left="216" w:hanging="216"/>
      </w:pPr>
      <w:r>
        <w:rPr>
          <w:rFonts w:ascii="Arial" w:hAnsi="Arial" w:eastAsia="Arial"/>
          <w:sz w:val="15"/>
        </w:rPr>
        <w:t>D. The symptoms are purely biological because a coworker became ill.</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LPCC-WB09-PB-Q008 | Integrated Clinical Reasoning | Difficult | Primary concept: Readiness and initial intervention sequence</w:t>
      </w:r>
    </w:p>
    <w:p>
      <w:pPr>
        <w:spacing w:before="0" w:after="14" w:line="245" w:lineRule="auto"/>
        <w:keepNext/>
      </w:pPr>
      <w:r>
        <w:rPr>
          <w:rFonts w:ascii="Arial" w:hAnsi="Arial" w:eastAsia="Arial"/>
          <w:b/>
          <w:sz w:val="16"/>
        </w:rPr>
        <w:t>Jordan wants practical help but says, "I am not ready to touch dirty things." What is the BEST initial plan?</w:t>
      </w:r>
    </w:p>
    <w:p>
      <w:pPr>
        <w:spacing w:before="0" w:after="5" w:line="235" w:lineRule="auto"/>
        <w:ind w:left="216" w:hanging="216"/>
      </w:pPr>
      <w:r>
        <w:rPr>
          <w:rFonts w:ascii="Arial" w:hAnsi="Arial" w:eastAsia="Arial"/>
          <w:sz w:val="15"/>
        </w:rPr>
        <w:t>A. Require immediate high-level exposure because ERP is evidence supported.</w:t>
      </w:r>
    </w:p>
    <w:p>
      <w:pPr>
        <w:spacing w:before="0" w:after="5" w:line="235" w:lineRule="auto"/>
        <w:ind w:left="216" w:hanging="216"/>
      </w:pPr>
      <w:r>
        <w:rPr>
          <w:rFonts w:ascii="Arial" w:hAnsi="Arial" w:eastAsia="Arial"/>
          <w:sz w:val="15"/>
        </w:rPr>
        <w:t>B. Promise that anxiety will be eliminated before any exposure is considered.</w:t>
      </w:r>
    </w:p>
    <w:p>
      <w:pPr>
        <w:spacing w:before="0" w:after="5" w:line="235" w:lineRule="auto"/>
        <w:ind w:left="216" w:hanging="216"/>
      </w:pPr>
      <w:r>
        <w:rPr>
          <w:rFonts w:ascii="Arial" w:hAnsi="Arial" w:eastAsia="Arial"/>
          <w:sz w:val="15"/>
        </w:rPr>
        <w:t>C. Avoid discussing exposure so Jordan does not feel pressured.</w:t>
      </w:r>
    </w:p>
    <w:p>
      <w:pPr>
        <w:spacing w:before="0" w:after="5" w:line="235" w:lineRule="auto"/>
        <w:ind w:left="216" w:hanging="216"/>
      </w:pPr>
      <w:r>
        <w:rPr>
          <w:rFonts w:ascii="Arial" w:hAnsi="Arial" w:eastAsia="Arial"/>
          <w:sz w:val="15"/>
        </w:rPr>
        <w:t>D. Collaboratively explain the obsession-compulsion-reassurance cycle, assess readiness and goals, begin feasible mood and sleep supports, use motivational strategies, collect baseline data, and build toward voluntary graded ERP.</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LPCC-WB09-PB-Q009 | Application | Moderate | Primary concept: Baseline and outcome measurement</w:t>
      </w:r>
    </w:p>
    <w:p>
      <w:pPr>
        <w:spacing w:before="0" w:after="14" w:line="245" w:lineRule="auto"/>
        <w:keepNext/>
      </w:pPr>
      <w:r>
        <w:rPr>
          <w:rFonts w:ascii="Arial" w:hAnsi="Arial" w:eastAsia="Arial"/>
          <w:b/>
          <w:sz w:val="16"/>
        </w:rPr>
        <w:t>Which baseline plan would provide the MOST useful information for treatment and later progress review?</w:t>
      </w:r>
    </w:p>
    <w:p>
      <w:pPr>
        <w:spacing w:before="0" w:after="5" w:line="235" w:lineRule="auto"/>
        <w:ind w:left="216" w:hanging="216"/>
      </w:pPr>
      <w:r>
        <w:rPr>
          <w:rFonts w:ascii="Arial" w:hAnsi="Arial" w:eastAsia="Arial"/>
          <w:sz w:val="15"/>
        </w:rPr>
        <w:t>A. Record only Jordan's distress rating during the first session.</w:t>
      </w:r>
    </w:p>
    <w:p>
      <w:pPr>
        <w:spacing w:before="0" w:after="5" w:line="235" w:lineRule="auto"/>
        <w:ind w:left="216" w:hanging="216"/>
      </w:pPr>
      <w:r>
        <w:rPr>
          <w:rFonts w:ascii="Arial" w:hAnsi="Arial" w:eastAsia="Arial"/>
          <w:sz w:val="15"/>
        </w:rPr>
        <w:t>B. Use an appropriate OCD severity measure within competence, washing frequency and duration, avoidance and reassurance patterns, sleep, mood, cannabis use, work attendance, valued activities, and Jordan's own goals.</w:t>
      </w:r>
    </w:p>
    <w:p>
      <w:pPr>
        <w:spacing w:before="0" w:after="5" w:line="235" w:lineRule="auto"/>
        <w:ind w:left="216" w:hanging="216"/>
      </w:pPr>
      <w:r>
        <w:rPr>
          <w:rFonts w:ascii="Arial" w:hAnsi="Arial" w:eastAsia="Arial"/>
          <w:sz w:val="15"/>
        </w:rPr>
        <w:t>C. Ask the partner to decide whether Jordan is improving.</w:t>
      </w:r>
    </w:p>
    <w:p>
      <w:pPr>
        <w:spacing w:before="0" w:after="5" w:line="235" w:lineRule="auto"/>
        <w:ind w:left="216" w:hanging="216"/>
      </w:pPr>
      <w:r>
        <w:rPr>
          <w:rFonts w:ascii="Arial" w:hAnsi="Arial" w:eastAsia="Arial"/>
          <w:sz w:val="15"/>
        </w:rPr>
        <w:t>D. Wait until treatment ends because measurement can interfere with the alliance.</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2, answer every Part 1 item and review flagged responses. Once you continue, do not revise Questions 6-9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2</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Jordan Lee - Graded ERP and Response Prevention</w:t>
            </w:r>
          </w:p>
        </w:tc>
      </w:tr>
    </w:tbl>
    <w:p>
      <w:pPr>
        <w:spacing w:before="60" w:after="20" w:line="245" w:lineRule="auto"/>
      </w:pPr>
      <w:r>
        <w:rPr>
          <w:rFonts w:ascii="Arial" w:hAnsi="Arial" w:eastAsia="Arial"/>
          <w:b/>
          <w:i w:val="0"/>
          <w:color w:val="17365D"/>
          <w:sz w:val="16"/>
        </w:rPr>
        <w:t>CASE NARRATIVE - PART 2</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After three sessions, Jordan has reduced cannabis use to weekends, attended one climbing session, and can explain how washing and reassurance produce short-term relief. Jordan says, "I want to try exposure if we start small." A collaborative hierarchy rates touching the home desk at 3/10, a break-room handle at 6/10, and a bus pole at 9/10. During the first desk exposure, Jordan touches the surface, then wipes the hand on a sleeve and asks the counselor, "It is not dangerous, right?" Jordan also asks to carry sanitizer "just in case." The partner offers to text reassurance during home practice.</w:t>
            </w:r>
          </w:p>
        </w:tc>
      </w:tr>
    </w:tbl>
    <w:p>
      <w:pPr>
        <w:spacing w:before="0" w:after="40" w:line="245" w:lineRule="auto"/>
      </w:pPr>
      <w:r>
        <w:rPr>
          <w:rFonts w:ascii="Arial" w:hAnsi="Arial" w:eastAsia="Arial"/>
          <w:b/>
          <w:i w:val="0"/>
          <w:color w:val="159C9C"/>
          <w:sz w:val="16"/>
        </w:rPr>
        <w:t>Answer Questions 10-13 using only the information in this section.</w:t>
      </w:r>
    </w:p>
    <w:p>
      <w:pPr>
        <w:spacing w:before="0" w:after="14" w:line="245" w:lineRule="auto"/>
        <w:keepNext/>
      </w:pPr>
      <w:r>
        <w:rPr>
          <w:rFonts w:ascii="Arial" w:hAnsi="Arial" w:eastAsia="Arial"/>
          <w:b/>
          <w:color w:val="159C9C"/>
          <w:sz w:val="14"/>
        </w:rPr>
        <w:t>LPCC-WB09-PB-Q010 | Knowledge &amp; Application | Easy | Primary concept: ERP response prevention</w:t>
      </w:r>
    </w:p>
    <w:p>
      <w:pPr>
        <w:spacing w:before="0" w:after="14" w:line="245" w:lineRule="auto"/>
        <w:keepNext/>
      </w:pPr>
      <w:r>
        <w:rPr>
          <w:rFonts w:ascii="Arial" w:hAnsi="Arial" w:eastAsia="Arial"/>
          <w:b/>
          <w:sz w:val="16"/>
        </w:rPr>
        <w:t>During a low-level exposure, Jordan touches the desk and then wipes the hand on a sleeve and asks, "It is not dangerous, right?" Which behaviors are the PRIMARY response-prevention targets?</w:t>
      </w:r>
    </w:p>
    <w:p>
      <w:pPr>
        <w:spacing w:before="0" w:after="5" w:line="235" w:lineRule="auto"/>
        <w:ind w:left="216" w:hanging="216"/>
      </w:pPr>
      <w:r>
        <w:rPr>
          <w:rFonts w:ascii="Arial" w:hAnsi="Arial" w:eastAsia="Arial"/>
          <w:sz w:val="15"/>
        </w:rPr>
        <w:t>A. Touching the desk and reporting anxiety.</w:t>
      </w:r>
    </w:p>
    <w:p>
      <w:pPr>
        <w:spacing w:before="0" w:after="5" w:line="235" w:lineRule="auto"/>
        <w:ind w:left="216" w:hanging="216"/>
      </w:pPr>
      <w:r>
        <w:rPr>
          <w:rFonts w:ascii="Arial" w:hAnsi="Arial" w:eastAsia="Arial"/>
          <w:sz w:val="15"/>
        </w:rPr>
        <w:t>B. The counselor's use of a graded hierarchy.</w:t>
      </w:r>
    </w:p>
    <w:p>
      <w:pPr>
        <w:spacing w:before="0" w:after="5" w:line="235" w:lineRule="auto"/>
        <w:ind w:left="216" w:hanging="216"/>
      </w:pPr>
      <w:r>
        <w:rPr>
          <w:rFonts w:ascii="Arial" w:hAnsi="Arial" w:eastAsia="Arial"/>
          <w:sz w:val="15"/>
        </w:rPr>
        <w:t>C. Wiping the hand and seeking reassurance after the exposure.</w:t>
      </w:r>
    </w:p>
    <w:p>
      <w:pPr>
        <w:spacing w:before="0" w:after="5" w:line="235" w:lineRule="auto"/>
        <w:ind w:left="216" w:hanging="216"/>
      </w:pPr>
      <w:r>
        <w:rPr>
          <w:rFonts w:ascii="Arial" w:hAnsi="Arial" w:eastAsia="Arial"/>
          <w:sz w:val="15"/>
        </w:rPr>
        <w:t>D. Jordan's decision to attend counseling.</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LPCC-WB09-PB-Q011 | Application | Moderate | Primary concept: Graded ERP delivery</w:t>
      </w:r>
    </w:p>
    <w:p>
      <w:pPr>
        <w:spacing w:before="0" w:after="14" w:line="245" w:lineRule="auto"/>
        <w:keepNext/>
      </w:pPr>
      <w:r>
        <w:rPr>
          <w:rFonts w:ascii="Arial" w:hAnsi="Arial" w:eastAsia="Arial"/>
          <w:b/>
          <w:sz w:val="16"/>
        </w:rPr>
        <w:t>What is the BEST next step in Jordan's graded exposure plan?</w:t>
      </w:r>
    </w:p>
    <w:p>
      <w:pPr>
        <w:spacing w:before="0" w:after="5" w:line="235" w:lineRule="auto"/>
        <w:ind w:left="216" w:hanging="216"/>
      </w:pPr>
      <w:r>
        <w:rPr>
          <w:rFonts w:ascii="Arial" w:hAnsi="Arial" w:eastAsia="Arial"/>
          <w:sz w:val="15"/>
        </w:rPr>
        <w:t>A. Repeat a collaboratively chosen, tolerable desk exposure while delaying or omitting washing, wiping, and reassurance; review learning; and advance based on readiness and evidence rather than zero anxiety.</w:t>
      </w:r>
    </w:p>
    <w:p>
      <w:pPr>
        <w:spacing w:before="0" w:after="5" w:line="235" w:lineRule="auto"/>
        <w:ind w:left="216" w:hanging="216"/>
      </w:pPr>
      <w:r>
        <w:rPr>
          <w:rFonts w:ascii="Arial" w:hAnsi="Arial" w:eastAsia="Arial"/>
          <w:sz w:val="15"/>
        </w:rPr>
        <w:t>B. Move immediately to the highest hierarchy item so treatment is efficient.</w:t>
      </w:r>
    </w:p>
    <w:p>
      <w:pPr>
        <w:spacing w:before="0" w:after="5" w:line="235" w:lineRule="auto"/>
        <w:ind w:left="216" w:hanging="216"/>
      </w:pPr>
      <w:r>
        <w:rPr>
          <w:rFonts w:ascii="Arial" w:hAnsi="Arial" w:eastAsia="Arial"/>
          <w:sz w:val="15"/>
        </w:rPr>
        <w:t>C. Allow sanitizer after every exposure so Jordan can complete more trials without distress.</w:t>
      </w:r>
    </w:p>
    <w:p>
      <w:pPr>
        <w:spacing w:before="0" w:after="5" w:line="235" w:lineRule="auto"/>
        <w:ind w:left="216" w:hanging="216"/>
      </w:pPr>
      <w:r>
        <w:rPr>
          <w:rFonts w:ascii="Arial" w:hAnsi="Arial" w:eastAsia="Arial"/>
          <w:sz w:val="15"/>
        </w:rPr>
        <w:t>D. End the exposure as soon as anxiety rises because distress indicates harm.</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LPCC-WB09-PB-Q012 | Integrated Clinical Reasoning | Difficult | Primary concept: Safety behaviors and treatment fit</w:t>
      </w:r>
    </w:p>
    <w:p>
      <w:pPr>
        <w:spacing w:before="0" w:after="14" w:line="245" w:lineRule="auto"/>
        <w:keepNext/>
      </w:pPr>
      <w:r>
        <w:rPr>
          <w:rFonts w:ascii="Arial" w:hAnsi="Arial" w:eastAsia="Arial"/>
          <w:b/>
          <w:sz w:val="16"/>
        </w:rPr>
        <w:t>Jordan asks to carry sanitizer "just in case" during every exposure. What is the BEST counselor response?</w:t>
      </w:r>
    </w:p>
    <w:p>
      <w:pPr>
        <w:spacing w:before="0" w:after="5" w:line="235" w:lineRule="auto"/>
        <w:ind w:left="216" w:hanging="216"/>
      </w:pPr>
      <w:r>
        <w:rPr>
          <w:rFonts w:ascii="Arial" w:hAnsi="Arial" w:eastAsia="Arial"/>
          <w:sz w:val="15"/>
        </w:rPr>
        <w:t>A. Agree without discussion because any coping aid increases treatment adherence.</w:t>
      </w:r>
    </w:p>
    <w:p>
      <w:pPr>
        <w:spacing w:before="0" w:after="5" w:line="235" w:lineRule="auto"/>
        <w:ind w:left="216" w:hanging="216"/>
      </w:pPr>
      <w:r>
        <w:rPr>
          <w:rFonts w:ascii="Arial" w:hAnsi="Arial" w:eastAsia="Arial"/>
          <w:sz w:val="15"/>
        </w:rPr>
        <w:t>B. Forbid sanitizer in every setting, including ordinary health-related use, because all use is compulsive.</w:t>
      </w:r>
    </w:p>
    <w:p>
      <w:pPr>
        <w:spacing w:before="0" w:after="5" w:line="235" w:lineRule="auto"/>
        <w:ind w:left="216" w:hanging="216"/>
      </w:pPr>
      <w:r>
        <w:rPr>
          <w:rFonts w:ascii="Arial" w:hAnsi="Arial" w:eastAsia="Arial"/>
          <w:sz w:val="15"/>
        </w:rPr>
        <w:t>C. Reassure Jordan that contamination is impossible so sanitizer will not be needed.</w:t>
      </w:r>
    </w:p>
    <w:p>
      <w:pPr>
        <w:spacing w:before="0" w:after="5" w:line="235" w:lineRule="auto"/>
        <w:ind w:left="216" w:hanging="216"/>
      </w:pPr>
      <w:r>
        <w:rPr>
          <w:rFonts w:ascii="Arial" w:hAnsi="Arial" w:eastAsia="Arial"/>
          <w:sz w:val="15"/>
        </w:rPr>
        <w:t>D. Explore the intended function, distinguish ordinary health use from ritualized neutralization, collaboratively define response prevention, and avoid using sanitizer as the condition that makes exposure feel safe.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LPCC-WB09-PB-Q013 | Application | Moderate | Primary concept: Multidimensional progress monitoring</w:t>
      </w:r>
    </w:p>
    <w:p>
      <w:pPr>
        <w:spacing w:before="0" w:after="14" w:line="245" w:lineRule="auto"/>
        <w:keepNext/>
      </w:pPr>
      <w:r>
        <w:rPr>
          <w:rFonts w:ascii="Arial" w:hAnsi="Arial" w:eastAsia="Arial"/>
          <w:b/>
          <w:sz w:val="16"/>
        </w:rPr>
        <w:t>Which progress review is MOST appropriate during ERP?</w:t>
      </w:r>
    </w:p>
    <w:p>
      <w:pPr>
        <w:spacing w:before="0" w:after="5" w:line="235" w:lineRule="auto"/>
        <w:ind w:left="216" w:hanging="216"/>
      </w:pPr>
      <w:r>
        <w:rPr>
          <w:rFonts w:ascii="Arial" w:hAnsi="Arial" w:eastAsia="Arial"/>
          <w:sz w:val="15"/>
        </w:rPr>
        <w:t>A. Continue only if anxiety reaches zero during each exposure.</w:t>
      </w:r>
    </w:p>
    <w:p>
      <w:pPr>
        <w:spacing w:before="0" w:after="5" w:line="235" w:lineRule="auto"/>
        <w:ind w:left="216" w:hanging="216"/>
      </w:pPr>
      <w:r>
        <w:rPr>
          <w:rFonts w:ascii="Arial" w:hAnsi="Arial" w:eastAsia="Arial"/>
          <w:sz w:val="15"/>
        </w:rPr>
        <w:t>B. Use the partner's reassurance frequency as the sole outcome.</w:t>
      </w:r>
    </w:p>
    <w:p>
      <w:pPr>
        <w:spacing w:before="0" w:after="5" w:line="235" w:lineRule="auto"/>
        <w:ind w:left="216" w:hanging="216"/>
      </w:pPr>
      <w:r>
        <w:rPr>
          <w:rFonts w:ascii="Arial" w:hAnsi="Arial" w:eastAsia="Arial"/>
          <w:sz w:val="15"/>
        </w:rPr>
        <w:t>C. Review OCD symptoms, ritual frequency and duration, avoided situations, functional participation, treatment practice, alliance and burden, and Jordan's own goals.</w:t>
      </w:r>
    </w:p>
    <w:p>
      <w:pPr>
        <w:spacing w:before="0" w:after="5" w:line="235" w:lineRule="auto"/>
        <w:ind w:left="216" w:hanging="216"/>
      </w:pPr>
      <w:r>
        <w:rPr>
          <w:rFonts w:ascii="Arial" w:hAnsi="Arial" w:eastAsia="Arial"/>
          <w:sz w:val="15"/>
        </w:rPr>
        <w:t>D. Ignore functional change until the symptom scale decreases by a predetermined amount.</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3, answer every Part 2 item and review flagged responses. Once you continue, do not revise Questions 10-13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3</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Jordan Lee - Partial Response, Adaptation, and Referral</w:t>
            </w:r>
          </w:p>
        </w:tc>
      </w:tr>
    </w:tbl>
    <w:p>
      <w:pPr>
        <w:spacing w:before="60" w:after="20" w:line="245" w:lineRule="auto"/>
      </w:pPr>
      <w:r>
        <w:rPr>
          <w:rFonts w:ascii="Arial" w:hAnsi="Arial" w:eastAsia="Arial"/>
          <w:b/>
          <w:i w:val="0"/>
          <w:color w:val="17365D"/>
          <w:sz w:val="16"/>
        </w:rPr>
        <w:t>CASE NARRATIVE - PART 3</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Six weeks later, Jordan attends weekly sessions. Washing has decreased to about 18 times per day, showers average 45 minutes, public transit is used twice weekly, and work attendance has improved. The OCD severity score has changed only modestly. Home exposures are inconsistent because relatives temporarily moved into the apartment, the partner still provides reassurance, and written homework feels shaming and difficult to complete. Jordan asks for audio prompts, more in-session practice, and help preparing for higher-level transit exposure. No new safety or medical concern is reported.</w:t>
            </w:r>
          </w:p>
        </w:tc>
      </w:tr>
    </w:tbl>
    <w:p>
      <w:pPr>
        <w:spacing w:before="0" w:after="40" w:line="245" w:lineRule="auto"/>
      </w:pPr>
      <w:r>
        <w:rPr>
          <w:rFonts w:ascii="Arial" w:hAnsi="Arial" w:eastAsia="Arial"/>
          <w:b/>
          <w:i w:val="0"/>
          <w:color w:val="159C9C"/>
          <w:sz w:val="16"/>
        </w:rPr>
        <w:t>Answer Questions 14-17 using only the information in this section.</w:t>
      </w:r>
    </w:p>
    <w:p>
      <w:pPr>
        <w:spacing w:before="0" w:after="14" w:line="245" w:lineRule="auto"/>
        <w:keepNext/>
      </w:pPr>
      <w:r>
        <w:rPr>
          <w:rFonts w:ascii="Arial" w:hAnsi="Arial" w:eastAsia="Arial"/>
          <w:b/>
          <w:color w:val="159C9C"/>
          <w:sz w:val="14"/>
        </w:rPr>
        <w:t>LPCC-WB09-PB-Q014 | Knowledge &amp; Application | Easy | Primary concept: Functional improvement</w:t>
      </w:r>
    </w:p>
    <w:p>
      <w:pPr>
        <w:spacing w:before="0" w:after="14" w:line="245" w:lineRule="auto"/>
        <w:keepNext/>
      </w:pPr>
      <w:r>
        <w:rPr>
          <w:rFonts w:ascii="Arial" w:hAnsi="Arial" w:eastAsia="Arial"/>
          <w:b/>
          <w:sz w:val="16"/>
        </w:rPr>
        <w:t>In Part 3, which finding provides the STRONGEST evidence of meaningful improvement despite modest change on the symptom scale?</w:t>
      </w:r>
    </w:p>
    <w:p>
      <w:pPr>
        <w:spacing w:before="0" w:after="5" w:line="235" w:lineRule="auto"/>
        <w:ind w:left="216" w:hanging="216"/>
      </w:pPr>
      <w:r>
        <w:rPr>
          <w:rFonts w:ascii="Arial" w:hAnsi="Arial" w:eastAsia="Arial"/>
          <w:sz w:val="15"/>
        </w:rPr>
        <w:t>A. Jordan still experiences contamination thoughts.</w:t>
      </w:r>
    </w:p>
    <w:p>
      <w:pPr>
        <w:spacing w:before="0" w:after="5" w:line="235" w:lineRule="auto"/>
        <w:ind w:left="216" w:hanging="216"/>
      </w:pPr>
      <w:r>
        <w:rPr>
          <w:rFonts w:ascii="Arial" w:hAnsi="Arial" w:eastAsia="Arial"/>
          <w:sz w:val="15"/>
        </w:rPr>
        <w:t>B. Washing and shower duration decreased, public transit resumed twice weekly, and work attendance improved.</w:t>
      </w:r>
    </w:p>
    <w:p>
      <w:pPr>
        <w:spacing w:before="0" w:after="5" w:line="235" w:lineRule="auto"/>
        <w:ind w:left="216" w:hanging="216"/>
      </w:pPr>
      <w:r>
        <w:rPr>
          <w:rFonts w:ascii="Arial" w:hAnsi="Arial" w:eastAsia="Arial"/>
          <w:sz w:val="15"/>
        </w:rPr>
        <w:t>C. Jordan asked to change the homework format.</w:t>
      </w:r>
    </w:p>
    <w:p>
      <w:pPr>
        <w:spacing w:before="0" w:after="5" w:line="235" w:lineRule="auto"/>
        <w:ind w:left="216" w:hanging="216"/>
      </w:pPr>
      <w:r>
        <w:rPr>
          <w:rFonts w:ascii="Arial" w:hAnsi="Arial" w:eastAsia="Arial"/>
          <w:sz w:val="15"/>
        </w:rPr>
        <w:t>D. The partner sometimes continues to provide reassurance.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LPCC-WB09-PB-Q015 | Application | Moderate | Primary concept: Adaptation with active-ingredient preservation</w:t>
      </w:r>
    </w:p>
    <w:p>
      <w:pPr>
        <w:spacing w:before="0" w:after="14" w:line="245" w:lineRule="auto"/>
        <w:keepNext/>
      </w:pPr>
      <w:r>
        <w:rPr>
          <w:rFonts w:ascii="Arial" w:hAnsi="Arial" w:eastAsia="Arial"/>
          <w:b/>
          <w:sz w:val="16"/>
        </w:rPr>
        <w:t>Jordan says written homework feels shaming and is rarely completed. Which adaptation is BEST?</w:t>
      </w:r>
    </w:p>
    <w:p>
      <w:pPr>
        <w:spacing w:before="0" w:after="5" w:line="235" w:lineRule="auto"/>
        <w:ind w:left="216" w:hanging="216"/>
      </w:pPr>
      <w:r>
        <w:rPr>
          <w:rFonts w:ascii="Arial" w:hAnsi="Arial" w:eastAsia="Arial"/>
          <w:sz w:val="15"/>
        </w:rPr>
        <w:t>A. Use shorter audio prompts, more in-session practice, and a feasible schedule while preserving repeated exposure and response prevention; with consent, help the partner reduce reassurance accommodation.</w:t>
      </w:r>
    </w:p>
    <w:p>
      <w:pPr>
        <w:spacing w:before="0" w:after="5" w:line="235" w:lineRule="auto"/>
        <w:ind w:left="216" w:hanging="216"/>
      </w:pPr>
      <w:r>
        <w:rPr>
          <w:rFonts w:ascii="Arial" w:hAnsi="Arial" w:eastAsia="Arial"/>
          <w:sz w:val="15"/>
        </w:rPr>
        <w:t>B. Eliminate exposure and response prevention and substitute general supportive counseling only.</w:t>
      </w:r>
    </w:p>
    <w:p>
      <w:pPr>
        <w:spacing w:before="0" w:after="5" w:line="235" w:lineRule="auto"/>
        <w:ind w:left="216" w:hanging="216"/>
      </w:pPr>
      <w:r>
        <w:rPr>
          <w:rFonts w:ascii="Arial" w:hAnsi="Arial" w:eastAsia="Arial"/>
          <w:sz w:val="15"/>
        </w:rPr>
        <w:t>C. Keep the written format unchanged because any adaptation violates fidelity.</w:t>
      </w:r>
    </w:p>
    <w:p>
      <w:pPr>
        <w:spacing w:before="0" w:after="5" w:line="235" w:lineRule="auto"/>
        <w:ind w:left="216" w:hanging="216"/>
      </w:pPr>
      <w:r>
        <w:rPr>
          <w:rFonts w:ascii="Arial" w:hAnsi="Arial" w:eastAsia="Arial"/>
          <w:sz w:val="15"/>
        </w:rPr>
        <w:t>D. Ask the partner to monitor and grade Jordan's compliance every day.</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LPCC-WB09-PB-Q016 | Integrated Clinical Reasoning | Difficult | Primary concept: PIVOT before intensification</w:t>
      </w:r>
    </w:p>
    <w:p>
      <w:pPr>
        <w:spacing w:before="0" w:after="14" w:line="245" w:lineRule="auto"/>
        <w:keepNext/>
      </w:pPr>
      <w:r>
        <w:rPr>
          <w:rFonts w:ascii="Arial" w:hAnsi="Arial" w:eastAsia="Arial"/>
          <w:b/>
          <w:sz w:val="16"/>
        </w:rPr>
        <w:t>Before moving Jordan to the highest-level exposure or declaring ERP unsuccessful, what should the counselor do FIRST?</w:t>
      </w:r>
    </w:p>
    <w:p>
      <w:pPr>
        <w:spacing w:before="0" w:after="5" w:line="235" w:lineRule="auto"/>
        <w:ind w:left="216" w:hanging="216"/>
      </w:pPr>
      <w:r>
        <w:rPr>
          <w:rFonts w:ascii="Arial" w:hAnsi="Arial" w:eastAsia="Arial"/>
          <w:sz w:val="15"/>
        </w:rPr>
        <w:t>A. Assume the remaining symptoms prove a personality disorder.</w:t>
      </w:r>
    </w:p>
    <w:p>
      <w:pPr>
        <w:spacing w:before="0" w:after="5" w:line="235" w:lineRule="auto"/>
        <w:ind w:left="216" w:hanging="216"/>
      </w:pPr>
      <w:r>
        <w:rPr>
          <w:rFonts w:ascii="Arial" w:hAnsi="Arial" w:eastAsia="Arial"/>
          <w:sz w:val="15"/>
        </w:rPr>
        <w:t>B. Increase exposure intensity without discussing burden or preference.</w:t>
      </w:r>
    </w:p>
    <w:p>
      <w:pPr>
        <w:spacing w:before="0" w:after="5" w:line="235" w:lineRule="auto"/>
        <w:ind w:left="216" w:hanging="216"/>
      </w:pPr>
      <w:r>
        <w:rPr>
          <w:rFonts w:ascii="Arial" w:hAnsi="Arial" w:eastAsia="Arial"/>
          <w:sz w:val="15"/>
        </w:rPr>
        <w:t>C. Review the formulation, actual exposure dose and response prevention, partner accommodation, homework burden, cultural and contextual fit, alliance, readiness, and outcome pattern; then revise the plan collaboratively.</w:t>
      </w:r>
    </w:p>
    <w:p>
      <w:pPr>
        <w:spacing w:before="0" w:after="5" w:line="235" w:lineRule="auto"/>
        <w:ind w:left="216" w:hanging="216"/>
      </w:pPr>
      <w:r>
        <w:rPr>
          <w:rFonts w:ascii="Arial" w:hAnsi="Arial" w:eastAsia="Arial"/>
          <w:sz w:val="15"/>
        </w:rPr>
        <w:t>D. Terminate because Jordan requested a different homework format.</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LPCC-WB09-PB-Q017 | Integrated Clinical Reasoning | Difficult | Primary concept: Consultation, referral, and continuity</w:t>
      </w:r>
    </w:p>
    <w:p>
      <w:pPr>
        <w:spacing w:before="0" w:after="14" w:line="245" w:lineRule="auto"/>
        <w:keepNext/>
      </w:pPr>
      <w:r>
        <w:rPr>
          <w:rFonts w:ascii="Arial" w:hAnsi="Arial" w:eastAsia="Arial"/>
          <w:b/>
          <w:sz w:val="16"/>
        </w:rPr>
        <w:t>When would referral to an OCD specialty program be MOST appropriate?</w:t>
      </w:r>
    </w:p>
    <w:p>
      <w:pPr>
        <w:spacing w:before="0" w:after="5" w:line="235" w:lineRule="auto"/>
        <w:ind w:left="216" w:hanging="216"/>
      </w:pPr>
      <w:r>
        <w:rPr>
          <w:rFonts w:ascii="Arial" w:hAnsi="Arial" w:eastAsia="Arial"/>
          <w:sz w:val="15"/>
        </w:rPr>
        <w:t>A. Immediately after the first session because all OCD requires specialty care.</w:t>
      </w:r>
    </w:p>
    <w:p>
      <w:pPr>
        <w:spacing w:before="0" w:after="5" w:line="235" w:lineRule="auto"/>
        <w:ind w:left="216" w:hanging="216"/>
      </w:pPr>
      <w:r>
        <w:rPr>
          <w:rFonts w:ascii="Arial" w:hAnsi="Arial" w:eastAsia="Arial"/>
          <w:sz w:val="15"/>
        </w:rPr>
        <w:t>B. Only after the counselor has continued the same plan indefinitely.</w:t>
      </w:r>
    </w:p>
    <w:p>
      <w:pPr>
        <w:spacing w:before="0" w:after="5" w:line="235" w:lineRule="auto"/>
        <w:ind w:left="216" w:hanging="216"/>
      </w:pPr>
      <w:r>
        <w:rPr>
          <w:rFonts w:ascii="Arial" w:hAnsi="Arial" w:eastAsia="Arial"/>
          <w:sz w:val="15"/>
        </w:rPr>
        <w:t>C. Whenever Jordan experiences anxiety during an exposure.</w:t>
      </w:r>
    </w:p>
    <w:p>
      <w:pPr>
        <w:spacing w:before="0" w:after="5" w:line="235" w:lineRule="auto"/>
        <w:ind w:left="216" w:hanging="216"/>
      </w:pPr>
      <w:r>
        <w:rPr>
          <w:rFonts w:ascii="Arial" w:hAnsi="Arial" w:eastAsia="Arial"/>
          <w:sz w:val="15"/>
        </w:rPr>
        <w:t>D. When severe impairment persists after an adequate, feasible, competently delivered and collaboratively adapted ERP trial; complexity exceeds the counselor or setting; Jordan prefers specialty care; or a higher treatment intensity is indicated, with a coordinated handoff and continuity plan.</w:t>
      </w:r>
    </w:p>
    <w:p>
      <w:pPr>
        <w:spacing w:before="0" w:after="26" w:line="245" w:lineRule="auto"/>
      </w:pPr>
      <w:r>
        <w:rPr>
          <w:rFonts w:ascii="Arial" w:hAnsi="Arial" w:eastAsia="Arial"/>
          <w:b w:val="0"/>
          <w:i/>
          <w:color w:val="4B5563"/>
          <w:sz w:val="14"/>
        </w:rPr>
        <w:t>My answer: ______    Confidence: 1  2  3</w:t>
      </w:r>
    </w:p>
    <w:p>
      <w:r>
        <w:br w:type="page"/>
      </w:r>
    </w:p>
    <w:p>
      <w:pPr>
        <w:pStyle w:val="Heading1"/>
        <w:spacing w:before="0" w:after="60" w:line="245" w:lineRule="auto"/>
        <w:keepNext/>
      </w:pPr>
      <w:r>
        <w:rPr>
          <w:rFonts w:ascii="Arial" w:hAnsi="Arial" w:eastAsia="Arial"/>
          <w:b/>
          <w:color w:val="159C9C"/>
          <w:sz w:val="28"/>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3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Reflection Prompt</w:t>
            </w:r>
          </w:p>
        </w:tc>
        <w:tc>
          <w:tcPr>
            <w:tcW w:type="dxa" w:w="475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My Notes</w:t>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confuse evidence support with automatic fit?</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match each intervention to the maintaining mechanism and active ingredient?</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choose an intervention before readiness, safety, or phase supported it?</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use confrontation or advice instead of CHANGE-consistent collaboration?</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call a plan ineffective before reviewing dosage, fidelity, burden, alliance, or adaptation?</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Could I explain why each integrated-model answer was stronger than a single-method answer?</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SCORE USE</w:t>
            </w:r>
          </w:p>
          <w:p>
            <w:pPr>
              <w:spacing w:before="0" w:after="0" w:line="240" w:lineRule="auto"/>
            </w:pPr>
            <w:r>
              <w:rPr>
                <w:rFonts w:ascii="Arial" w:hAnsi="Arial" w:eastAsia="Arial"/>
                <w:color w:val="1F2937"/>
                <w:sz w:val="16"/>
              </w:rPr>
              <w:t>This 17-item bank is a targeted learning assessment, not an official NCMHCE passing standard. Use the pattern of errors to select remediation.</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WB9 Practice Bank Candidate Form v1.0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WB9 - 17-Question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9: 17-Question Practice Bank - Candidate Form</dc:title>
  <dc:subject>LPCC NCMHCE Exam Preparation</dc:subject>
  <dc:creator>Clinical Training Academy</dc:creator>
  <cp:keywords>LPCC, NCMHCE, evidence-based interventions, practice bank, candidate form</cp:keywords>
  <dc:description>Candidate Form v1.0 - July 2026</dc:description>
  <cp:lastModifiedBy/>
  <cp:revision>1</cp:revision>
  <dcterms:created xsi:type="dcterms:W3CDTF">2013-12-23T23:15:00Z</dcterms:created>
  <dcterms:modified xsi:type="dcterms:W3CDTF">2013-12-23T23:15:00Z</dcterms:modified>
  <cp:category/>
</cp:coreProperties>
</file>