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2240280" cy="1619378"/>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240280" cy="1619378"/>
                    </a:xfrm>
                    <a:prstGeom prst="rect"/>
                  </pic:spPr>
                </pic:pic>
              </a:graphicData>
            </a:graphic>
          </wp:inline>
        </w:drawing>
      </w:r>
    </w:p>
    <w:p>
      <w:pPr>
        <w:spacing w:before="40" w:after="120" w:line="254" w:lineRule="auto"/>
        <w:jc w:val="center"/>
      </w:pPr>
      <w:r>
        <w:rPr>
          <w:rFonts w:ascii="Arial" w:hAnsi="Arial" w:eastAsia="Arial"/>
          <w:b/>
          <w:i w:val="0"/>
          <w:color w:val="1F7A8C"/>
          <w:sz w:val="25"/>
        </w:rPr>
        <w:t>LPCC NCMHCE EXAM PREPARATION PROGRAM</w:t>
      </w:r>
    </w:p>
    <w:p>
      <w:pPr>
        <w:spacing w:before="0" w:after="200" w:line="254" w:lineRule="auto"/>
        <w:jc w:val="center"/>
      </w:pPr>
      <w:r>
        <w:rPr>
          <w:rFonts w:ascii="Arial" w:hAnsi="Arial" w:eastAsia="Arial"/>
          <w:b/>
          <w:i w:val="0"/>
          <w:color w:val="C6922F"/>
          <w:sz w:val="31"/>
        </w:rPr>
        <w:t>Student Workbook</w:t>
      </w:r>
    </w:p>
    <w:p>
      <w:pPr>
        <w:spacing w:before="0" w:after="80" w:line="240" w:lineRule="auto"/>
        <w:jc w:val="center"/>
        <w:pBdr>
          <w:bottom w:val="single" w:sz="12" w:space="1" w:color="159C9C"/>
        </w:pBdr>
      </w:pPr>
      <w:r>
        <w:rPr>
          <w:rFonts w:ascii="Arial" w:hAnsi="Arial" w:eastAsia="Arial"/>
          <w:b/>
          <w:i w:val="0"/>
          <w:color w:val="17365D"/>
          <w:sz w:val="44"/>
        </w:rPr>
        <w:t>CTA LPCC Workbook 1: NCMHCE Case-Study Strategy and Applied Clinical Counselor Reasoning</w:t>
      </w:r>
    </w:p>
    <w:p>
      <w:pPr>
        <w:spacing w:before="120" w:after="360" w:line="254" w:lineRule="auto"/>
        <w:jc w:val="center"/>
      </w:pPr>
      <w:r>
        <w:rPr>
          <w:rFonts w:ascii="Arial" w:hAnsi="Arial" w:eastAsia="Arial"/>
          <w:b w:val="0"/>
          <w:i/>
          <w:color w:val="4E5B6B"/>
          <w:sz w:val="25"/>
        </w:rPr>
        <w:t>How to read three-part cases, control the evidence, and choose the best counselor action</w:t>
      </w:r>
    </w:p>
    <w:p>
      <w:pPr>
        <w:spacing w:before="0" w:after="28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blHeader w:val="true"/>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STUDENT-FACING EXAM PREPARATION MATERIAL</w:t>
            </w:r>
          </w:p>
          <w:p>
            <w:pPr>
              <w:spacing w:after="20" w:line="250" w:lineRule="auto"/>
            </w:pPr>
            <w:r>
              <w:rPr>
                <w:rFonts w:ascii="Arial" w:hAnsi="Arial" w:eastAsia="Arial"/>
                <w:color w:val="1F2937"/>
                <w:sz w:val="20"/>
              </w:rPr>
              <w:t>All practice questions and teaching cases are original CTA materials. They are not actual, recalled, or reconstructed licensing-examination questions.</w:t>
            </w:r>
          </w:p>
        </w:tc>
      </w:tr>
    </w:tbl>
    <w:p>
      <w:pPr>
        <w:spacing w:after="0"/>
      </w:pPr>
    </w:p>
    <w:p>
      <w:pPr>
        <w:spacing w:before="80" w:after="0" w:line="254" w:lineRule="auto"/>
        <w:jc w:val="center"/>
      </w:pPr>
      <w:r>
        <w:rPr>
          <w:rFonts w:ascii="Arial" w:hAnsi="Arial" w:eastAsia="Arial"/>
          <w:b/>
          <w:i w:val="0"/>
          <w:color w:val="17365D"/>
          <w:sz w:val="23"/>
        </w:rPr>
        <w:t>Clinical Training Academy</w:t>
      </w:r>
    </w:p>
    <w:p>
      <w:r>
        <w:br w:type="page"/>
      </w:r>
    </w:p>
    <w:p>
      <w:pPr>
        <w:pStyle w:val="Heading1"/>
      </w:pPr>
      <w:r>
        <w:rPr>
          <w:rFonts w:ascii="Arial" w:hAnsi="Arial" w:eastAsia="Arial"/>
          <w:b/>
          <w:color w:val="17365D"/>
          <w:sz w:val="34"/>
        </w:rPr>
        <w:t>How to Use This Workbook</w:t>
      </w:r>
    </w:p>
    <w:p>
      <w:pPr>
        <w:spacing w:before="0" w:after="120" w:line="254" w:lineRule="auto"/>
      </w:pPr>
      <w:r>
        <w:rPr>
          <w:rFonts w:ascii="Arial" w:hAnsi="Arial" w:eastAsia="Arial"/>
          <w:b w:val="0"/>
          <w:i w:val="0"/>
          <w:color w:val="1F2937"/>
          <w:sz w:val="20"/>
        </w:rPr>
        <w:t>This workbook teaches the reasoning process used throughout the CTA LPCC California Clinical Exam Preparation Program. Work through the five chapters in order. Complete the guided case and printable worksheets before attempting the end-of-workbook knowledge check. Then study every rationale, including the explanations for options you did not choose. The separate 17-question Workbook 1 bank will follow this workbook and should be completed only after the content and worksheets are finished.</w:t>
      </w:r>
    </w:p>
    <w:tbl>
      <w:tblPr>
        <w:tblW w:type="auto" w:w="0"/>
        <w:jc w:val="center"/>
        <w:tblLook w:firstColumn="1" w:firstRow="1" w:lastColumn="0" w:lastRow="0" w:noHBand="0" w:noVBand="1" w:val="04A0"/>
      </w:tblPr>
      <w:tblGrid>
        <w:gridCol w:w="10310"/>
      </w:tblGrid>
      <w:tr>
        <w:trPr>
          <w:cantSplit/>
          <w:tblHeader w:val="true"/>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EDUCATIONAL, NON-AFFILIATION, AND SCOPE NOTICE</w:t>
            </w:r>
          </w:p>
          <w:p>
            <w:pPr>
              <w:spacing w:after="20" w:line="250" w:lineRule="auto"/>
            </w:pPr>
            <w:r>
              <w:rPr>
                <w:rFonts w:ascii="Arial" w:hAnsi="Arial" w:eastAsia="Arial"/>
                <w:color w:val="1F2937"/>
                <w:sz w:val="19"/>
              </w:rPr>
              <w:t>This workbook is an independent educational resource developed by Clinical Training and Supervision Academy. CTA is not affiliated with, endorsed by, or sponsored by the California Board of Behavioral Sciences, the National Board for Certified Counselors, Pearson VUE, or any other licensing or testing organization. Completion does not guarantee examination passage. This material is not legal advice, clinical supervision, diagnosis, treatment, or a substitute for consultation with qualified legal, clinical, regulatory, or professional experts. Examination specifications and rules may change; candidates are responsible for consulting current official sources.</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NO CONTINUING-EDUCATION CREDIT</w:t>
            </w:r>
          </w:p>
          <w:p>
            <w:pPr>
              <w:spacing w:after="20" w:line="250" w:lineRule="auto"/>
            </w:pPr>
            <w:r>
              <w:rPr>
                <w:rFonts w:ascii="Arial" w:hAnsi="Arial" w:eastAsia="Arial"/>
                <w:color w:val="1F2937"/>
                <w:sz w:val="19"/>
              </w:rPr>
              <w:t>This is an examination-preparation workbook. It does not award continuing-education credit, a CE certificate, or clinical training hours.</w:t>
            </w:r>
          </w:p>
        </w:tc>
      </w:tr>
    </w:tbl>
    <w:p>
      <w:pPr>
        <w:spacing w:after="0"/>
      </w:pPr>
    </w:p>
    <w:p>
      <w:pPr>
        <w:pStyle w:val="Heading2"/>
        <w:spacing w:before="140" w:after="80"/>
        <w:keepNext/>
      </w:pPr>
      <w:r>
        <w:rPr>
          <w:rFonts w:ascii="Arial" w:hAnsi="Arial" w:eastAsia="Arial"/>
          <w:b/>
          <w:color w:val="159C9C"/>
          <w:sz w:val="26"/>
        </w:rPr>
        <w:t>Learning Objectives</w:t>
      </w:r>
    </w:p>
    <w:p>
      <w:pPr>
        <w:pStyle w:val="ListBullet"/>
        <w:spacing w:after="50" w:line="250" w:lineRule="auto"/>
        <w:keepLines/>
      </w:pPr>
      <w:r>
        <w:rPr>
          <w:rFonts w:ascii="Arial" w:hAnsi="Arial" w:eastAsia="Arial"/>
          <w:color w:val="1F2937"/>
          <w:sz w:val="20"/>
        </w:rPr>
        <w:t>Identify the current NCMHCE structure and the published changes effective July 1, 2027.</w:t>
      </w:r>
    </w:p>
    <w:p>
      <w:pPr>
        <w:pStyle w:val="ListBullet"/>
        <w:spacing w:after="50" w:line="250" w:lineRule="auto"/>
        <w:keepLines/>
      </w:pPr>
      <w:r>
        <w:rPr>
          <w:rFonts w:ascii="Arial" w:hAnsi="Arial" w:eastAsia="Arial"/>
          <w:color w:val="1F2937"/>
          <w:sz w:val="20"/>
        </w:rPr>
        <w:t>Apply an evidence-control method to the intake and two-session structure of an NCMHCE case study.</w:t>
      </w:r>
    </w:p>
    <w:p>
      <w:pPr>
        <w:pStyle w:val="ListBullet"/>
        <w:spacing w:after="50" w:line="250" w:lineRule="auto"/>
        <w:keepLines/>
      </w:pPr>
      <w:r>
        <w:rPr>
          <w:rFonts w:ascii="Arial" w:hAnsi="Arial" w:eastAsia="Arial"/>
          <w:color w:val="1F2937"/>
          <w:sz w:val="20"/>
        </w:rPr>
        <w:t>Distinguish task words such as FIRST, NEXT, BEST, PRIMARY, and MOST LIKELY and match each task to the correct clinical stage.</w:t>
      </w:r>
    </w:p>
    <w:p>
      <w:pPr>
        <w:pStyle w:val="ListBullet"/>
        <w:spacing w:after="50" w:line="250" w:lineRule="auto"/>
        <w:keepLines/>
      </w:pPr>
      <w:r>
        <w:rPr>
          <w:rFonts w:ascii="Arial" w:hAnsi="Arial" w:eastAsia="Arial"/>
          <w:color w:val="1F2937"/>
          <w:sz w:val="20"/>
        </w:rPr>
        <w:t>Eliminate plausible distractors by evaluating timing, support, scope, theory fit, culture, and proportionality.</w:t>
      </w:r>
    </w:p>
    <w:p>
      <w:pPr>
        <w:pStyle w:val="ListBullet"/>
        <w:spacing w:after="50" w:line="250" w:lineRule="auto"/>
        <w:keepLines/>
      </w:pPr>
      <w:r>
        <w:rPr>
          <w:rFonts w:ascii="Arial" w:hAnsi="Arial" w:eastAsia="Arial"/>
          <w:color w:val="1F2937"/>
          <w:sz w:val="20"/>
        </w:rPr>
        <w:t>Use rationale review, error coding, and readiness evidence to plan targeted remediation.</w:t>
      </w:r>
    </w:p>
    <w:p>
      <w:pPr>
        <w:pStyle w:val="Heading2"/>
        <w:spacing w:before="140" w:after="80"/>
        <w:keepNext/>
      </w:pPr>
      <w:r>
        <w:rPr>
          <w:rFonts w:ascii="Arial" w:hAnsi="Arial" w:eastAsia="Arial"/>
          <w:b/>
          <w:color w:val="159C9C"/>
          <w:sz w:val="26"/>
        </w:rPr>
        <w:t>Why This Topic Matters</w:t>
      </w:r>
    </w:p>
    <w:p>
      <w:pPr>
        <w:spacing w:before="0" w:after="100" w:line="254" w:lineRule="auto"/>
      </w:pPr>
      <w:r>
        <w:rPr>
          <w:rFonts w:ascii="Arial" w:hAnsi="Arial" w:eastAsia="Arial"/>
          <w:b w:val="0"/>
          <w:i w:val="0"/>
          <w:color w:val="1F2937"/>
          <w:sz w:val="20"/>
        </w:rPr>
        <w:t>The NCMHCE does not primarily reward memorization. It asks whether an entry-level clinical mental health counselor can use available information, recognize what has and has not occurred, and choose a response that fits the client, the case section, the counselor role, and the stage of care. Many incorrect options describe actions that could be appropriate later. The challenge is to select the action that is best supported now.</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BIG IDEA</w:t>
            </w:r>
          </w:p>
          <w:p>
            <w:pPr>
              <w:spacing w:after="20" w:line="250" w:lineRule="auto"/>
            </w:pPr>
            <w:r>
              <w:rPr>
                <w:rFonts w:ascii="Arial" w:hAnsi="Arial" w:eastAsia="Arial"/>
                <w:color w:val="1F2937"/>
                <w:sz w:val="20"/>
              </w:rPr>
              <w:t>Read the case in time. Use only the evidence currently available, answer the exact task, and choose the least assumptive action that safely advances counseling.</w:t>
            </w:r>
          </w:p>
        </w:tc>
      </w:tr>
    </w:tbl>
    <w:p>
      <w:pPr>
        <w:spacing w:after="0"/>
      </w:pPr>
    </w:p>
    <w:p>
      <w:r>
        <w:br w:type="page"/>
      </w:r>
    </w:p>
    <w:p>
      <w:pPr>
        <w:pStyle w:val="Heading2"/>
        <w:spacing w:before="140" w:after="80"/>
        <w:keepNext/>
      </w:pPr>
      <w:r>
        <w:rPr>
          <w:rFonts w:ascii="Arial" w:hAnsi="Arial" w:eastAsia="Arial"/>
          <w:b/>
          <w:color w:val="159C9C"/>
          <w:sz w:val="26"/>
        </w:rPr>
        <w:t>Workbook Roadmap</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93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Chapter</w:t>
            </w:r>
          </w:p>
        </w:tc>
        <w:tc>
          <w:tcPr>
            <w:tcW w:type="dxa" w:w="554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Focus</w:t>
            </w:r>
          </w:p>
        </w:tc>
        <w:tc>
          <w:tcPr>
            <w:tcW w:type="dxa" w:w="40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Primary Tool</w:t>
            </w:r>
          </w:p>
        </w:tc>
      </w:tr>
      <w:tr>
        <w:trPr>
          <w:cantSplit/>
        </w:trPr>
        <w:tc>
          <w:tcPr>
            <w:tcW w:type="dxa" w:w="9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w:t>
            </w:r>
          </w:p>
        </w:tc>
        <w:tc>
          <w:tcPr>
            <w:tcW w:type="dxa" w:w="55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Current and 2027 exam structure</w:t>
            </w:r>
          </w:p>
        </w:tc>
        <w:tc>
          <w:tcPr>
            <w:tcW w:type="dxa" w:w="40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Know Your Exam Version checklist</w:t>
            </w:r>
          </w:p>
        </w:tc>
      </w:tr>
      <w:tr>
        <w:trPr>
          <w:cantSplit/>
        </w:trPr>
        <w:tc>
          <w:tcPr>
            <w:tcW w:type="dxa" w:w="9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w:t>
            </w:r>
          </w:p>
        </w:tc>
        <w:tc>
          <w:tcPr>
            <w:tcW w:type="dxa" w:w="554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Three-part case reading and evidence control</w:t>
            </w:r>
          </w:p>
        </w:tc>
        <w:tc>
          <w:tcPr>
            <w:tcW w:type="dxa" w:w="40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Case Evidence Ledger</w:t>
            </w:r>
          </w:p>
        </w:tc>
      </w:tr>
      <w:tr>
        <w:trPr>
          <w:cantSplit/>
        </w:trPr>
        <w:tc>
          <w:tcPr>
            <w:tcW w:type="dxa" w:w="9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3</w:t>
            </w:r>
          </w:p>
        </w:tc>
        <w:tc>
          <w:tcPr>
            <w:tcW w:type="dxa" w:w="55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Task words, priority, and sequence</w:t>
            </w:r>
          </w:p>
        </w:tc>
        <w:tc>
          <w:tcPr>
            <w:tcW w:type="dxa" w:w="40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SAFER Counselor Sequence</w:t>
            </w:r>
          </w:p>
        </w:tc>
      </w:tr>
      <w:tr>
        <w:trPr>
          <w:cantSplit/>
        </w:trPr>
        <w:tc>
          <w:tcPr>
            <w:tcW w:type="dxa" w:w="9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4</w:t>
            </w:r>
          </w:p>
        </w:tc>
        <w:tc>
          <w:tcPr>
            <w:tcW w:type="dxa" w:w="554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Distractor elimination, pacing, and answer review</w:t>
            </w:r>
          </w:p>
        </w:tc>
        <w:tc>
          <w:tcPr>
            <w:tcW w:type="dxa" w:w="40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Two-Answer Showdown Grid</w:t>
            </w:r>
          </w:p>
        </w:tc>
      </w:tr>
      <w:tr>
        <w:trPr>
          <w:cantSplit/>
        </w:trPr>
        <w:tc>
          <w:tcPr>
            <w:tcW w:type="dxa" w:w="9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5</w:t>
            </w:r>
          </w:p>
        </w:tc>
        <w:tc>
          <w:tcPr>
            <w:tcW w:type="dxa" w:w="55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Rationale review, error coding, and readiness</w:t>
            </w:r>
          </w:p>
        </w:tc>
        <w:tc>
          <w:tcPr>
            <w:tcW w:type="dxa" w:w="40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Error Log and Remediation Plan</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STUDY CYCLE</w:t>
            </w:r>
          </w:p>
          <w:p>
            <w:pPr>
              <w:spacing w:after="20" w:line="250" w:lineRule="auto"/>
            </w:pPr>
            <w:r>
              <w:rPr>
                <w:rFonts w:ascii="Arial" w:hAnsi="Arial" w:eastAsia="Arial"/>
                <w:color w:val="1F2937"/>
                <w:sz w:val="20"/>
              </w:rPr>
              <w:t>Learn -&gt; Practice -&gt; Review -&gt; Remediate -&gt; Simulate. A bank score is useful only when it leads to a specific correction and stronger reasoning on unfamiliar cases.</w:t>
            </w:r>
          </w:p>
        </w:tc>
      </w:tr>
    </w:tbl>
    <w:p>
      <w:pPr>
        <w:spacing w:after="0"/>
      </w:pPr>
    </w:p>
    <w:p>
      <w:r>
        <w:br w:type="page"/>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1</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Current and 2027 Exam Structure</w:t>
            </w:r>
          </w:p>
        </w:tc>
      </w:tr>
    </w:tbl>
    <w:p>
      <w:pPr>
        <w:spacing w:before="100" w:after="180"/>
      </w:pPr>
      <w:r>
        <w:rPr>
          <w:rFonts w:ascii="Arial" w:hAnsi="Arial" w:eastAsia="Arial"/>
          <w:i/>
          <w:color w:val="4E5B6B"/>
          <w:sz w:val="21"/>
        </w:rPr>
        <w:t>Know which examination version applies to your test date before you study pacing, navigation, or scoring.</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CHAPTER BIG IDEA</w:t>
            </w:r>
          </w:p>
          <w:p>
            <w:pPr>
              <w:spacing w:after="20" w:line="250" w:lineRule="auto"/>
            </w:pPr>
            <w:r>
              <w:rPr>
                <w:rFonts w:ascii="Arial" w:hAnsi="Arial" w:eastAsia="Arial"/>
                <w:color w:val="1F2937"/>
                <w:sz w:val="20"/>
              </w:rPr>
              <w:t>California determines LPCC eligibility; NBCC administers the national NCMHCE. Your test date determines which published NCMHCE structure applies.</w:t>
            </w:r>
          </w:p>
        </w:tc>
      </w:tr>
    </w:tbl>
    <w:p>
      <w:pPr>
        <w:spacing w:after="0"/>
      </w:pPr>
    </w:p>
    <w:p>
      <w:pPr>
        <w:pStyle w:val="Heading2"/>
        <w:spacing w:before="140" w:after="80"/>
        <w:keepNext/>
      </w:pPr>
      <w:r>
        <w:rPr>
          <w:rFonts w:ascii="Arial" w:hAnsi="Arial" w:eastAsia="Arial"/>
          <w:b/>
          <w:color w:val="159C9C"/>
          <w:sz w:val="26"/>
        </w:rPr>
        <w:t>California LPCC Examination Pathway</w:t>
      </w:r>
    </w:p>
    <w:p>
      <w:pPr>
        <w:spacing w:before="0" w:after="100" w:line="254" w:lineRule="auto"/>
      </w:pPr>
      <w:r>
        <w:rPr>
          <w:rFonts w:ascii="Arial" w:hAnsi="Arial" w:eastAsia="Arial"/>
          <w:b w:val="0"/>
          <w:i w:val="0"/>
          <w:color w:val="1F2937"/>
          <w:sz w:val="20"/>
        </w:rPr>
        <w:t>The California Board of Behavioral Sciences identifies the NCMHCE as one of the two examinations required for LPCC licensure. Before registering for the NCMHCE, a candidate must have an approved Application for Licensure and must have passed the LPCC California Law and Ethics Examination. The NCMHCE itself is a national counseling examination administered by NBCC. This distinction matters: California controls the licensure pathway, while the NCMHCE content and format are controlled by NBCC.</w:t>
      </w: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REMEMBER: NATIONAL TEST, CALIFORNIA PATHWAY</w:t>
            </w:r>
          </w:p>
          <w:p>
            <w:pPr>
              <w:spacing w:after="20" w:line="250" w:lineRule="auto"/>
            </w:pPr>
            <w:r>
              <w:rPr>
                <w:rFonts w:ascii="Arial" w:hAnsi="Arial" w:eastAsia="Arial"/>
                <w:color w:val="1F2937"/>
                <w:sz w:val="20"/>
              </w:rPr>
              <w:t>Do not treat every NCMHCE item as a California-law question. Use the facts and rules supplied by the item, general professional counseling standards, and the current NBCC blueprint. California-specific legal content is taught separately in this program.</w:t>
            </w:r>
          </w:p>
        </w:tc>
      </w:tr>
    </w:tbl>
    <w:p>
      <w:pPr>
        <w:spacing w:after="0"/>
      </w:pPr>
    </w:p>
    <w:p>
      <w:pPr>
        <w:pStyle w:val="Heading2"/>
        <w:spacing w:before="140" w:after="80"/>
        <w:keepNext/>
      </w:pPr>
      <w:r>
        <w:rPr>
          <w:rFonts w:ascii="Arial" w:hAnsi="Arial" w:eastAsia="Arial"/>
          <w:b/>
          <w:color w:val="159C9C"/>
          <w:sz w:val="26"/>
        </w:rPr>
        <w:t>Current NCMHCE Snapshot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37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Element</w:t>
            </w:r>
          </w:p>
        </w:tc>
        <w:tc>
          <w:tcPr>
            <w:tcW w:type="dxa" w:w="813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Current Structure</w:t>
            </w:r>
          </w:p>
        </w:tc>
      </w:tr>
      <w:tr>
        <w:trPr>
          <w:cantSplit/>
        </w:trPr>
        <w:tc>
          <w:tcPr>
            <w:tcW w:type="dxa" w:w="23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Case studies</w:t>
            </w:r>
          </w:p>
        </w:tc>
        <w:tc>
          <w:tcPr>
            <w:tcW w:type="dxa" w:w="81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11 total; one case study and additional items may be unscored for field testing.</w:t>
            </w:r>
          </w:p>
        </w:tc>
      </w:tr>
      <w:tr>
        <w:trPr>
          <w:cantSplit/>
        </w:trPr>
        <w:tc>
          <w:tcPr>
            <w:tcW w:type="dxa" w:w="23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Questions</w:t>
            </w:r>
          </w:p>
        </w:tc>
        <w:tc>
          <w:tcPr>
            <w:tcW w:type="dxa" w:w="81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130-150 presented; 100 scored.</w:t>
            </w:r>
          </w:p>
        </w:tc>
      </w:tr>
      <w:tr>
        <w:trPr>
          <w:cantSplit/>
        </w:trPr>
        <w:tc>
          <w:tcPr>
            <w:tcW w:type="dxa" w:w="23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Question format</w:t>
            </w:r>
          </w:p>
        </w:tc>
        <w:tc>
          <w:tcPr>
            <w:tcW w:type="dxa" w:w="81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Four options with one best answer.</w:t>
            </w:r>
          </w:p>
        </w:tc>
      </w:tr>
      <w:tr>
        <w:trPr>
          <w:cantSplit/>
        </w:trPr>
        <w:tc>
          <w:tcPr>
            <w:tcW w:type="dxa" w:w="23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Case progression</w:t>
            </w:r>
          </w:p>
        </w:tc>
        <w:tc>
          <w:tcPr>
            <w:tcW w:type="dxa" w:w="81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Initial intake summary followed by two subsequent counseling sessions.</w:t>
            </w:r>
          </w:p>
        </w:tc>
      </w:tr>
      <w:tr>
        <w:trPr>
          <w:cantSplit/>
        </w:trPr>
        <w:tc>
          <w:tcPr>
            <w:tcW w:type="dxa" w:w="23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Questions per case</w:t>
            </w:r>
          </w:p>
        </w:tc>
        <w:tc>
          <w:tcPr>
            <w:tcW w:type="dxa" w:w="81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9-15.</w:t>
            </w:r>
          </w:p>
        </w:tc>
      </w:tr>
      <w:tr>
        <w:trPr>
          <w:cantSplit/>
        </w:trPr>
        <w:tc>
          <w:tcPr>
            <w:tcW w:type="dxa" w:w="23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Item time</w:t>
            </w:r>
          </w:p>
        </w:tc>
        <w:tc>
          <w:tcPr>
            <w:tcW w:type="dxa" w:w="81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225 minutes.</w:t>
            </w:r>
          </w:p>
        </w:tc>
      </w:tr>
      <w:tr>
        <w:trPr>
          <w:cantSplit/>
        </w:trPr>
        <w:tc>
          <w:tcPr>
            <w:tcW w:type="dxa" w:w="23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Scheduled break</w:t>
            </w:r>
          </w:p>
        </w:tc>
        <w:tc>
          <w:tcPr>
            <w:tcW w:type="dxa" w:w="81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15 minutes after the fifth case study.</w:t>
            </w:r>
          </w:p>
        </w:tc>
      </w:tr>
      <w:tr>
        <w:trPr>
          <w:cantSplit/>
        </w:trPr>
        <w:tc>
          <w:tcPr>
            <w:tcW w:type="dxa" w:w="23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Total scheduled session</w:t>
            </w:r>
          </w:p>
        </w:tc>
        <w:tc>
          <w:tcPr>
            <w:tcW w:type="dxa" w:w="81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255 minutes, including agreement, tutorial, item time, and scheduled break.</w:t>
            </w:r>
          </w:p>
        </w:tc>
      </w:tr>
      <w:tr>
        <w:trPr>
          <w:cantSplit/>
        </w:trPr>
        <w:tc>
          <w:tcPr>
            <w:tcW w:type="dxa" w:w="23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Review rule</w:t>
            </w:r>
          </w:p>
        </w:tc>
        <w:tc>
          <w:tcPr>
            <w:tcW w:type="dxa" w:w="81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Review within the current case section before advancing; once the next section begins, prior responses cannot be changed.</w:t>
            </w:r>
          </w:p>
        </w:tc>
      </w:tr>
      <w:tr>
        <w:trPr>
          <w:cantSplit/>
        </w:trPr>
        <w:tc>
          <w:tcPr>
            <w:tcW w:type="dxa" w:w="23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Guessing</w:t>
            </w:r>
          </w:p>
        </w:tc>
        <w:tc>
          <w:tcPr>
            <w:tcW w:type="dxa" w:w="81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No penalty for guessing; provide an answer to every question.</w:t>
            </w:r>
          </w:p>
        </w:tc>
      </w:tr>
      <w:tr>
        <w:trPr>
          <w:cantSplit/>
        </w:trPr>
        <w:tc>
          <w:tcPr>
            <w:tcW w:type="dxa" w:w="23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Scoring</w:t>
            </w:r>
          </w:p>
        </w:tc>
        <w:tc>
          <w:tcPr>
            <w:tcW w:type="dxa" w:w="81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current score is based on 100 scored items. The passing raw count may vary slightly across forms because of statistical equating.</w:t>
            </w:r>
          </w:p>
        </w:tc>
      </w:tr>
    </w:tbl>
    <w:p>
      <w:pPr>
        <w:spacing w:after="0"/>
      </w:pPr>
    </w:p>
    <w:p>
      <w:pPr>
        <w:spacing w:before="0" w:after="100" w:line="254" w:lineRule="auto"/>
      </w:pPr>
      <w:r>
        <w:rPr>
          <w:rFonts w:ascii="Arial" w:hAnsi="Arial" w:eastAsia="Arial"/>
          <w:b w:val="0"/>
          <w:i/>
          <w:color w:val="4E5B6B"/>
          <w:sz w:val="17"/>
        </w:rPr>
        <w:t>Current-format facts were verified against the NBCC state-licensure handbook and the NCMHCE content outline on July 26, 2026.</w:t>
      </w:r>
    </w:p>
    <w:p>
      <w:pPr>
        <w:pStyle w:val="Heading2"/>
        <w:spacing w:before="140" w:after="80"/>
        <w:keepNext/>
      </w:pPr>
      <w:r>
        <w:rPr>
          <w:rFonts w:ascii="Arial" w:hAnsi="Arial" w:eastAsia="Arial"/>
          <w:b/>
          <w:color w:val="159C9C"/>
          <w:sz w:val="26"/>
        </w:rPr>
        <w:t>Current Content Domains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597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Domain</w:t>
            </w:r>
          </w:p>
        </w:tc>
        <w:tc>
          <w:tcPr>
            <w:tcW w:type="dxa" w:w="453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Weight / Treatment</w:t>
            </w:r>
          </w:p>
        </w:tc>
      </w:tr>
      <w:tr>
        <w:trPr>
          <w:cantSplit/>
        </w:trPr>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Professional Practice and Ethics</w:t>
            </w:r>
          </w:p>
        </w:tc>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15%</w:t>
            </w:r>
          </w:p>
        </w:tc>
      </w:tr>
      <w:tr>
        <w:trPr>
          <w:cantSplit/>
        </w:trPr>
        <w:tc>
          <w:tcPr>
            <w:tcW w:type="dxa" w:w="59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Intake, Assessment, and Diagnosis</w:t>
            </w:r>
          </w:p>
        </w:tc>
        <w:tc>
          <w:tcPr>
            <w:tcW w:type="dxa" w:w="45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25%</w:t>
            </w:r>
          </w:p>
        </w:tc>
      </w:tr>
      <w:tr>
        <w:trPr>
          <w:cantSplit/>
        </w:trPr>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Areas of Clinical Focus</w:t>
            </w:r>
          </w:p>
        </w:tc>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Embedded across cases; not separately weighted at the item level.</w:t>
            </w:r>
          </w:p>
        </w:tc>
      </w:tr>
      <w:tr>
        <w:trPr>
          <w:cantSplit/>
        </w:trPr>
        <w:tc>
          <w:tcPr>
            <w:tcW w:type="dxa" w:w="59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Treatment Planning</w:t>
            </w:r>
          </w:p>
        </w:tc>
        <w:tc>
          <w:tcPr>
            <w:tcW w:type="dxa" w:w="45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15%</w:t>
            </w:r>
          </w:p>
        </w:tc>
      </w:tr>
      <w:tr>
        <w:trPr>
          <w:cantSplit/>
        </w:trPr>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Counseling Skills and Interventions</w:t>
            </w:r>
          </w:p>
        </w:tc>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30%</w:t>
            </w:r>
          </w:p>
        </w:tc>
      </w:tr>
      <w:tr>
        <w:trPr>
          <w:cantSplit/>
        </w:trPr>
        <w:tc>
          <w:tcPr>
            <w:tcW w:type="dxa" w:w="59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Core Counseling Attributes</w:t>
            </w:r>
          </w:p>
        </w:tc>
        <w:tc>
          <w:tcPr>
            <w:tcW w:type="dxa" w:w="45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15%</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EXAM TIP: FOLLOW THE WEIGHT, NOT JUST THE TABLE</w:t>
            </w:r>
          </w:p>
          <w:p>
            <w:pPr>
              <w:spacing w:after="20" w:line="250" w:lineRule="auto"/>
            </w:pPr>
            <w:r>
              <w:rPr>
                <w:rFonts w:ascii="Arial" w:hAnsi="Arial" w:eastAsia="Arial"/>
                <w:color w:val="1F2937"/>
                <w:sz w:val="20"/>
              </w:rPr>
              <w:t>Assessment/diagnosis and counseling skills/interventions account for 55% of scored items. Ethics, planning, and counselor attributes remain important because they appear throughout cases and often determine why one plausible option is better than another.</w:t>
            </w:r>
          </w:p>
        </w:tc>
      </w:tr>
    </w:tbl>
    <w:p>
      <w:pPr>
        <w:spacing w:after="0"/>
      </w:pPr>
    </w:p>
    <w:p>
      <w:pPr>
        <w:pStyle w:val="Heading2"/>
        <w:spacing w:before="140" w:after="80"/>
        <w:keepNext/>
      </w:pPr>
      <w:r>
        <w:rPr>
          <w:rFonts w:ascii="Arial" w:hAnsi="Arial" w:eastAsia="Arial"/>
          <w:b/>
          <w:color w:val="159C9C"/>
          <w:sz w:val="26"/>
        </w:rPr>
        <w:t>Published NCMHCE Changes Effective July 1, 2027</w:t>
      </w:r>
    </w:p>
    <w:p>
      <w:pPr>
        <w:spacing w:before="0" w:after="100" w:line="254" w:lineRule="auto"/>
      </w:pPr>
      <w:r>
        <w:rPr>
          <w:rFonts w:ascii="Arial" w:hAnsi="Arial" w:eastAsia="Arial"/>
          <w:b w:val="0"/>
          <w:i w:val="0"/>
          <w:color w:val="1F2937"/>
          <w:sz w:val="20"/>
        </w:rPr>
        <w:t>NBCC has published new examination specifications effective July 1, 2027. CTA Version 1.x is designed for the current examination while providing a clear transition alert. Candidates testing on or after the effective date should use the CTA 2027 conversion materials and the current official NBCC handbook available at that time.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Element</w:t>
            </w:r>
          </w:p>
        </w:tc>
        <w:tc>
          <w:tcPr>
            <w:tcW w:type="dxa" w:w="41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Current Exam</w:t>
            </w:r>
          </w:p>
        </w:tc>
        <w:tc>
          <w:tcPr>
            <w:tcW w:type="dxa" w:w="453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Effective July 1, 2027</w:t>
            </w:r>
          </w:p>
        </w:tc>
      </w:tr>
      <w:tr>
        <w:trPr>
          <w:cantSplit/>
        </w:trPr>
        <w:tc>
          <w:tcPr>
            <w:tcW w:type="dxa" w:w="18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Case studies</w:t>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11</w:t>
            </w:r>
          </w:p>
        </w:tc>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10</w:t>
            </w:r>
          </w:p>
        </w:tc>
      </w:tr>
      <w:tr>
        <w:trPr>
          <w:cantSplit/>
        </w:trPr>
        <w:tc>
          <w:tcPr>
            <w:tcW w:type="dxa" w:w="18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Questions</w:t>
            </w:r>
          </w:p>
        </w:tc>
        <w:tc>
          <w:tcPr>
            <w:tcW w:type="dxa" w:w="41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130-150; 100 scored</w:t>
            </w:r>
          </w:p>
        </w:tc>
        <w:tc>
          <w:tcPr>
            <w:tcW w:type="dxa" w:w="45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130-150; 30-50 field-test items</w:t>
            </w:r>
          </w:p>
        </w:tc>
      </w:tr>
      <w:tr>
        <w:trPr>
          <w:cantSplit/>
        </w:trPr>
        <w:tc>
          <w:tcPr>
            <w:tcW w:type="dxa" w:w="18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Item time</w:t>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225 minutes</w:t>
            </w:r>
          </w:p>
        </w:tc>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225 minutes</w:t>
            </w:r>
          </w:p>
        </w:tc>
      </w:tr>
      <w:tr>
        <w:trPr>
          <w:cantSplit/>
        </w:trPr>
        <w:tc>
          <w:tcPr>
            <w:tcW w:type="dxa" w:w="18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Break</w:t>
            </w:r>
          </w:p>
        </w:tc>
        <w:tc>
          <w:tcPr>
            <w:tcW w:type="dxa" w:w="41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15 minutes after Case 5</w:t>
            </w:r>
          </w:p>
        </w:tc>
        <w:tc>
          <w:tcPr>
            <w:tcW w:type="dxa" w:w="45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Optional 15-minute break halfway</w:t>
            </w:r>
          </w:p>
        </w:tc>
      </w:tr>
      <w:tr>
        <w:trPr>
          <w:cantSplit/>
        </w:trPr>
        <w:tc>
          <w:tcPr>
            <w:tcW w:type="dxa" w:w="18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Review</w:t>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Within each current case section before advancing</w:t>
            </w:r>
          </w:p>
        </w:tc>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Questions reviewable before submitting each half; no return after submission and break</w:t>
            </w:r>
          </w:p>
        </w:tc>
      </w:tr>
      <w:tr>
        <w:trPr>
          <w:cantSplit/>
        </w:trPr>
        <w:tc>
          <w:tcPr>
            <w:tcW w:type="dxa" w:w="18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Score reporting</w:t>
            </w:r>
          </w:p>
        </w:tc>
        <w:tc>
          <w:tcPr>
            <w:tcW w:type="dxa" w:w="41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Raw score based on 100 scored items; form-specific passing point</w:t>
            </w:r>
          </w:p>
        </w:tc>
        <w:tc>
          <w:tcPr>
            <w:tcW w:type="dxa" w:w="45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Scaled score 100-500; 360 passing</w:t>
            </w:r>
          </w:p>
        </w:tc>
      </w:tr>
      <w:tr>
        <w:trPr>
          <w:cantSplit/>
        </w:trPr>
        <w:tc>
          <w:tcPr>
            <w:tcW w:type="dxa" w:w="18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Domains</w:t>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Six current domains</w:t>
            </w:r>
          </w:p>
        </w:tc>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Six revised domains, including Indirect Client Care</w:t>
            </w:r>
          </w:p>
        </w:tc>
      </w:tr>
    </w:tbl>
    <w:p>
      <w:pPr>
        <w:spacing w:after="0"/>
      </w:pP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806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2027 Domain</w:t>
            </w:r>
          </w:p>
        </w:tc>
        <w:tc>
          <w:tcPr>
            <w:tcW w:type="dxa" w:w="24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Weight</w:t>
            </w:r>
          </w:p>
        </w:tc>
      </w:tr>
      <w:tr>
        <w:trPr>
          <w:cantSplit/>
        </w:trPr>
        <w:tc>
          <w:tcPr>
            <w:tcW w:type="dxa" w:w="80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Professional Development and Counselor Self-Awareness</w:t>
            </w:r>
          </w:p>
        </w:tc>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15%</w:t>
            </w:r>
          </w:p>
        </w:tc>
      </w:tr>
      <w:tr>
        <w:trPr>
          <w:cantSplit/>
        </w:trPr>
        <w:tc>
          <w:tcPr>
            <w:tcW w:type="dxa" w:w="80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Intake and Assessment</w:t>
            </w:r>
          </w:p>
        </w:tc>
        <w:tc>
          <w:tcPr>
            <w:tcW w:type="dxa" w:w="24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18%</w:t>
            </w:r>
          </w:p>
        </w:tc>
      </w:tr>
      <w:tr>
        <w:trPr>
          <w:cantSplit/>
        </w:trPr>
        <w:tc>
          <w:tcPr>
            <w:tcW w:type="dxa" w:w="80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Treatment Planning and Continuity of Care</w:t>
            </w:r>
          </w:p>
        </w:tc>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15%</w:t>
            </w:r>
          </w:p>
        </w:tc>
      </w:tr>
      <w:tr>
        <w:trPr>
          <w:cantSplit/>
        </w:trPr>
        <w:tc>
          <w:tcPr>
            <w:tcW w:type="dxa" w:w="80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Provision of Counseling Interventions</w:t>
            </w:r>
          </w:p>
        </w:tc>
        <w:tc>
          <w:tcPr>
            <w:tcW w:type="dxa" w:w="24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20%</w:t>
            </w:r>
          </w:p>
        </w:tc>
      </w:tr>
      <w:tr>
        <w:trPr>
          <w:cantSplit/>
        </w:trPr>
        <w:tc>
          <w:tcPr>
            <w:tcW w:type="dxa" w:w="80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Indirect Client Care</w:t>
            </w:r>
          </w:p>
        </w:tc>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12%</w:t>
            </w:r>
          </w:p>
        </w:tc>
      </w:tr>
      <w:tr>
        <w:trPr>
          <w:cantSplit/>
        </w:trPr>
        <w:tc>
          <w:tcPr>
            <w:tcW w:type="dxa" w:w="80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Legal and Ethical Compliance</w:t>
            </w:r>
          </w:p>
        </w:tc>
        <w:tc>
          <w:tcPr>
            <w:tcW w:type="dxa" w:w="24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20%</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FCE8E6"/>
            <w:tcBorders>
              <w:top w:val="single" w:sz="10" w:color="B94A48"/>
              <w:left w:val="single" w:sz="10" w:color="B94A48"/>
              <w:bottom w:val="single" w:sz="10" w:color="B94A48"/>
              <w:right w:val="single" w:sz="10" w:color="B94A48"/>
            </w:tcBorders>
            <w:tcMar>
              <w:top w:w="110" w:type="dxa"/>
              <w:start w:w="140" w:type="dxa"/>
              <w:bottom w:w="110" w:type="dxa"/>
              <w:end w:w="140" w:type="dxa"/>
            </w:tcMar>
          </w:tcPr>
          <w:p>
            <w:pPr>
              <w:spacing w:after="60"/>
            </w:pPr>
            <w:r>
              <w:rPr>
                <w:rFonts w:ascii="Arial" w:hAnsi="Arial" w:eastAsia="Arial"/>
                <w:b/>
                <w:color w:val="8B1E1E"/>
                <w:sz w:val="21"/>
              </w:rPr>
              <w:t>COMMON TRAP: MIXING SCORE SYSTEMS</w:t>
            </w:r>
          </w:p>
          <w:p>
            <w:pPr>
              <w:spacing w:after="20" w:line="250" w:lineRule="auto"/>
            </w:pPr>
            <w:r>
              <w:rPr>
                <w:rFonts w:ascii="Arial" w:hAnsi="Arial" w:eastAsia="Arial"/>
                <w:color w:val="1F2937"/>
                <w:sz w:val="20"/>
              </w:rPr>
              <w:t>Do not convert a CTA percentage or current raw score into the future 100-500 scale. Beginning July 1, 2027, the official passing point is 360, but that scaled score is not a simple percent-correct calculation.</w:t>
            </w:r>
          </w:p>
        </w:tc>
      </w:tr>
    </w:tbl>
    <w:p>
      <w:pPr>
        <w:spacing w:after="0"/>
      </w:pPr>
    </w:p>
    <w:p>
      <w:pPr>
        <w:pStyle w:val="Heading2"/>
        <w:spacing w:before="140" w:after="80"/>
        <w:keepNext/>
      </w:pPr>
      <w:r>
        <w:rPr>
          <w:rFonts w:ascii="Arial" w:hAnsi="Arial" w:eastAsia="Arial"/>
          <w:b/>
          <w:color w:val="159C9C"/>
          <w:sz w:val="26"/>
        </w:rPr>
        <w:t>Know Your Exam Version Checklist</w:t>
      </w:r>
    </w:p>
    <w:p>
      <w:pPr>
        <w:spacing w:after="40"/>
      </w:pPr>
      <w:r>
        <w:rPr>
          <w:rFonts w:ascii="Arial" w:hAnsi="Arial" w:eastAsia="Arial"/>
          <w:sz w:val="20"/>
        </w:rPr>
        <w:t>☐ I confirmed my scheduled test date.</w:t>
      </w:r>
    </w:p>
    <w:p>
      <w:pPr>
        <w:spacing w:after="40"/>
      </w:pPr>
      <w:r>
        <w:rPr>
          <w:rFonts w:ascii="Arial" w:hAnsi="Arial" w:eastAsia="Arial"/>
          <w:sz w:val="20"/>
        </w:rPr>
        <w:t>☐ I reviewed the current NBCC NCMHCE webpage and candidate handbook.</w:t>
      </w:r>
    </w:p>
    <w:p>
      <w:pPr>
        <w:spacing w:after="40"/>
      </w:pPr>
      <w:r>
        <w:rPr>
          <w:rFonts w:ascii="Arial" w:hAnsi="Arial" w:eastAsia="Arial"/>
          <w:sz w:val="20"/>
        </w:rPr>
        <w:t>☐ I identified whether I am testing before July 1, 2027 or on/after July 1, 2027.</w:t>
      </w:r>
    </w:p>
    <w:p>
      <w:pPr>
        <w:spacing w:after="40"/>
      </w:pPr>
      <w:r>
        <w:rPr>
          <w:rFonts w:ascii="Arial" w:hAnsi="Arial" w:eastAsia="Arial"/>
          <w:sz w:val="20"/>
        </w:rPr>
        <w:t>☐ I am using pacing and navigation rules that match my test version.</w:t>
      </w:r>
    </w:p>
    <w:p>
      <w:pPr>
        <w:spacing w:after="40"/>
      </w:pPr>
      <w:r>
        <w:rPr>
          <w:rFonts w:ascii="Arial" w:hAnsi="Arial" w:eastAsia="Arial"/>
          <w:sz w:val="20"/>
        </w:rPr>
        <w:t>☐ I am not relying on a third-party raw-score guarantee or an outdated case count.</w:t>
      </w:r>
    </w:p>
    <w:p>
      <w:pPr>
        <w:pStyle w:val="Heading2"/>
        <w:spacing w:before="140" w:after="80"/>
        <w:keepNext/>
      </w:pPr>
      <w:r>
        <w:rPr>
          <w:rFonts w:ascii="Arial" w:hAnsi="Arial" w:eastAsia="Arial"/>
          <w:b/>
          <w:color w:val="159C9C"/>
          <w:sz w:val="26"/>
        </w:rPr>
        <w:t>Chapter 1 Summary</w:t>
      </w:r>
    </w:p>
    <w:p>
      <w:pPr>
        <w:pStyle w:val="ListBullet"/>
        <w:spacing w:after="50" w:line="250" w:lineRule="auto"/>
        <w:keepLines/>
      </w:pPr>
      <w:r>
        <w:rPr>
          <w:rFonts w:ascii="Arial" w:hAnsi="Arial" w:eastAsia="Arial"/>
          <w:color w:val="1F2937"/>
          <w:sz w:val="20"/>
        </w:rPr>
        <w:t>California uses the national NCMHCE for the LPCC clinical examination.</w:t>
      </w:r>
    </w:p>
    <w:p>
      <w:pPr>
        <w:pStyle w:val="ListBullet"/>
        <w:spacing w:after="50" w:line="250" w:lineRule="auto"/>
        <w:keepLines/>
      </w:pPr>
      <w:r>
        <w:rPr>
          <w:rFonts w:ascii="Arial" w:hAnsi="Arial" w:eastAsia="Arial"/>
          <w:color w:val="1F2937"/>
          <w:sz w:val="20"/>
        </w:rPr>
        <w:t>The current exam uses 11 three-part cases, 130-150 questions, 100 scored items, and 225 minutes of item time.</w:t>
      </w:r>
    </w:p>
    <w:p>
      <w:pPr>
        <w:pStyle w:val="ListBullet"/>
        <w:spacing w:after="50" w:line="250" w:lineRule="auto"/>
        <w:keepLines/>
      </w:pPr>
      <w:r>
        <w:rPr>
          <w:rFonts w:ascii="Arial" w:hAnsi="Arial" w:eastAsia="Arial"/>
          <w:color w:val="1F2937"/>
          <w:sz w:val="20"/>
        </w:rPr>
        <w:t>Current responses lock when the candidate advances from one case section to the next.</w:t>
      </w:r>
    </w:p>
    <w:p>
      <w:pPr>
        <w:pStyle w:val="ListBullet"/>
        <w:spacing w:after="50" w:line="250" w:lineRule="auto"/>
        <w:keepLines/>
      </w:pPr>
      <w:r>
        <w:rPr>
          <w:rFonts w:ascii="Arial" w:hAnsi="Arial" w:eastAsia="Arial"/>
          <w:color w:val="1F2937"/>
          <w:sz w:val="20"/>
        </w:rPr>
        <w:t>The 2027 specifications use 10 cases, two reviewable halves, revised domains, and scaled scoring.</w:t>
      </w:r>
    </w:p>
    <w:p>
      <w:pPr>
        <w:pStyle w:val="ListBullet"/>
        <w:spacing w:after="50" w:line="250" w:lineRule="auto"/>
        <w:keepLines/>
      </w:pPr>
      <w:r>
        <w:rPr>
          <w:rFonts w:ascii="Arial" w:hAnsi="Arial" w:eastAsia="Arial"/>
          <w:color w:val="1F2937"/>
          <w:sz w:val="20"/>
        </w:rPr>
        <w:t>Official sources control; verify the handbook that applies to your test date.</w:t>
      </w:r>
    </w:p>
    <w:p>
      <w:r>
        <w:br w:type="page"/>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2</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Three-Part Case Reading and Evidence Control</w:t>
            </w:r>
          </w:p>
        </w:tc>
      </w:tr>
    </w:tbl>
    <w:p>
      <w:pPr>
        <w:spacing w:before="100" w:after="180"/>
      </w:pPr>
      <w:r>
        <w:rPr>
          <w:rFonts w:ascii="Arial" w:hAnsi="Arial" w:eastAsia="Arial"/>
          <w:i/>
          <w:color w:val="4E5B6B"/>
          <w:sz w:val="21"/>
        </w:rPr>
        <w:t>Treat the case as a timeline. New information changes later decisions but does not retroactively change what was knowable earlier.</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CHAPTER BIG IDEA</w:t>
            </w:r>
          </w:p>
          <w:p>
            <w:pPr>
              <w:spacing w:after="20" w:line="250" w:lineRule="auto"/>
            </w:pPr>
            <w:r>
              <w:rPr>
                <w:rFonts w:ascii="Arial" w:hAnsi="Arial" w:eastAsia="Arial"/>
                <w:color w:val="1F2937"/>
                <w:sz w:val="20"/>
              </w:rPr>
              <w:t>A strong NCMHCE answer is limited by the evidence available in the current section. Do not borrow facts from a later session or invent missing information.</w:t>
            </w:r>
          </w:p>
        </w:tc>
      </w:tr>
    </w:tbl>
    <w:p>
      <w:pPr>
        <w:spacing w:after="0"/>
      </w:pPr>
    </w:p>
    <w:p>
      <w:pPr>
        <w:pStyle w:val="Heading2"/>
        <w:spacing w:before="140" w:after="80"/>
        <w:keepNext/>
      </w:pPr>
      <w:r>
        <w:rPr>
          <w:rFonts w:ascii="Arial" w:hAnsi="Arial" w:eastAsia="Arial"/>
          <w:b/>
          <w:color w:val="159C9C"/>
          <w:sz w:val="26"/>
        </w:rPr>
        <w:t>The Three-Part Case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0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Case Section</w:t>
            </w:r>
          </w:p>
        </w:tc>
        <w:tc>
          <w:tcPr>
            <w:tcW w:type="dxa" w:w="446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Typical Information</w:t>
            </w:r>
          </w:p>
        </w:tc>
        <w:tc>
          <w:tcPr>
            <w:tcW w:type="dxa" w:w="39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Reasoning Task</w:t>
            </w:r>
          </w:p>
        </w:tc>
      </w:tr>
      <w:tr>
        <w:trPr>
          <w:cantSplit/>
        </w:trPr>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1: Initial intake</w:t>
            </w:r>
          </w:p>
        </w:tc>
        <w:tc>
          <w:tcPr>
            <w:tcW w:type="dxa" w:w="44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Presenting concern, background, initial MSE, risk, health, culture, functioning, relationships, and provisional questions.</w:t>
            </w:r>
          </w:p>
        </w:tc>
        <w:tc>
          <w:tcPr>
            <w:tcW w:type="dxa" w:w="39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Engage, clarify, assess, screen, identify urgency, and avoid premature closure.</w:t>
            </w:r>
          </w:p>
        </w:tc>
      </w:tr>
      <w:tr>
        <w:trPr>
          <w:cantSplit/>
        </w:trPr>
        <w:tc>
          <w:tcPr>
            <w:tcW w:type="dxa" w:w="20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2: Subsequent session</w:t>
            </w:r>
          </w:p>
        </w:tc>
        <w:tc>
          <w:tcPr>
            <w:tcW w:type="dxa" w:w="44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New disclosures, test results, collateral information, treatment response, barriers, or changing risk.</w:t>
            </w:r>
          </w:p>
        </w:tc>
        <w:tc>
          <w:tcPr>
            <w:tcW w:type="dxa" w:w="39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Update the formulation, confirm what is newly supported, and select the next proportionate action.</w:t>
            </w:r>
          </w:p>
        </w:tc>
      </w:tr>
      <w:tr>
        <w:trPr>
          <w:cantSplit/>
        </w:trPr>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3: Later session</w:t>
            </w:r>
          </w:p>
        </w:tc>
        <w:tc>
          <w:tcPr>
            <w:tcW w:type="dxa" w:w="44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Progress, setbacks, new context, termination concerns, relapse risk, referral needs, or continuity issues.</w:t>
            </w:r>
          </w:p>
        </w:tc>
        <w:tc>
          <w:tcPr>
            <w:tcW w:type="dxa" w:w="39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Evaluate response, revise the plan, consolidate gains, coordinate, refer, or terminate appropriately.</w:t>
            </w:r>
          </w:p>
        </w:tc>
      </w:tr>
    </w:tbl>
    <w:p>
      <w:pPr>
        <w:spacing w:after="0"/>
      </w:pPr>
    </w:p>
    <w:p>
      <w:pPr>
        <w:pStyle w:val="Heading2"/>
        <w:spacing w:before="140" w:after="80"/>
        <w:keepNext/>
      </w:pPr>
      <w:r>
        <w:rPr>
          <w:rFonts w:ascii="Arial" w:hAnsi="Arial" w:eastAsia="Arial"/>
          <w:b/>
          <w:color w:val="159C9C"/>
          <w:sz w:val="26"/>
        </w:rPr>
        <w:t>Evidence-Control Rules</w:t>
      </w:r>
    </w:p>
    <w:p>
      <w:pPr>
        <w:spacing w:after="60" w:line="250" w:lineRule="auto"/>
        <w:keepLines/>
      </w:pPr>
      <w:r>
        <w:rPr>
          <w:rFonts w:ascii="Arial" w:hAnsi="Arial" w:eastAsia="Arial"/>
          <w:b/>
          <w:color w:val="17365D"/>
          <w:sz w:val="20"/>
        </w:rPr>
        <w:t xml:space="preserve">1.  </w:t>
      </w:r>
      <w:r>
        <w:rPr>
          <w:rFonts w:ascii="Arial" w:hAnsi="Arial" w:eastAsia="Arial"/>
          <w:sz w:val="20"/>
        </w:rPr>
        <w:t>Use only information that has appeared in the current or earlier case sections.</w:t>
      </w:r>
    </w:p>
    <w:p>
      <w:pPr>
        <w:spacing w:after="60" w:line="250" w:lineRule="auto"/>
        <w:keepLines/>
      </w:pPr>
      <w:r>
        <w:rPr>
          <w:rFonts w:ascii="Arial" w:hAnsi="Arial" w:eastAsia="Arial"/>
          <w:b/>
          <w:color w:val="17365D"/>
          <w:sz w:val="20"/>
        </w:rPr>
        <w:t xml:space="preserve">2.  </w:t>
      </w:r>
      <w:r>
        <w:rPr>
          <w:rFonts w:ascii="Arial" w:hAnsi="Arial" w:eastAsia="Arial"/>
          <w:sz w:val="20"/>
        </w:rPr>
        <w:t>Separate direct facts from interpretations. A client statement, observed behavior, test result, and counselor inference are not interchangeable.</w:t>
      </w:r>
    </w:p>
    <w:p>
      <w:pPr>
        <w:spacing w:after="60" w:line="250" w:lineRule="auto"/>
        <w:keepLines/>
      </w:pPr>
      <w:r>
        <w:rPr>
          <w:rFonts w:ascii="Arial" w:hAnsi="Arial" w:eastAsia="Arial"/>
          <w:b/>
          <w:color w:val="17365D"/>
          <w:sz w:val="20"/>
        </w:rPr>
        <w:t xml:space="preserve">3.  </w:t>
      </w:r>
      <w:r>
        <w:rPr>
          <w:rFonts w:ascii="Arial" w:hAnsi="Arial" w:eastAsia="Arial"/>
          <w:sz w:val="20"/>
        </w:rPr>
        <w:t>Do not treat a possible diagnosis, legal duty, or level of care as established until the facts support it.</w:t>
      </w:r>
    </w:p>
    <w:p>
      <w:pPr>
        <w:spacing w:after="60" w:line="250" w:lineRule="auto"/>
        <w:keepLines/>
      </w:pPr>
      <w:r>
        <w:rPr>
          <w:rFonts w:ascii="Arial" w:hAnsi="Arial" w:eastAsia="Arial"/>
          <w:b/>
          <w:color w:val="17365D"/>
          <w:sz w:val="20"/>
        </w:rPr>
        <w:t xml:space="preserve">4.  </w:t>
      </w:r>
      <w:r>
        <w:rPr>
          <w:rFonts w:ascii="Arial" w:hAnsi="Arial" w:eastAsia="Arial"/>
          <w:sz w:val="20"/>
        </w:rPr>
        <w:t>Track what has already occurred. A NEXT question should not repeat a completed assessment or skip over an unresolved priority.</w:t>
      </w:r>
    </w:p>
    <w:p>
      <w:pPr>
        <w:spacing w:after="60" w:line="250" w:lineRule="auto"/>
        <w:keepLines/>
      </w:pPr>
      <w:r>
        <w:rPr>
          <w:rFonts w:ascii="Arial" w:hAnsi="Arial" w:eastAsia="Arial"/>
          <w:b/>
          <w:color w:val="17365D"/>
          <w:sz w:val="20"/>
        </w:rPr>
        <w:t xml:space="preserve">5.  </w:t>
      </w:r>
      <w:r>
        <w:rPr>
          <w:rFonts w:ascii="Arial" w:hAnsi="Arial" w:eastAsia="Arial"/>
          <w:sz w:val="20"/>
        </w:rPr>
        <w:t>When information is insufficient, choose the focused assessment that would change the decision rather than ordering every possible test.</w:t>
      </w:r>
    </w:p>
    <w:p>
      <w:pPr>
        <w:spacing w:after="60" w:line="250" w:lineRule="auto"/>
        <w:keepLines/>
      </w:pPr>
      <w:r>
        <w:rPr>
          <w:rFonts w:ascii="Arial" w:hAnsi="Arial" w:eastAsia="Arial"/>
          <w:b/>
          <w:color w:val="17365D"/>
          <w:sz w:val="20"/>
        </w:rPr>
        <w:t xml:space="preserve">6.  </w:t>
      </w:r>
      <w:r>
        <w:rPr>
          <w:rFonts w:ascii="Arial" w:hAnsi="Arial" w:eastAsia="Arial"/>
          <w:sz w:val="20"/>
        </w:rPr>
        <w:t>After selecting CONTINUE, confirm that every unanswered or flagged item in the current section has been addressed.</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EXAM TIP: ASK “WHAT BECAME TRUE NOW?”</w:t>
            </w:r>
          </w:p>
          <w:p>
            <w:pPr>
              <w:spacing w:after="20" w:line="250" w:lineRule="auto"/>
            </w:pPr>
            <w:r>
              <w:rPr>
                <w:rFonts w:ascii="Arial" w:hAnsi="Arial" w:eastAsia="Arial"/>
                <w:color w:val="1F2937"/>
                <w:sz w:val="20"/>
              </w:rPr>
              <w:t>When a new section appears, identify the new fact that changes the case. The best answer often depends on recognizing how the new information changes risk, diagnosis, treatment fit, or continuity.</w:t>
            </w:r>
          </w:p>
        </w:tc>
      </w:tr>
    </w:tbl>
    <w:p>
      <w:pPr>
        <w:spacing w:after="0"/>
      </w:pPr>
    </w:p>
    <w:p>
      <w:r>
        <w:br w:type="page"/>
      </w:r>
    </w:p>
    <w:p>
      <w:pPr>
        <w:pStyle w:val="Heading2"/>
        <w:spacing w:before="140" w:after="80"/>
        <w:keepNext/>
      </w:pPr>
      <w:r>
        <w:rPr>
          <w:rFonts w:ascii="Arial" w:hAnsi="Arial" w:eastAsia="Arial"/>
          <w:b/>
          <w:color w:val="159C9C"/>
          <w:sz w:val="26"/>
        </w:rPr>
        <w:t>Fact, Inference, and Assumption</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72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Type</w:t>
            </w:r>
          </w:p>
        </w:tc>
        <w:tc>
          <w:tcPr>
            <w:tcW w:type="dxa" w:w="46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Example</w:t>
            </w:r>
          </w:p>
        </w:tc>
        <w:tc>
          <w:tcPr>
            <w:tcW w:type="dxa" w:w="41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How to Use It</w:t>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Fact</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client reports sleeping three hours nightly for one week.</w:t>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Use directly, while considering reliability and context.</w:t>
            </w:r>
          </w:p>
        </w:tc>
      </w:tr>
      <w:tr>
        <w:trPr>
          <w:cantSplit/>
        </w:trPr>
        <w:tc>
          <w:tcPr>
            <w:tcW w:type="dxa" w:w="172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Observation</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counselor observes pressured speech and frequent topic shifts.</w:t>
            </w:r>
          </w:p>
        </w:tc>
        <w:tc>
          <w:tcPr>
            <w:tcW w:type="dxa" w:w="41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Use as current MSE information; do not overgeneralize.</w:t>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Inference</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counselor suspects a possible mood episode.</w:t>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Treat as a hypothesis requiring assessment, not a final diagnosis.</w:t>
            </w:r>
          </w:p>
        </w:tc>
      </w:tr>
      <w:tr>
        <w:trPr>
          <w:cantSplit/>
        </w:trPr>
        <w:tc>
          <w:tcPr>
            <w:tcW w:type="dxa" w:w="172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Assumption</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client must have bipolar disorder because sleep is reduced.</w:t>
            </w:r>
          </w:p>
        </w:tc>
        <w:tc>
          <w:tcPr>
            <w:tcW w:type="dxa" w:w="41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Eliminate. The conclusion exceeds the available evidence.</w:t>
            </w:r>
          </w:p>
        </w:tc>
      </w:tr>
    </w:tbl>
    <w:p>
      <w:pPr>
        <w:spacing w:after="0"/>
      </w:pPr>
    </w:p>
    <w:p>
      <w:pPr>
        <w:pStyle w:val="Heading2"/>
        <w:spacing w:before="140" w:after="80"/>
        <w:keepNext/>
      </w:pPr>
      <w:r>
        <w:rPr>
          <w:rFonts w:ascii="Arial" w:hAnsi="Arial" w:eastAsia="Arial"/>
          <w:b/>
          <w:color w:val="159C9C"/>
          <w:sz w:val="26"/>
        </w:rPr>
        <w:t>Original CTA Guided Case: Elena</w:t>
      </w: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USE NOTICE</w:t>
            </w:r>
          </w:p>
          <w:p>
            <w:pPr>
              <w:spacing w:after="20" w:line="250" w:lineRule="auto"/>
            </w:pPr>
            <w:r>
              <w:rPr>
                <w:rFonts w:ascii="Arial" w:hAnsi="Arial" w:eastAsia="Arial"/>
                <w:color w:val="1F2937"/>
                <w:sz w:val="19"/>
              </w:rPr>
              <w:t>This is an original CTA teaching case designed to demonstrate case progression. It is not an actual or recalled NCMHCE case.</w:t>
            </w:r>
          </w:p>
        </w:tc>
      </w:tr>
    </w:tbl>
    <w:p>
      <w:pPr>
        <w:spacing w:after="0"/>
      </w:pPr>
    </w:p>
    <w:p>
      <w:pPr>
        <w:pStyle w:val="Heading3"/>
        <w:spacing w:before="100" w:after="80"/>
        <w:keepNext/>
      </w:pPr>
      <w:r>
        <w:rPr>
          <w:rFonts w:ascii="Arial" w:hAnsi="Arial" w:eastAsia="Arial"/>
          <w:b/>
          <w:color w:val="17365D"/>
          <w:sz w:val="23"/>
        </w:rPr>
        <w:t>Part 1: Intake</w:t>
      </w:r>
    </w:p>
    <w:p>
      <w:pPr>
        <w:spacing w:before="0" w:after="100" w:line="254" w:lineRule="auto"/>
      </w:pPr>
      <w:r>
        <w:rPr>
          <w:rFonts w:ascii="Arial" w:hAnsi="Arial" w:eastAsia="Arial"/>
          <w:b w:val="0"/>
          <w:i w:val="0"/>
          <w:color w:val="1F2937"/>
          <w:sz w:val="20"/>
        </w:rPr>
        <w:t>Elena is a 32-year-old Mexican American operations manager seeking individual counseling for episodes of racing heart, dizziness, shortness of breath, and fear that she will lose control during presentations. The episodes began about six weeks ago. She sleeps four to five hours, drinks several energy drinks daily, and recently had a thyroid-medication dosage change. She denies alcohol or drug misuse, suicidal or homicidal thoughts, and prior manic episodes. She reports embarrassment and worries that seeking counseling will disappoint her family. Her thought process is linear, orientation is intact, and judgment appears adequate.</w:t>
      </w:r>
    </w:p>
    <w:p>
      <w:pPr>
        <w:spacing w:before="0" w:after="100" w:line="254" w:lineRule="auto"/>
      </w:pPr>
      <w:r>
        <w:rPr>
          <w:rFonts w:ascii="Arial" w:hAnsi="Arial" w:eastAsia="Arial"/>
          <w:b/>
          <w:i w:val="0"/>
          <w:color w:val="17365D"/>
          <w:sz w:val="20"/>
        </w:rPr>
        <w:t>Pause and decide: What should the counselor do first?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00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Option</w:t>
            </w:r>
          </w:p>
        </w:tc>
        <w:tc>
          <w:tcPr>
            <w:tcW w:type="dxa" w:w="95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Response</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Diagnose panic disorder and begin interoceptive exposure.</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Tell Elena that the symptoms are caused by family expectations.</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Conduct a focused assessment of symptom pattern, risk, functioning, caffeine and medication factors, and coordinate medical evaluation as indicated.</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Refer Elena immediately because physical symptoms are outside a counselor’s role.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BEST REASONING</w:t>
            </w:r>
          </w:p>
          <w:p>
            <w:pPr>
              <w:spacing w:after="20" w:line="250" w:lineRule="auto"/>
            </w:pPr>
            <w:r>
              <w:rPr>
                <w:rFonts w:ascii="Arial" w:hAnsi="Arial" w:eastAsia="Arial"/>
                <w:color w:val="1F2937"/>
                <w:sz w:val="20"/>
              </w:rPr>
              <w:t>C. The counselor needs enough information to distinguish panic-like symptoms from medication, medical, substance, sleep, and other contributors. Assessment and appropriate coordination do not require abandoning the counseling role.</w:t>
            </w:r>
          </w:p>
        </w:tc>
      </w:tr>
    </w:tbl>
    <w:p>
      <w:pPr>
        <w:spacing w:after="0"/>
      </w:pPr>
    </w:p>
    <w:p>
      <w:pPr>
        <w:pStyle w:val="Heading3"/>
        <w:spacing w:before="100" w:after="80"/>
        <w:keepNext/>
      </w:pPr>
      <w:r>
        <w:rPr>
          <w:rFonts w:ascii="Arial" w:hAnsi="Arial" w:eastAsia="Arial"/>
          <w:b/>
          <w:color w:val="17365D"/>
          <w:sz w:val="23"/>
        </w:rPr>
        <w:t>Part 2: Three Weeks Later</w:t>
      </w:r>
    </w:p>
    <w:p>
      <w:pPr>
        <w:spacing w:before="0" w:after="100" w:line="254" w:lineRule="auto"/>
      </w:pPr>
      <w:r>
        <w:rPr>
          <w:rFonts w:ascii="Arial" w:hAnsi="Arial" w:eastAsia="Arial"/>
          <w:b w:val="0"/>
          <w:i w:val="0"/>
          <w:color w:val="1F2937"/>
          <w:sz w:val="20"/>
        </w:rPr>
        <w:t>Elena reports that her prescriber adjusted the medication and the racing-heart episodes decreased. She continues to experience anticipatory worry, avoids presentations, and spends hours rehearsing because she fears disappointing coworkers and family. She wants practical strategies and agrees that improved work functioning and reduced avoidance are priorities. No safety concern is identified.</w:t>
      </w:r>
    </w:p>
    <w:p>
      <w:pPr>
        <w:spacing w:before="0" w:after="100" w:line="254" w:lineRule="auto"/>
      </w:pPr>
      <w:r>
        <w:rPr>
          <w:rFonts w:ascii="Arial" w:hAnsi="Arial" w:eastAsia="Arial"/>
          <w:b/>
          <w:i w:val="0"/>
          <w:color w:val="17365D"/>
          <w:sz w:val="20"/>
        </w:rPr>
        <w:t>Pause and decide: What is newly supported in this section?</w:t>
      </w:r>
    </w:p>
    <w:p>
      <w:pPr>
        <w:pStyle w:val="ListBullet"/>
        <w:spacing w:after="50" w:line="250" w:lineRule="auto"/>
        <w:keepLines/>
      </w:pPr>
      <w:r>
        <w:rPr>
          <w:rFonts w:ascii="Arial" w:hAnsi="Arial" w:eastAsia="Arial"/>
          <w:color w:val="1F2937"/>
          <w:sz w:val="20"/>
        </w:rPr>
        <w:t>A medical contributor affected the initial symptom picture and has been addressed in coordination with the prescriber.</w:t>
      </w:r>
    </w:p>
    <w:p>
      <w:pPr>
        <w:pStyle w:val="ListBullet"/>
        <w:spacing w:after="50" w:line="250" w:lineRule="auto"/>
        <w:keepLines/>
      </w:pPr>
      <w:r>
        <w:rPr>
          <w:rFonts w:ascii="Arial" w:hAnsi="Arial" w:eastAsia="Arial"/>
          <w:color w:val="1F2937"/>
          <w:sz w:val="20"/>
        </w:rPr>
        <w:t>Persistent worry, avoidance, functional impact, cultural meaning, and client-defined goals now support a more specific formulation and treatment discussion.</w:t>
      </w:r>
    </w:p>
    <w:p>
      <w:pPr>
        <w:pStyle w:val="ListBullet"/>
        <w:spacing w:after="50" w:line="250" w:lineRule="auto"/>
        <w:keepLines/>
      </w:pPr>
      <w:r>
        <w:rPr>
          <w:rFonts w:ascii="Arial" w:hAnsi="Arial" w:eastAsia="Arial"/>
          <w:color w:val="1F2937"/>
          <w:sz w:val="20"/>
        </w:rPr>
        <w:t>Routine crisis intervention is not supported.</w:t>
      </w:r>
    </w:p>
    <w:p>
      <w:pPr>
        <w:pStyle w:val="ListBullet"/>
        <w:spacing w:after="50" w:line="250" w:lineRule="auto"/>
        <w:keepLines/>
      </w:pPr>
      <w:r>
        <w:rPr>
          <w:rFonts w:ascii="Arial" w:hAnsi="Arial" w:eastAsia="Arial"/>
          <w:color w:val="1F2937"/>
          <w:sz w:val="20"/>
        </w:rPr>
        <w:t>The counselor can move from initial assessment toward collaborative planning and a theory-consistent intervention.</w:t>
      </w:r>
    </w:p>
    <w:tbl>
      <w:tblPr>
        <w:tblW w:type="auto" w:w="0"/>
        <w:jc w:val="center"/>
        <w:tblLook w:firstColumn="1" w:firstRow="1" w:lastColumn="0" w:lastRow="0" w:noHBand="0" w:noVBand="1" w:val="04A0"/>
      </w:tblPr>
      <w:tblGrid>
        <w:gridCol w:w="10310"/>
      </w:tblGrid>
      <w:tr>
        <w:trPr>
          <w:cantSplit/>
          <w:tblHeader w:val="true"/>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WHY NOT YET?</w:t>
            </w:r>
          </w:p>
          <w:p>
            <w:pPr>
              <w:spacing w:after="20" w:line="250" w:lineRule="auto"/>
            </w:pPr>
            <w:r>
              <w:rPr>
                <w:rFonts w:ascii="Arial" w:hAnsi="Arial" w:eastAsia="Arial"/>
                <w:color w:val="1F2937"/>
                <w:sz w:val="20"/>
              </w:rPr>
              <w:t>A named intervention may be appropriate now because the case includes assessment, reduced medical uncertainty, client goals, and a persistent counseling target. At intake, that same intervention would have been premature.</w:t>
            </w:r>
          </w:p>
        </w:tc>
      </w:tr>
    </w:tbl>
    <w:p>
      <w:pPr>
        <w:spacing w:after="0"/>
      </w:pPr>
    </w:p>
    <w:p>
      <w:pPr>
        <w:pStyle w:val="Heading3"/>
        <w:spacing w:before="100" w:after="80"/>
        <w:keepNext/>
      </w:pPr>
      <w:r>
        <w:rPr>
          <w:rFonts w:ascii="Arial" w:hAnsi="Arial" w:eastAsia="Arial"/>
          <w:b/>
          <w:color w:val="17365D"/>
          <w:sz w:val="23"/>
        </w:rPr>
        <w:t>Part 3: Eight Weeks After Intake</w:t>
      </w:r>
    </w:p>
    <w:p>
      <w:pPr>
        <w:spacing w:before="0" w:after="100" w:line="254" w:lineRule="auto"/>
      </w:pPr>
      <w:r>
        <w:rPr>
          <w:rFonts w:ascii="Arial" w:hAnsi="Arial" w:eastAsia="Arial"/>
          <w:b w:val="0"/>
          <w:i w:val="0"/>
          <w:color w:val="1F2937"/>
          <w:sz w:val="20"/>
        </w:rPr>
        <w:t>Elena reports fewer episodes and improved confidence after graded practice, cognitive restructuring, and sleep/caffeine changes. She is considering ending counseling because her work schedule and cost have become difficult. She wants to preserve the gains she has made and is worried about relapse before an upcoming presentation.</w:t>
      </w:r>
    </w:p>
    <w:p>
      <w:pPr>
        <w:spacing w:before="0" w:after="100" w:line="254" w:lineRule="auto"/>
      </w:pPr>
      <w:r>
        <w:rPr>
          <w:rFonts w:ascii="Arial" w:hAnsi="Arial" w:eastAsia="Arial"/>
          <w:b/>
          <w:i w:val="0"/>
          <w:color w:val="17365D"/>
          <w:sz w:val="20"/>
        </w:rPr>
        <w:t>Pause and decide: What is the best next action?</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00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Option</w:t>
            </w:r>
          </w:p>
        </w:tc>
        <w:tc>
          <w:tcPr>
            <w:tcW w:type="dxa" w:w="95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Response</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Insist that Elena continue weekly treatment because relapse is possible.</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End immediately because the client requested it.</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Review progress, relapse indicators, remaining goals, barriers, and available options; then collaborate on maintenance, reduced frequency, referral, or planned termination.</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Restart the full intake because the client mentioned a new concern.</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BEST REASONING</w:t>
            </w:r>
          </w:p>
          <w:p>
            <w:pPr>
              <w:spacing w:after="20" w:line="250" w:lineRule="auto"/>
            </w:pPr>
            <w:r>
              <w:rPr>
                <w:rFonts w:ascii="Arial" w:hAnsi="Arial" w:eastAsia="Arial"/>
                <w:color w:val="1F2937"/>
                <w:sz w:val="20"/>
              </w:rPr>
              <w:t>C. Later-session decisions integrate progress, client preference, barriers, continuity, and maintenance. Collaboration is neither coercion nor abrupt closure.</w:t>
            </w:r>
          </w:p>
        </w:tc>
      </w:tr>
    </w:tbl>
    <w:p>
      <w:pPr>
        <w:spacing w:after="0"/>
      </w:pPr>
    </w:p>
    <w:p>
      <w:r>
        <w:br w:type="page"/>
      </w:r>
    </w:p>
    <w:p>
      <w:pPr>
        <w:pStyle w:val="Heading2"/>
        <w:spacing w:before="140" w:after="80"/>
        <w:keepNext/>
      </w:pPr>
      <w:r>
        <w:rPr>
          <w:rFonts w:ascii="Arial" w:hAnsi="Arial" w:eastAsia="Arial"/>
          <w:b/>
          <w:color w:val="159C9C"/>
          <w:sz w:val="26"/>
        </w:rPr>
        <w:t>Case Evidence Ledger</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Field</w:t>
            </w:r>
          </w:p>
        </w:tc>
        <w:tc>
          <w:tcPr>
            <w:tcW w:type="dxa" w:w="252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Part 1: Intake</w:t>
            </w:r>
          </w:p>
        </w:tc>
        <w:tc>
          <w:tcPr>
            <w:tcW w:type="dxa" w:w="252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Part 2: Session</w:t>
            </w:r>
          </w:p>
        </w:tc>
        <w:tc>
          <w:tcPr>
            <w:tcW w:type="dxa" w:w="252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Part 3: Session</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New facts that change the decision</w:t>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Immediate safety/medical/legal concerns</w:t>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has already occurred</w:t>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Essential missing information</w:t>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Current stage of care</w:t>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Best supported counselor action</w:t>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p>
      <w:pPr>
        <w:pStyle w:val="Heading2"/>
        <w:spacing w:before="140" w:after="80"/>
        <w:keepNext/>
      </w:pPr>
      <w:r>
        <w:rPr>
          <w:rFonts w:ascii="Arial" w:hAnsi="Arial" w:eastAsia="Arial"/>
          <w:b/>
          <w:color w:val="159C9C"/>
          <w:sz w:val="26"/>
        </w:rPr>
        <w:t>Common Evidence-Control Errors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09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Error</w:t>
            </w:r>
          </w:p>
        </w:tc>
        <w:tc>
          <w:tcPr>
            <w:tcW w:type="dxa" w:w="741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Why It Fails</w:t>
            </w:r>
          </w:p>
        </w:tc>
      </w:tr>
      <w:tr>
        <w:trPr>
          <w:cantSplit/>
        </w:trPr>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Borrowing later facts</w:t>
            </w:r>
          </w:p>
        </w:tc>
        <w:tc>
          <w:tcPr>
            <w:tcW w:type="dxa" w:w="74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earlier question must be answered from the evidence available at that time.</w:t>
            </w:r>
          </w:p>
        </w:tc>
      </w:tr>
      <w:tr>
        <w:trPr>
          <w:cantSplit/>
        </w:trPr>
        <w:tc>
          <w:tcPr>
            <w:tcW w:type="dxa" w:w="30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Diagnosing from one symptom</w:t>
            </w:r>
          </w:p>
        </w:tc>
        <w:tc>
          <w:tcPr>
            <w:tcW w:type="dxa" w:w="741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Diagnosis requires pattern, duration, impairment, exclusions, and context.</w:t>
            </w:r>
          </w:p>
        </w:tc>
      </w:tr>
      <w:tr>
        <w:trPr>
          <w:cantSplit/>
        </w:trPr>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Repeating a completed step</w:t>
            </w:r>
          </w:p>
        </w:tc>
        <w:tc>
          <w:tcPr>
            <w:tcW w:type="dxa" w:w="74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NEXT requires movement from the current stage, not restarting without a reason.</w:t>
            </w:r>
          </w:p>
        </w:tc>
      </w:tr>
      <w:tr>
        <w:trPr>
          <w:cantSplit/>
        </w:trPr>
        <w:tc>
          <w:tcPr>
            <w:tcW w:type="dxa" w:w="30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Over-assessing</w:t>
            </w:r>
          </w:p>
        </w:tc>
        <w:tc>
          <w:tcPr>
            <w:tcW w:type="dxa" w:w="741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Choose focused information that would change the decision; do not delay action with an unfocused list.</w:t>
            </w:r>
          </w:p>
        </w:tc>
      </w:tr>
      <w:tr>
        <w:trPr>
          <w:cantSplit/>
        </w:trPr>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Ignoring new information</w:t>
            </w:r>
          </w:p>
        </w:tc>
        <w:tc>
          <w:tcPr>
            <w:tcW w:type="dxa" w:w="74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Later facts may require revision of the diagnosis, plan, risk response, or level of care.</w:t>
            </w:r>
          </w:p>
        </w:tc>
      </w:tr>
    </w:tbl>
    <w:p>
      <w:pPr>
        <w:spacing w:after="0"/>
      </w:pPr>
    </w:p>
    <w:p>
      <w:pPr>
        <w:pStyle w:val="Heading2"/>
        <w:spacing w:before="140" w:after="80"/>
        <w:keepNext/>
      </w:pPr>
      <w:r>
        <w:rPr>
          <w:rFonts w:ascii="Arial" w:hAnsi="Arial" w:eastAsia="Arial"/>
          <w:b/>
          <w:color w:val="159C9C"/>
          <w:sz w:val="26"/>
        </w:rPr>
        <w:t>Chapter 2 Summary</w:t>
      </w:r>
    </w:p>
    <w:p>
      <w:pPr>
        <w:pStyle w:val="ListBullet"/>
        <w:spacing w:after="50" w:line="250" w:lineRule="auto"/>
        <w:keepLines/>
      </w:pPr>
      <w:r>
        <w:rPr>
          <w:rFonts w:ascii="Arial" w:hAnsi="Arial" w:eastAsia="Arial"/>
          <w:color w:val="1F2937"/>
          <w:sz w:val="20"/>
        </w:rPr>
        <w:t>Each case progresses from intake through two subsequent counseling sessions.</w:t>
      </w:r>
    </w:p>
    <w:p>
      <w:pPr>
        <w:pStyle w:val="ListBullet"/>
        <w:spacing w:after="50" w:line="250" w:lineRule="auto"/>
        <w:keepLines/>
      </w:pPr>
      <w:r>
        <w:rPr>
          <w:rFonts w:ascii="Arial" w:hAnsi="Arial" w:eastAsia="Arial"/>
          <w:color w:val="1F2937"/>
          <w:sz w:val="20"/>
        </w:rPr>
        <w:t>Use only facts available in the current or earlier sections.</w:t>
      </w:r>
    </w:p>
    <w:p>
      <w:pPr>
        <w:pStyle w:val="ListBullet"/>
        <w:spacing w:after="50" w:line="250" w:lineRule="auto"/>
        <w:keepLines/>
      </w:pPr>
      <w:r>
        <w:rPr>
          <w:rFonts w:ascii="Arial" w:hAnsi="Arial" w:eastAsia="Arial"/>
          <w:color w:val="1F2937"/>
          <w:sz w:val="20"/>
        </w:rPr>
        <w:t>Separate facts, observations, inferences, and unsupported assumptions.</w:t>
      </w:r>
    </w:p>
    <w:p>
      <w:pPr>
        <w:pStyle w:val="ListBullet"/>
        <w:spacing w:after="50" w:line="250" w:lineRule="auto"/>
        <w:keepLines/>
      </w:pPr>
      <w:r>
        <w:rPr>
          <w:rFonts w:ascii="Arial" w:hAnsi="Arial" w:eastAsia="Arial"/>
          <w:color w:val="1F2937"/>
          <w:sz w:val="20"/>
        </w:rPr>
        <w:t>Track completed actions so NEXT moves the case forward.</w:t>
      </w:r>
    </w:p>
    <w:p>
      <w:pPr>
        <w:pStyle w:val="ListBullet"/>
        <w:spacing w:after="50" w:line="250" w:lineRule="auto"/>
        <w:keepLines/>
      </w:pPr>
      <w:r>
        <w:rPr>
          <w:rFonts w:ascii="Arial" w:hAnsi="Arial" w:eastAsia="Arial"/>
          <w:color w:val="1F2937"/>
          <w:sz w:val="20"/>
        </w:rPr>
        <w:t>Review every answer in the current section before advancing.</w:t>
      </w:r>
    </w:p>
    <w:p>
      <w:r>
        <w:br w:type="page"/>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3</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Task Words, Priority, and Sequence</w:t>
            </w:r>
          </w:p>
        </w:tc>
      </w:tr>
    </w:tbl>
    <w:p>
      <w:pPr>
        <w:spacing w:before="100" w:after="180"/>
      </w:pPr>
      <w:r>
        <w:rPr>
          <w:rFonts w:ascii="Arial" w:hAnsi="Arial" w:eastAsia="Arial"/>
          <w:i/>
          <w:color w:val="4E5B6B"/>
          <w:sz w:val="21"/>
        </w:rPr>
        <w:t>The same case can produce different best answers depending on the exact task and the stage of care.</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CHAPTER BIG IDEA</w:t>
            </w:r>
          </w:p>
          <w:p>
            <w:pPr>
              <w:spacing w:after="20" w:line="250" w:lineRule="auto"/>
            </w:pPr>
            <w:r>
              <w:rPr>
                <w:rFonts w:ascii="Arial" w:hAnsi="Arial" w:eastAsia="Arial"/>
                <w:color w:val="1F2937"/>
                <w:sz w:val="20"/>
              </w:rPr>
              <w:t>The qualifier controls the job. Priority rules control timing. Counselor reasoning controls fit.</w:t>
            </w:r>
          </w:p>
        </w:tc>
      </w:tr>
    </w:tbl>
    <w:p>
      <w:pPr>
        <w:spacing w:after="0"/>
      </w:pPr>
    </w:p>
    <w:p>
      <w:pPr>
        <w:pStyle w:val="Heading2"/>
        <w:spacing w:before="140" w:after="80"/>
        <w:keepNext/>
      </w:pPr>
      <w:r>
        <w:rPr>
          <w:rFonts w:ascii="Arial" w:hAnsi="Arial" w:eastAsia="Arial"/>
          <w:b/>
          <w:color w:val="159C9C"/>
          <w:sz w:val="26"/>
        </w:rPr>
        <w:t>Let the Task Word Define the Job</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94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Qualifier</w:t>
            </w:r>
          </w:p>
        </w:tc>
        <w:tc>
          <w:tcPr>
            <w:tcW w:type="dxa" w:w="46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What It Usually Requires</w:t>
            </w:r>
          </w:p>
        </w:tc>
        <w:tc>
          <w:tcPr>
            <w:tcW w:type="dxa" w:w="38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Candidate Check</w:t>
            </w:r>
          </w:p>
        </w:tc>
      </w:tr>
      <w:tr>
        <w:trPr>
          <w:cantSplit/>
        </w:trPr>
        <w:tc>
          <w:tcPr>
            <w:tcW w:type="dxa" w:w="19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FIRST / INITIAL</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The earliest necessary action within the specific task.</w:t>
            </w:r>
          </w:p>
        </w:tc>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must happen before the other options?</w:t>
            </w:r>
          </w:p>
        </w:tc>
      </w:tr>
      <w:tr>
        <w:trPr>
          <w:cantSplit/>
        </w:trPr>
        <w:tc>
          <w:tcPr>
            <w:tcW w:type="dxa" w:w="194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NEXT</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The action that advances the process from what has already occurred.</w:t>
            </w:r>
          </w:p>
        </w:tc>
        <w:tc>
          <w:tcPr>
            <w:tcW w:type="dxa" w:w="38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step is complete, and what remains?</w:t>
            </w:r>
          </w:p>
        </w:tc>
      </w:tr>
      <w:tr>
        <w:trPr>
          <w:cantSplit/>
        </w:trPr>
        <w:tc>
          <w:tcPr>
            <w:tcW w:type="dxa" w:w="19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BEST / MOST APPROPRIATE</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The strongest fit among plausible options.</w:t>
            </w:r>
          </w:p>
        </w:tc>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Which option is most supported, proportionate, and within role?</w:t>
            </w:r>
          </w:p>
        </w:tc>
      </w:tr>
      <w:tr>
        <w:trPr>
          <w:cantSplit/>
        </w:trPr>
        <w:tc>
          <w:tcPr>
            <w:tcW w:type="dxa" w:w="194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PRIMARY / MOST IMPORTANT</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The controlling concern, purpose, or priority.</w:t>
            </w:r>
          </w:p>
        </w:tc>
        <w:tc>
          <w:tcPr>
            <w:tcW w:type="dxa" w:w="38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issue governs the decision?</w:t>
            </w:r>
          </w:p>
        </w:tc>
      </w:tr>
      <w:tr>
        <w:trPr>
          <w:cantSplit/>
        </w:trPr>
        <w:tc>
          <w:tcPr>
            <w:tcW w:type="dxa" w:w="19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MOST LIKELY</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The conclusion most supported by the facts.</w:t>
            </w:r>
          </w:p>
        </w:tc>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Which conclusion has the strongest evidence, not merely possibility?</w:t>
            </w:r>
          </w:p>
        </w:tc>
      </w:tr>
      <w:tr>
        <w:trPr>
          <w:cantSplit/>
        </w:trPr>
        <w:tc>
          <w:tcPr>
            <w:tcW w:type="dxa" w:w="194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LEAST / NOT</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The exception or weakest option.</w:t>
            </w:r>
          </w:p>
        </w:tc>
        <w:tc>
          <w:tcPr>
            <w:tcW w:type="dxa" w:w="38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Slow down and reverse the usual selection rule.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FCE8E6"/>
            <w:tcBorders>
              <w:top w:val="single" w:sz="10" w:color="B94A48"/>
              <w:left w:val="single" w:sz="10" w:color="B94A48"/>
              <w:bottom w:val="single" w:sz="10" w:color="B94A48"/>
              <w:right w:val="single" w:sz="10" w:color="B94A48"/>
            </w:tcBorders>
            <w:tcMar>
              <w:top w:w="110" w:type="dxa"/>
              <w:start w:w="140" w:type="dxa"/>
              <w:bottom w:w="110" w:type="dxa"/>
              <w:end w:w="140" w:type="dxa"/>
            </w:tcMar>
          </w:tcPr>
          <w:p>
            <w:pPr>
              <w:spacing w:after="60"/>
            </w:pPr>
            <w:r>
              <w:rPr>
                <w:rFonts w:ascii="Arial" w:hAnsi="Arial" w:eastAsia="Arial"/>
                <w:b/>
                <w:color w:val="8B1E1E"/>
                <w:sz w:val="21"/>
              </w:rPr>
              <w:t>COMMON TRAP: ANSWERING A DIFFERENT QUESTION</w:t>
            </w:r>
          </w:p>
          <w:p>
            <w:pPr>
              <w:spacing w:after="20" w:line="250" w:lineRule="auto"/>
            </w:pPr>
            <w:r>
              <w:rPr>
                <w:rFonts w:ascii="Arial" w:hAnsi="Arial" w:eastAsia="Arial"/>
                <w:color w:val="1F2937"/>
                <w:sz w:val="20"/>
              </w:rPr>
              <w:t>A clinically strong intervention is still wrong when the item asks for assessment, diagnosis, a treatment goal, a legal response, or evaluation of progress. Name the requested action before comparing options.</w:t>
            </w:r>
          </w:p>
        </w:tc>
      </w:tr>
    </w:tbl>
    <w:p>
      <w:pPr>
        <w:spacing w:after="0"/>
      </w:pPr>
    </w:p>
    <w:p>
      <w:pPr>
        <w:pStyle w:val="Heading2"/>
        <w:spacing w:before="140" w:after="80"/>
        <w:keepNext/>
      </w:pPr>
      <w:r>
        <w:rPr>
          <w:rFonts w:ascii="Arial" w:hAnsi="Arial" w:eastAsia="Arial"/>
          <w:b/>
          <w:color w:val="159C9C"/>
          <w:sz w:val="26"/>
        </w:rPr>
        <w:t>The SAFER Counselor Sequence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01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Step</w:t>
            </w:r>
          </w:p>
        </w:tc>
        <w:tc>
          <w:tcPr>
            <w:tcW w:type="dxa" w:w="42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Question to Ask</w:t>
            </w:r>
          </w:p>
        </w:tc>
        <w:tc>
          <w:tcPr>
            <w:tcW w:type="dxa" w:w="42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Typical Actions</w:t>
            </w:r>
          </w:p>
        </w:tc>
      </w:tr>
      <w:tr>
        <w:trPr>
          <w:cantSplit/>
        </w:trPr>
        <w:tc>
          <w:tcPr>
            <w:tcW w:type="dxa" w:w="20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 - Safety and medical urgency</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there an immediate threat to life, serious harm, acute impairment, or medical instability?</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Direct risk assessment, emergency response, stabilization, medical evaluation, level-of-care action.</w:t>
            </w:r>
          </w:p>
        </w:tc>
      </w:tr>
      <w:tr>
        <w:trPr>
          <w:cantSplit/>
        </w:trPr>
        <w:tc>
          <w:tcPr>
            <w:tcW w:type="dxa" w:w="201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 Authority, ethics, scope, and role</w:t>
            </w:r>
          </w:p>
        </w:tc>
        <w:tc>
          <w:tcPr>
            <w:tcW w:type="dxa" w:w="42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a legal/ethical duty, consent issue, competence limit, boundary, or role question controlling?</w:t>
            </w:r>
          </w:p>
        </w:tc>
        <w:tc>
          <w:tcPr>
            <w:tcW w:type="dxa" w:w="42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Clarify counselor/client roles, confidentiality, authority, scope, consultation, required action.</w:t>
            </w:r>
          </w:p>
        </w:tc>
      </w:tr>
      <w:tr>
        <w:trPr>
          <w:cantSplit/>
        </w:trPr>
        <w:tc>
          <w:tcPr>
            <w:tcW w:type="dxa" w:w="20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 - Facts and focused assessment</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information is needed to understand the concern and make the next decision?</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Alliance, interviews, MSE, culture, function, diagnosis, strengths, instruments, collateral data.</w:t>
            </w:r>
          </w:p>
        </w:tc>
      </w:tr>
      <w:tr>
        <w:trPr>
          <w:cantSplit/>
        </w:trPr>
        <w:tc>
          <w:tcPr>
            <w:tcW w:type="dxa" w:w="201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Establish the plan and intervention</w:t>
            </w:r>
          </w:p>
        </w:tc>
        <w:tc>
          <w:tcPr>
            <w:tcW w:type="dxa" w:w="42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collaborative goal, theory, modality, and evidence-informed action fit the client now?</w:t>
            </w:r>
          </w:p>
        </w:tc>
        <w:tc>
          <w:tcPr>
            <w:tcW w:type="dxa" w:w="42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Treatment goals, interventions, psychoeducation, skill building, referral, collaboration.</w:t>
            </w:r>
          </w:p>
        </w:tc>
      </w:tr>
      <w:tr>
        <w:trPr>
          <w:cantSplit/>
        </w:trPr>
        <w:tc>
          <w:tcPr>
            <w:tcW w:type="dxa" w:w="20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 - Review, revise, refer, and record</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does the response show, and what continuity action follows?</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Outcome measurement, plan revision, consultation, referral, documentation, maintenance, termination.</w:t>
            </w:r>
          </w:p>
        </w:tc>
      </w:tr>
    </w:tbl>
    <w:p>
      <w:pPr>
        <w:spacing w:after="0"/>
      </w:pPr>
    </w:p>
    <w:p>
      <w:pPr>
        <w:spacing w:before="0" w:after="100" w:line="254" w:lineRule="auto"/>
      </w:pPr>
      <w:r>
        <w:rPr>
          <w:rFonts w:ascii="Arial" w:hAnsi="Arial" w:eastAsia="Arial"/>
          <w:b w:val="0"/>
          <w:i w:val="0"/>
          <w:color w:val="1F2937"/>
          <w:sz w:val="20"/>
        </w:rPr>
        <w:t>SAFER is not a rule that assessment always comes before everything. Safety, medical urgency, and a supported controlling duty can require immediate action. It is also not permission to intervene before the facts support the intervention.</w:t>
      </w:r>
    </w:p>
    <w:p>
      <w:pPr>
        <w:pStyle w:val="Heading2"/>
        <w:spacing w:before="140" w:after="80"/>
        <w:keepNext/>
      </w:pPr>
      <w:r>
        <w:rPr>
          <w:rFonts w:ascii="Arial" w:hAnsi="Arial" w:eastAsia="Arial"/>
          <w:b/>
          <w:color w:val="159C9C"/>
          <w:sz w:val="26"/>
        </w:rPr>
        <w:t>Match the Answer to the Stage of Care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2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Stage</w:t>
            </w:r>
          </w:p>
        </w:tc>
        <w:tc>
          <w:tcPr>
            <w:tcW w:type="dxa" w:w="460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Strong Answer Pattern</w:t>
            </w:r>
          </w:p>
        </w:tc>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Frequent Wrong-Timing Choice</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Engagement / intake</w:t>
            </w:r>
          </w:p>
        </w:tc>
        <w:tc>
          <w:tcPr>
            <w:tcW w:type="dxa" w:w="46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Clarify concern, role, safety, history, culture, function, and priorities.</w:t>
            </w:r>
          </w:p>
        </w:tc>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Assigning an advanced technique before assessment.</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Assessment / diagnosis</w:t>
            </w:r>
          </w:p>
        </w:tc>
        <w:tc>
          <w:tcPr>
            <w:tcW w:type="dxa" w:w="46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Gather focused evidence, consider alternatives, assess level of care.</w:t>
            </w:r>
          </w:p>
        </w:tc>
        <w:tc>
          <w:tcPr>
            <w:tcW w:type="dxa" w:w="36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Declaring a diagnosis from a few symptoms.</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Planning</w:t>
            </w:r>
          </w:p>
        </w:tc>
        <w:tc>
          <w:tcPr>
            <w:tcW w:type="dxa" w:w="46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Collaborate on measurable goals, strengths, barriers, modality, and referrals.</w:t>
            </w:r>
          </w:p>
        </w:tc>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Choosing a therapist-preferred plan without client participation.</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Intervention</w:t>
            </w:r>
          </w:p>
        </w:tc>
        <w:tc>
          <w:tcPr>
            <w:tcW w:type="dxa" w:w="46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Use theory-consistent, culturally responsive, proportionate skills tied to the plan.</w:t>
            </w:r>
          </w:p>
        </w:tc>
        <w:tc>
          <w:tcPr>
            <w:tcW w:type="dxa" w:w="36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Returning to a full intake when sufficient assessment is complete.</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Evaluation / continuity</w:t>
            </w:r>
          </w:p>
        </w:tc>
        <w:tc>
          <w:tcPr>
            <w:tcW w:type="dxa" w:w="46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Review outcomes, revise, coordinate, maintain gains, refer, or terminate.</w:t>
            </w:r>
          </w:p>
        </w:tc>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Continuing unchanged treatment despite poor response or access barriers.</w:t>
            </w:r>
          </w:p>
        </w:tc>
      </w:tr>
    </w:tbl>
    <w:p>
      <w:pPr>
        <w:spacing w:after="0"/>
      </w:pPr>
    </w:p>
    <w:p>
      <w:pPr>
        <w:pStyle w:val="Heading2"/>
        <w:spacing w:before="140" w:after="80"/>
        <w:keepNext/>
      </w:pPr>
      <w:r>
        <w:rPr>
          <w:rFonts w:ascii="Arial" w:hAnsi="Arial" w:eastAsia="Arial"/>
          <w:b/>
          <w:color w:val="159C9C"/>
          <w:sz w:val="26"/>
        </w:rPr>
        <w:t>Clinical Counselor Lens</w:t>
      </w:r>
    </w:p>
    <w:p>
      <w:pPr>
        <w:pStyle w:val="ListBullet"/>
        <w:spacing w:after="50" w:line="250" w:lineRule="auto"/>
        <w:keepLines/>
      </w:pPr>
      <w:r>
        <w:rPr>
          <w:rFonts w:ascii="Arial" w:hAnsi="Arial" w:eastAsia="Arial"/>
          <w:color w:val="1F2937"/>
          <w:sz w:val="20"/>
        </w:rPr>
        <w:t>Protect the therapeutic relationship while remaining direct about risk, role, and limits.</w:t>
      </w:r>
    </w:p>
    <w:p>
      <w:pPr>
        <w:pStyle w:val="ListBullet"/>
        <w:spacing w:after="50" w:line="250" w:lineRule="auto"/>
        <w:keepLines/>
      </w:pPr>
      <w:r>
        <w:rPr>
          <w:rFonts w:ascii="Arial" w:hAnsi="Arial" w:eastAsia="Arial"/>
          <w:color w:val="1F2937"/>
          <w:sz w:val="20"/>
        </w:rPr>
        <w:t>Use counseling theory as a formulation and intervention guide, not as a label-matching game.</w:t>
      </w:r>
    </w:p>
    <w:p>
      <w:pPr>
        <w:pStyle w:val="ListBullet"/>
        <w:spacing w:after="50" w:line="250" w:lineRule="auto"/>
        <w:keepLines/>
      </w:pPr>
      <w:r>
        <w:rPr>
          <w:rFonts w:ascii="Arial" w:hAnsi="Arial" w:eastAsia="Arial"/>
          <w:color w:val="1F2937"/>
          <w:sz w:val="20"/>
        </w:rPr>
        <w:t>Integrate development, wellness, culture, identity, strengths, environment, and client preference.</w:t>
      </w:r>
    </w:p>
    <w:p>
      <w:pPr>
        <w:pStyle w:val="ListBullet"/>
        <w:spacing w:after="50" w:line="250" w:lineRule="auto"/>
        <w:keepLines/>
      </w:pPr>
      <w:r>
        <w:rPr>
          <w:rFonts w:ascii="Arial" w:hAnsi="Arial" w:eastAsia="Arial"/>
          <w:color w:val="1F2937"/>
          <w:sz w:val="20"/>
        </w:rPr>
        <w:t>Assess and diagnose competently, while considering medical, substance, trauma, and co-occurring factors.</w:t>
      </w:r>
    </w:p>
    <w:p>
      <w:pPr>
        <w:pStyle w:val="ListBullet"/>
        <w:spacing w:after="50" w:line="250" w:lineRule="auto"/>
        <w:keepLines/>
      </w:pPr>
      <w:r>
        <w:rPr>
          <w:rFonts w:ascii="Arial" w:hAnsi="Arial" w:eastAsia="Arial"/>
          <w:color w:val="1F2937"/>
          <w:sz w:val="20"/>
        </w:rPr>
        <w:t>Refer or collaborate when needs exceed the counselor’s education, training, experience, or role.</w:t>
      </w:r>
    </w:p>
    <w:p>
      <w:pPr>
        <w:pStyle w:val="ListBullet"/>
        <w:spacing w:after="50" w:line="250" w:lineRule="auto"/>
        <w:keepLines/>
      </w:pPr>
      <w:r>
        <w:rPr>
          <w:rFonts w:ascii="Arial" w:hAnsi="Arial" w:eastAsia="Arial"/>
          <w:color w:val="1F2937"/>
          <w:sz w:val="20"/>
        </w:rPr>
        <w:t>Choose the modality that fits the client and goals; do not default automatically to individual, couple/family, or group work.</w:t>
      </w:r>
    </w:p>
    <w:p>
      <w:pPr>
        <w:pStyle w:val="Heading2"/>
        <w:spacing w:before="140" w:after="80"/>
        <w:keepNext/>
      </w:pPr>
      <w:r>
        <w:rPr>
          <w:rFonts w:ascii="Arial" w:hAnsi="Arial" w:eastAsia="Arial"/>
          <w:b/>
          <w:color w:val="159C9C"/>
          <w:sz w:val="26"/>
        </w:rPr>
        <w:t>Three-Pass NCMHCE Method</w:t>
      </w:r>
    </w:p>
    <w:p>
      <w:pPr>
        <w:spacing w:after="60" w:line="250" w:lineRule="auto"/>
        <w:keepLines/>
      </w:pPr>
      <w:r>
        <w:rPr>
          <w:rFonts w:ascii="Arial" w:hAnsi="Arial" w:eastAsia="Arial"/>
          <w:b/>
          <w:color w:val="17365D"/>
          <w:sz w:val="20"/>
        </w:rPr>
        <w:t xml:space="preserve">1.  </w:t>
      </w:r>
      <w:r>
        <w:rPr>
          <w:rFonts w:ascii="Arial" w:hAnsi="Arial" w:eastAsia="Arial"/>
          <w:sz w:val="20"/>
        </w:rPr>
        <w:t>Pass 1 - Read the final question and qualifier. State the exact task in five to ten words.</w:t>
      </w:r>
    </w:p>
    <w:p>
      <w:pPr>
        <w:spacing w:after="60" w:line="250" w:lineRule="auto"/>
        <w:keepLines/>
      </w:pPr>
      <w:r>
        <w:rPr>
          <w:rFonts w:ascii="Arial" w:hAnsi="Arial" w:eastAsia="Arial"/>
          <w:b/>
          <w:color w:val="17365D"/>
          <w:sz w:val="20"/>
        </w:rPr>
        <w:t xml:space="preserve">2.  </w:t>
      </w:r>
      <w:r>
        <w:rPr>
          <w:rFonts w:ascii="Arial" w:hAnsi="Arial" w:eastAsia="Arial"/>
          <w:sz w:val="20"/>
        </w:rPr>
        <w:t>Pass 2 - Mark decision facts: current case section, safety, medical factors, ethics/role, culture, function, client preference, diagnosis evidence, and what has already occurred.</w:t>
      </w:r>
    </w:p>
    <w:p>
      <w:pPr>
        <w:spacing w:after="60" w:line="250" w:lineRule="auto"/>
        <w:keepLines/>
      </w:pPr>
      <w:r>
        <w:rPr>
          <w:rFonts w:ascii="Arial" w:hAnsi="Arial" w:eastAsia="Arial"/>
          <w:b/>
          <w:color w:val="17365D"/>
          <w:sz w:val="20"/>
        </w:rPr>
        <w:t xml:space="preserve">3.  </w:t>
      </w:r>
      <w:r>
        <w:rPr>
          <w:rFonts w:ascii="Arial" w:hAnsi="Arial" w:eastAsia="Arial"/>
          <w:sz w:val="20"/>
        </w:rPr>
        <w:t>Pass 3 - Compare the options. Eliminate answers that are unsupported, mistimed, outside scope, theory-inconsistent, culturally unresponsive, overly extreme, or incomplete.</w:t>
      </w: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MEMORY AID: COUNSEL</w:t>
            </w:r>
          </w:p>
          <w:p>
            <w:pPr>
              <w:pStyle w:val="ListBullet"/>
              <w:spacing w:after="20" w:line="245" w:lineRule="auto"/>
            </w:pPr>
            <w:r>
              <w:rPr>
                <w:rFonts w:ascii="Arial" w:hAnsi="Arial" w:eastAsia="Arial"/>
                <w:color w:val="1F2937"/>
                <w:sz w:val="19"/>
              </w:rPr>
              <w:t>C - Clarify the qualifier and exact task.</w:t>
            </w:r>
          </w:p>
          <w:p>
            <w:pPr>
              <w:pStyle w:val="ListBullet"/>
              <w:spacing w:after="20" w:line="245" w:lineRule="auto"/>
            </w:pPr>
            <w:r>
              <w:rPr>
                <w:rFonts w:ascii="Arial" w:hAnsi="Arial" w:eastAsia="Arial"/>
                <w:color w:val="1F2937"/>
                <w:sz w:val="19"/>
              </w:rPr>
              <w:t>O - Observe urgent safety, medical, legal, or ethical concerns.</w:t>
            </w:r>
          </w:p>
          <w:p>
            <w:pPr>
              <w:pStyle w:val="ListBullet"/>
              <w:spacing w:after="20" w:line="245" w:lineRule="auto"/>
            </w:pPr>
            <w:r>
              <w:rPr>
                <w:rFonts w:ascii="Arial" w:hAnsi="Arial" w:eastAsia="Arial"/>
                <w:color w:val="1F2937"/>
                <w:sz w:val="19"/>
              </w:rPr>
              <w:t>U - Use only the available evidence.</w:t>
            </w:r>
          </w:p>
          <w:p>
            <w:pPr>
              <w:pStyle w:val="ListBullet"/>
              <w:spacing w:after="20" w:line="245" w:lineRule="auto"/>
            </w:pPr>
            <w:r>
              <w:rPr>
                <w:rFonts w:ascii="Arial" w:hAnsi="Arial" w:eastAsia="Arial"/>
                <w:color w:val="1F2937"/>
                <w:sz w:val="19"/>
              </w:rPr>
              <w:t>N - Name the stage of care and completed actions.</w:t>
            </w:r>
          </w:p>
          <w:p>
            <w:pPr>
              <w:pStyle w:val="ListBullet"/>
              <w:spacing w:after="20" w:line="245" w:lineRule="auto"/>
            </w:pPr>
            <w:r>
              <w:rPr>
                <w:rFonts w:ascii="Arial" w:hAnsi="Arial" w:eastAsia="Arial"/>
                <w:color w:val="1F2937"/>
                <w:sz w:val="19"/>
              </w:rPr>
              <w:t>S - Select the least assumptive, proportionate response.</w:t>
            </w:r>
          </w:p>
          <w:p>
            <w:pPr>
              <w:pStyle w:val="ListBullet"/>
              <w:spacing w:after="20" w:line="245" w:lineRule="auto"/>
            </w:pPr>
            <w:r>
              <w:rPr>
                <w:rFonts w:ascii="Arial" w:hAnsi="Arial" w:eastAsia="Arial"/>
                <w:color w:val="1F2937"/>
                <w:sz w:val="19"/>
              </w:rPr>
              <w:t>E - Evaluate counselor role, theory, culture, and client fit.</w:t>
            </w:r>
          </w:p>
          <w:p>
            <w:pPr>
              <w:pStyle w:val="ListBullet"/>
              <w:spacing w:after="20" w:line="245" w:lineRule="auto"/>
            </w:pPr>
            <w:r>
              <w:rPr>
                <w:rFonts w:ascii="Arial" w:hAnsi="Arial" w:eastAsia="Arial"/>
                <w:color w:val="1F2937"/>
                <w:sz w:val="19"/>
              </w:rPr>
              <w:t>L - Lock the section only after reviewing every response.</w:t>
            </w:r>
          </w:p>
        </w:tc>
      </w:tr>
    </w:tbl>
    <w:p>
      <w:pPr>
        <w:spacing w:after="0"/>
      </w:pPr>
    </w:p>
    <w:p>
      <w:r>
        <w:br w:type="page"/>
      </w:r>
    </w:p>
    <w:p>
      <w:pPr>
        <w:pStyle w:val="Heading2"/>
        <w:spacing w:before="140" w:after="80"/>
        <w:keepNext/>
      </w:pPr>
      <w:r>
        <w:rPr>
          <w:rFonts w:ascii="Arial" w:hAnsi="Arial" w:eastAsia="Arial"/>
          <w:b/>
          <w:color w:val="159C9C"/>
          <w:sz w:val="26"/>
        </w:rPr>
        <w:t>Student Practice Worksheet: Three-Pass Analysis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9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Worksheet Field</w:t>
            </w:r>
          </w:p>
        </w:tc>
        <w:tc>
          <w:tcPr>
            <w:tcW w:type="dxa" w:w="655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Candidate Notes</w:t>
            </w:r>
          </w:p>
        </w:tc>
      </w:tr>
      <w:tr>
        <w:trPr>
          <w:cantSplit/>
        </w:trPr>
        <w:tc>
          <w:tcPr>
            <w:tcW w:type="dxa" w:w="39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 Qualifier and exact task</w:t>
            </w:r>
          </w:p>
        </w:tc>
        <w:tc>
          <w:tcPr>
            <w:tcW w:type="dxa" w:w="65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9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 Current case section</w:t>
            </w:r>
          </w:p>
        </w:tc>
        <w:tc>
          <w:tcPr>
            <w:tcW w:type="dxa" w:w="65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9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3. Safety, medical, legal, or ethical flags</w:t>
            </w:r>
          </w:p>
        </w:tc>
        <w:tc>
          <w:tcPr>
            <w:tcW w:type="dxa" w:w="65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9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4. Facts that change the decision</w:t>
            </w:r>
          </w:p>
        </w:tc>
        <w:tc>
          <w:tcPr>
            <w:tcW w:type="dxa" w:w="65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9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5. Stage of care and completed actions</w:t>
            </w:r>
          </w:p>
        </w:tc>
        <w:tc>
          <w:tcPr>
            <w:tcW w:type="dxa" w:w="65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9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6. Essential missing information</w:t>
            </w:r>
          </w:p>
        </w:tc>
        <w:tc>
          <w:tcPr>
            <w:tcW w:type="dxa" w:w="65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9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7. Options eliminated and why</w:t>
            </w:r>
          </w:p>
        </w:tc>
        <w:tc>
          <w:tcPr>
            <w:tcW w:type="dxa" w:w="65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9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8. Best answer and one-sentence reason</w:t>
            </w:r>
          </w:p>
        </w:tc>
        <w:tc>
          <w:tcPr>
            <w:tcW w:type="dxa" w:w="65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3 Summary</w:t>
      </w:r>
    </w:p>
    <w:p>
      <w:pPr>
        <w:pStyle w:val="ListBullet"/>
        <w:spacing w:after="50" w:line="250" w:lineRule="auto"/>
        <w:keepLines/>
      </w:pPr>
      <w:r>
        <w:rPr>
          <w:rFonts w:ascii="Arial" w:hAnsi="Arial" w:eastAsia="Arial"/>
          <w:color w:val="1F2937"/>
          <w:sz w:val="20"/>
        </w:rPr>
        <w:t>The qualifier defines the task before the vignette is solved.</w:t>
      </w:r>
    </w:p>
    <w:p>
      <w:pPr>
        <w:pStyle w:val="ListBullet"/>
        <w:spacing w:after="50" w:line="250" w:lineRule="auto"/>
        <w:keepLines/>
      </w:pPr>
      <w:r>
        <w:rPr>
          <w:rFonts w:ascii="Arial" w:hAnsi="Arial" w:eastAsia="Arial"/>
          <w:color w:val="1F2937"/>
          <w:sz w:val="20"/>
        </w:rPr>
        <w:t>Safety, medical urgency, and controlling duties outrank routine counseling sequence when supported by facts.</w:t>
      </w:r>
    </w:p>
    <w:p>
      <w:pPr>
        <w:pStyle w:val="ListBullet"/>
        <w:spacing w:after="50" w:line="250" w:lineRule="auto"/>
        <w:keepLines/>
      </w:pPr>
      <w:r>
        <w:rPr>
          <w:rFonts w:ascii="Arial" w:hAnsi="Arial" w:eastAsia="Arial"/>
          <w:color w:val="1F2937"/>
          <w:sz w:val="20"/>
        </w:rPr>
        <w:t>Focused assessment usually precedes diagnosis, planning, intervention, or referral that requires missing information.</w:t>
      </w:r>
    </w:p>
    <w:p>
      <w:pPr>
        <w:pStyle w:val="ListBullet"/>
        <w:spacing w:after="50" w:line="250" w:lineRule="auto"/>
        <w:keepLines/>
      </w:pPr>
      <w:r>
        <w:rPr>
          <w:rFonts w:ascii="Arial" w:hAnsi="Arial" w:eastAsia="Arial"/>
          <w:color w:val="1F2937"/>
          <w:sz w:val="20"/>
        </w:rPr>
        <w:t>NEXT should move the case forward rather than repeat a completed step.</w:t>
      </w:r>
    </w:p>
    <w:p>
      <w:pPr>
        <w:pStyle w:val="ListBullet"/>
        <w:spacing w:after="50" w:line="250" w:lineRule="auto"/>
        <w:keepLines/>
      </w:pPr>
      <w:r>
        <w:rPr>
          <w:rFonts w:ascii="Arial" w:hAnsi="Arial" w:eastAsia="Arial"/>
          <w:color w:val="1F2937"/>
          <w:sz w:val="20"/>
        </w:rPr>
        <w:t>SAFER and COUNSEL organize clinical priority and question analysis.</w:t>
      </w:r>
    </w:p>
    <w:p>
      <w:r>
        <w:br w:type="page"/>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4</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Distractor Elimination, Pacing, and Answer Review</w:t>
            </w:r>
          </w:p>
        </w:tc>
      </w:tr>
    </w:tbl>
    <w:p>
      <w:pPr>
        <w:spacing w:before="100" w:after="180"/>
      </w:pPr>
      <w:r>
        <w:rPr>
          <w:rFonts w:ascii="Arial" w:hAnsi="Arial" w:eastAsia="Arial"/>
          <w:i/>
          <w:color w:val="4E5B6B"/>
          <w:sz w:val="21"/>
        </w:rPr>
        <w:t>Most distractors are not absurd. They are plausible responses with the wrong timing, support, scope, or fit.</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CHAPTER BIG IDEA</w:t>
            </w:r>
          </w:p>
          <w:p>
            <w:pPr>
              <w:spacing w:after="20" w:line="250" w:lineRule="auto"/>
            </w:pPr>
            <w:r>
              <w:rPr>
                <w:rFonts w:ascii="Arial" w:hAnsi="Arial" w:eastAsia="Arial"/>
                <w:color w:val="1F2937"/>
                <w:sz w:val="20"/>
              </w:rPr>
              <w:t>Do not ask whether an option could ever be appropriate. Ask whether it is the best answer to this task, with these facts, at this point in the case.</w:t>
            </w:r>
          </w:p>
        </w:tc>
      </w:tr>
    </w:tbl>
    <w:p>
      <w:pPr>
        <w:spacing w:after="0"/>
      </w:pPr>
    </w:p>
    <w:p>
      <w:pPr>
        <w:pStyle w:val="Heading2"/>
        <w:spacing w:before="140" w:after="80"/>
        <w:keepNext/>
      </w:pPr>
      <w:r>
        <w:rPr>
          <w:rFonts w:ascii="Arial" w:hAnsi="Arial" w:eastAsia="Arial"/>
          <w:b/>
          <w:color w:val="159C9C"/>
          <w:sz w:val="26"/>
        </w:rPr>
        <w:t>High-Frequency Distractor Patterns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2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Distractor Pattern</w:t>
            </w:r>
          </w:p>
        </w:tc>
        <w:tc>
          <w:tcPr>
            <w:tcW w:type="dxa" w:w="40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How It Sounds</w:t>
            </w:r>
          </w:p>
        </w:tc>
        <w:tc>
          <w:tcPr>
            <w:tcW w:type="dxa" w:w="42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Why It Loses</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Right action, wrong time</w:t>
            </w:r>
          </w:p>
        </w:tc>
        <w:tc>
          <w:tcPr>
            <w:tcW w:type="dxa" w:w="40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 useful intervention or referral appears before assessment or planning.</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The action may be appropriate later but skips a necessary step.</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Unsupported assumption</w:t>
            </w:r>
          </w:p>
        </w:tc>
        <w:tc>
          <w:tcPr>
            <w:tcW w:type="dxa" w:w="40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The option adds intent, diagnosis, history, consent, capacity, or danger not stated.</w:t>
            </w:r>
          </w:p>
        </w:tc>
        <w:tc>
          <w:tcPr>
            <w:tcW w:type="dxa" w:w="42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It exceeds the evidence.</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Overreaction</w:t>
            </w:r>
          </w:p>
        </w:tc>
        <w:tc>
          <w:tcPr>
            <w:tcW w:type="dxa" w:w="40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Immediate hospitalization, reporting, termination, or confrontation without sufficient facts.</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It is disproportionate or premature.</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Underreaction / passivity</w:t>
            </w:r>
          </w:p>
        </w:tc>
        <w:tc>
          <w:tcPr>
            <w:tcW w:type="dxa" w:w="40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Only validate, wait, or provide a handout despite urgent facts.</w:t>
            </w:r>
          </w:p>
        </w:tc>
        <w:tc>
          <w:tcPr>
            <w:tcW w:type="dxa" w:w="42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It fails to address the controlling priority.</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Outside role or competence</w:t>
            </w:r>
          </w:p>
        </w:tc>
        <w:tc>
          <w:tcPr>
            <w:tcW w:type="dxa" w:w="40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The counselor prescribes, guarantees, practices beyond training, or ignores consultation.</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It exceeds professional scope or competence.</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Theory mismatch</w:t>
            </w:r>
          </w:p>
        </w:tc>
        <w:tc>
          <w:tcPr>
            <w:tcW w:type="dxa" w:w="40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 technique does not address the mechanism named in the formulation.</w:t>
            </w:r>
          </w:p>
        </w:tc>
        <w:tc>
          <w:tcPr>
            <w:tcW w:type="dxa" w:w="42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Familiarity is not fit.</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Culture/client voice omitted</w:t>
            </w:r>
          </w:p>
        </w:tc>
        <w:tc>
          <w:tcPr>
            <w:tcW w:type="dxa" w:w="40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The plan is imposed without meaning, preference, access, or context.</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It weakens alliance and clinical appropriateness.</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Absolute language</w:t>
            </w:r>
          </w:p>
        </w:tc>
        <w:tc>
          <w:tcPr>
            <w:tcW w:type="dxa" w:w="40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Always, never, immediately, disclose everything, guarantee, require.</w:t>
            </w:r>
          </w:p>
        </w:tc>
        <w:tc>
          <w:tcPr>
            <w:tcW w:type="dxa" w:w="42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Absolutes often ignore proportionality and exceptions.</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More action = better</w:t>
            </w:r>
          </w:p>
        </w:tc>
        <w:tc>
          <w:tcPr>
            <w:tcW w:type="dxa" w:w="40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The longest option includes several referrals and interventions.</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Quantity does not replace sequence or relevance.</w:t>
            </w:r>
          </w:p>
        </w:tc>
      </w:tr>
    </w:tbl>
    <w:p>
      <w:pPr>
        <w:spacing w:after="0"/>
      </w:pPr>
    </w:p>
    <w:p>
      <w:r>
        <w:br w:type="page"/>
      </w:r>
    </w:p>
    <w:p>
      <w:pPr>
        <w:pStyle w:val="Heading2"/>
        <w:spacing w:before="140" w:after="80"/>
        <w:keepNext/>
      </w:pPr>
      <w:r>
        <w:rPr>
          <w:rFonts w:ascii="Arial" w:hAnsi="Arial" w:eastAsia="Arial"/>
          <w:b/>
          <w:color w:val="159C9C"/>
          <w:sz w:val="26"/>
        </w:rPr>
        <w:t>The Two-Answer Showdown</w:t>
      </w:r>
    </w:p>
    <w:p>
      <w:pPr>
        <w:spacing w:before="0" w:after="100" w:line="254" w:lineRule="auto"/>
      </w:pPr>
      <w:r>
        <w:rPr>
          <w:rFonts w:ascii="Arial" w:hAnsi="Arial" w:eastAsia="Arial"/>
          <w:b w:val="0"/>
          <w:i w:val="0"/>
          <w:color w:val="1F2937"/>
          <w:sz w:val="20"/>
        </w:rPr>
        <w:t>When two options remain, stop rereading every detail. Compare the finalists using the criteria below. The best answer usually wins on several dimensions at once.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489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Criterion</w:t>
            </w:r>
          </w:p>
        </w:tc>
        <w:tc>
          <w:tcPr>
            <w:tcW w:type="dxa" w:w="280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Finalist A</w:t>
            </w:r>
          </w:p>
        </w:tc>
        <w:tc>
          <w:tcPr>
            <w:tcW w:type="dxa" w:w="280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Finalist B</w:t>
            </w:r>
          </w:p>
        </w:tc>
      </w:tr>
      <w:tr>
        <w:trPr>
          <w:cantSplit/>
        </w:trPr>
        <w:tc>
          <w:tcPr>
            <w:tcW w:type="dxa" w:w="48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Answers the exact qualifier?</w:t>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48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Fits the current case section?</w:t>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48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Supported by stated facts?</w:t>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48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Addresses the controlling priority?</w:t>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48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Within counselor role and competence?</w:t>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48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Includes client/culture/context appropriately?</w:t>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48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Least assumptive and proportionate?</w:t>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48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Advances rather than repeats the sequence?</w:t>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28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p>
      <w:pPr>
        <w:pStyle w:val="Heading2"/>
        <w:spacing w:before="140" w:after="80"/>
        <w:keepNext/>
      </w:pPr>
      <w:r>
        <w:rPr>
          <w:rFonts w:ascii="Arial" w:hAnsi="Arial" w:eastAsia="Arial"/>
          <w:b/>
          <w:color w:val="159C9C"/>
          <w:sz w:val="26"/>
        </w:rPr>
        <w:t>Current-Exam Pacing</w:t>
      </w:r>
    </w:p>
    <w:p>
      <w:pPr>
        <w:spacing w:before="0" w:after="100" w:line="254" w:lineRule="auto"/>
      </w:pPr>
      <w:r>
        <w:rPr>
          <w:rFonts w:ascii="Arial" w:hAnsi="Arial" w:eastAsia="Arial"/>
          <w:b w:val="0"/>
          <w:i w:val="0"/>
          <w:color w:val="1F2937"/>
          <w:sz w:val="20"/>
        </w:rPr>
        <w:t>The current exam provides 225 minutes for 11 cases, an average of about 20.5 minutes per case. Cases vary from 9 to 15 questions, so a fixed per-question pace is less useful than a case-level plan. Your objective is to complete each section carefully enough to review before it locks, while preventing one difficult question from consuming the time needed for the rest of the case.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2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Pacing Moment</w:t>
            </w:r>
          </w:p>
        </w:tc>
        <w:tc>
          <w:tcPr>
            <w:tcW w:type="dxa" w:w="82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Recommended Candidate Behavior</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Start of case</w:t>
            </w:r>
          </w:p>
        </w:tc>
        <w:tc>
          <w:tcPr>
            <w:tcW w:type="dxa" w:w="82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Read demographics, setting, modality, presenting concern, and provisional information. Then read the first question’s task.</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Straightforward item</w:t>
            </w:r>
          </w:p>
        </w:tc>
        <w:tc>
          <w:tcPr>
            <w:tcW w:type="dxa" w:w="82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Answer and continue. Do not create complexity that is not in the facts.</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Uncertain item</w:t>
            </w:r>
          </w:p>
        </w:tc>
        <w:tc>
          <w:tcPr>
            <w:tcW w:type="dxa" w:w="82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Eliminate, choose the best remaining answer, and flag if the interface permits.</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End of section</w:t>
            </w:r>
          </w:p>
        </w:tc>
        <w:tc>
          <w:tcPr>
            <w:tcW w:type="dxa" w:w="82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Review unanswered and flagged items before selecting CONTINUE.</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End of case</w:t>
            </w:r>
          </w:p>
        </w:tc>
        <w:tc>
          <w:tcPr>
            <w:tcW w:type="dxa" w:w="82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Reset. Do not carry emotional certainty from the prior case into the next one.</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Scheduled break</w:t>
            </w:r>
          </w:p>
        </w:tc>
        <w:tc>
          <w:tcPr>
            <w:tcW w:type="dxa" w:w="82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Use the break after Case 5 to hydrate, breathe, and reset attention.</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Final cases</w:t>
            </w:r>
          </w:p>
        </w:tc>
        <w:tc>
          <w:tcPr>
            <w:tcW w:type="dxa" w:w="82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Protect enough time for all remaining cases; do not chase perfection on one item.</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ANSWER-CHANGE RULE</w:t>
            </w:r>
          </w:p>
          <w:p>
            <w:pPr>
              <w:spacing w:after="20" w:line="250" w:lineRule="auto"/>
            </w:pPr>
            <w:r>
              <w:rPr>
                <w:rFonts w:ascii="Arial" w:hAnsi="Arial" w:eastAsia="Arial"/>
                <w:color w:val="1F2937"/>
                <w:sz w:val="20"/>
              </w:rPr>
              <w:t>Change an answer only when you identify a concrete reason: you misread the qualifier, overlooked a case fact, recognized a stage-of-care error, or recalled a controlling principle. Do not change solely because the second choice feels more sophisticated.</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REMEMBER: ANSWER EVERY QUESTION</w:t>
            </w:r>
          </w:p>
          <w:p>
            <w:pPr>
              <w:spacing w:after="20" w:line="250" w:lineRule="auto"/>
            </w:pPr>
            <w:r>
              <w:rPr>
                <w:rFonts w:ascii="Arial" w:hAnsi="Arial" w:eastAsia="Arial"/>
                <w:color w:val="1F2937"/>
                <w:sz w:val="20"/>
              </w:rPr>
              <w:t>The current handbook states there is no penalty for guessing. Before advancing, replace every blank with the best supported choice.</w:t>
            </w:r>
          </w:p>
        </w:tc>
      </w:tr>
    </w:tbl>
    <w:p>
      <w:pPr>
        <w:spacing w:after="0"/>
      </w:pPr>
    </w:p>
    <w:p>
      <w:pPr>
        <w:pStyle w:val="Heading2"/>
        <w:spacing w:before="140" w:after="80"/>
        <w:keepNext/>
      </w:pPr>
      <w:r>
        <w:rPr>
          <w:rFonts w:ascii="Arial" w:hAnsi="Arial" w:eastAsia="Arial"/>
          <w:b/>
          <w:color w:val="159C9C"/>
          <w:sz w:val="26"/>
        </w:rPr>
        <w:t>Current vs. 2027 Review Strategy</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37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Version</w:t>
            </w:r>
          </w:p>
        </w:tc>
        <w:tc>
          <w:tcPr>
            <w:tcW w:type="dxa" w:w="352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Review Boundary</w:t>
            </w:r>
          </w:p>
        </w:tc>
        <w:tc>
          <w:tcPr>
            <w:tcW w:type="dxa" w:w="460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Candidate Strategy</w:t>
            </w:r>
          </w:p>
        </w:tc>
      </w:tr>
      <w:tr>
        <w:trPr>
          <w:cantSplit/>
        </w:trPr>
        <w:tc>
          <w:tcPr>
            <w:tcW w:type="dxa" w:w="23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Current</w:t>
            </w:r>
          </w:p>
        </w:tc>
        <w:tc>
          <w:tcPr>
            <w:tcW w:type="dxa" w:w="35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Each case section before advancing.</w:t>
            </w:r>
          </w:p>
        </w:tc>
        <w:tc>
          <w:tcPr>
            <w:tcW w:type="dxa" w:w="46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Review locally and deliberately; once you continue, the prior section cannot be changed.</w:t>
            </w:r>
          </w:p>
        </w:tc>
      </w:tr>
      <w:tr>
        <w:trPr>
          <w:cantSplit/>
        </w:trPr>
        <w:tc>
          <w:tcPr>
            <w:tcW w:type="dxa" w:w="23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Effective July 1, 2027</w:t>
            </w:r>
          </w:p>
        </w:tc>
        <w:tc>
          <w:tcPr>
            <w:tcW w:type="dxa" w:w="352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Each half of the examination before submission.</w:t>
            </w:r>
          </w:p>
        </w:tc>
        <w:tc>
          <w:tcPr>
            <w:tcW w:type="dxa" w:w="46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Use half-exam flagging and review; once the half is submitted and the break begins, no return.</w:t>
            </w:r>
          </w:p>
        </w:tc>
      </w:tr>
    </w:tbl>
    <w:p>
      <w:pPr>
        <w:spacing w:after="0"/>
      </w:pPr>
    </w:p>
    <w:p>
      <w:pPr>
        <w:pStyle w:val="Heading2"/>
        <w:spacing w:before="140" w:after="80"/>
        <w:keepNext/>
      </w:pPr>
      <w:r>
        <w:rPr>
          <w:rFonts w:ascii="Arial" w:hAnsi="Arial" w:eastAsia="Arial"/>
          <w:b/>
          <w:color w:val="159C9C"/>
          <w:sz w:val="26"/>
        </w:rPr>
        <w:t>Exam-Day Decision Reset</w:t>
      </w:r>
    </w:p>
    <w:p>
      <w:pPr>
        <w:pStyle w:val="ListBullet"/>
        <w:spacing w:after="50" w:line="250" w:lineRule="auto"/>
        <w:keepLines/>
      </w:pPr>
      <w:r>
        <w:rPr>
          <w:rFonts w:ascii="Arial" w:hAnsi="Arial" w:eastAsia="Arial"/>
          <w:color w:val="1F2937"/>
          <w:sz w:val="20"/>
        </w:rPr>
        <w:t>Exhale and reread the final sentence.</w:t>
      </w:r>
    </w:p>
    <w:p>
      <w:pPr>
        <w:pStyle w:val="ListBullet"/>
        <w:spacing w:after="50" w:line="250" w:lineRule="auto"/>
        <w:keepLines/>
      </w:pPr>
      <w:r>
        <w:rPr>
          <w:rFonts w:ascii="Arial" w:hAnsi="Arial" w:eastAsia="Arial"/>
          <w:color w:val="1F2937"/>
          <w:sz w:val="20"/>
        </w:rPr>
        <w:t>Name the task word.</w:t>
      </w:r>
    </w:p>
    <w:p>
      <w:pPr>
        <w:pStyle w:val="ListBullet"/>
        <w:spacing w:after="50" w:line="250" w:lineRule="auto"/>
        <w:keepLines/>
      </w:pPr>
      <w:r>
        <w:rPr>
          <w:rFonts w:ascii="Arial" w:hAnsi="Arial" w:eastAsia="Arial"/>
          <w:color w:val="1F2937"/>
          <w:sz w:val="20"/>
        </w:rPr>
        <w:t>Identify the case section and what has already happened.</w:t>
      </w:r>
    </w:p>
    <w:p>
      <w:pPr>
        <w:pStyle w:val="ListBullet"/>
        <w:spacing w:after="50" w:line="250" w:lineRule="auto"/>
        <w:keepLines/>
      </w:pPr>
      <w:r>
        <w:rPr>
          <w:rFonts w:ascii="Arial" w:hAnsi="Arial" w:eastAsia="Arial"/>
          <w:color w:val="1F2937"/>
          <w:sz w:val="20"/>
        </w:rPr>
        <w:t>Check SAFER priorities.</w:t>
      </w:r>
    </w:p>
    <w:p>
      <w:pPr>
        <w:pStyle w:val="ListBullet"/>
        <w:spacing w:after="50" w:line="250" w:lineRule="auto"/>
        <w:keepLines/>
      </w:pPr>
      <w:r>
        <w:rPr>
          <w:rFonts w:ascii="Arial" w:hAnsi="Arial" w:eastAsia="Arial"/>
          <w:color w:val="1F2937"/>
          <w:sz w:val="20"/>
        </w:rPr>
        <w:t>Eliminate assumptions and wrong-timing options.</w:t>
      </w:r>
    </w:p>
    <w:p>
      <w:pPr>
        <w:pStyle w:val="ListBullet"/>
        <w:spacing w:after="50" w:line="250" w:lineRule="auto"/>
        <w:keepLines/>
      </w:pPr>
      <w:r>
        <w:rPr>
          <w:rFonts w:ascii="Arial" w:hAnsi="Arial" w:eastAsia="Arial"/>
          <w:color w:val="1F2937"/>
          <w:sz w:val="20"/>
        </w:rPr>
        <w:t>Choose, review if appropriate, and move forward.</w:t>
      </w:r>
    </w:p>
    <w:p>
      <w:pPr>
        <w:pStyle w:val="Heading2"/>
        <w:spacing w:before="140" w:after="80"/>
        <w:keepNext/>
      </w:pPr>
      <w:r>
        <w:rPr>
          <w:rFonts w:ascii="Arial" w:hAnsi="Arial" w:eastAsia="Arial"/>
          <w:b/>
          <w:color w:val="159C9C"/>
          <w:sz w:val="26"/>
        </w:rPr>
        <w:t>Chapter 4 Summary</w:t>
      </w:r>
    </w:p>
    <w:p>
      <w:pPr>
        <w:pStyle w:val="ListBullet"/>
        <w:spacing w:after="50" w:line="250" w:lineRule="auto"/>
        <w:keepLines/>
      </w:pPr>
      <w:r>
        <w:rPr>
          <w:rFonts w:ascii="Arial" w:hAnsi="Arial" w:eastAsia="Arial"/>
          <w:color w:val="1F2937"/>
          <w:sz w:val="20"/>
        </w:rPr>
        <w:t>Most distractors are plausible but mistimed, unsupported, disproportionate, or outside role.</w:t>
      </w:r>
    </w:p>
    <w:p>
      <w:pPr>
        <w:pStyle w:val="ListBullet"/>
        <w:spacing w:after="50" w:line="250" w:lineRule="auto"/>
        <w:keepLines/>
      </w:pPr>
      <w:r>
        <w:rPr>
          <w:rFonts w:ascii="Arial" w:hAnsi="Arial" w:eastAsia="Arial"/>
          <w:color w:val="1F2937"/>
          <w:sz w:val="20"/>
        </w:rPr>
        <w:t>Use the Two-Answer Showdown instead of repeatedly rereading the entire vignette.</w:t>
      </w:r>
    </w:p>
    <w:p>
      <w:pPr>
        <w:pStyle w:val="ListBullet"/>
        <w:spacing w:after="50" w:line="250" w:lineRule="auto"/>
        <w:keepLines/>
      </w:pPr>
      <w:r>
        <w:rPr>
          <w:rFonts w:ascii="Arial" w:hAnsi="Arial" w:eastAsia="Arial"/>
          <w:color w:val="1F2937"/>
          <w:sz w:val="20"/>
        </w:rPr>
        <w:t>Pace by case and section, not by a rigid seconds-per-question rule.</w:t>
      </w:r>
    </w:p>
    <w:p>
      <w:pPr>
        <w:pStyle w:val="ListBullet"/>
        <w:spacing w:after="50" w:line="250" w:lineRule="auto"/>
        <w:keepLines/>
      </w:pPr>
      <w:r>
        <w:rPr>
          <w:rFonts w:ascii="Arial" w:hAnsi="Arial" w:eastAsia="Arial"/>
          <w:color w:val="1F2937"/>
          <w:sz w:val="20"/>
        </w:rPr>
        <w:t>Review before the applicable lock point and answer every question.</w:t>
      </w:r>
    </w:p>
    <w:p>
      <w:pPr>
        <w:pStyle w:val="ListBullet"/>
        <w:spacing w:after="50" w:line="250" w:lineRule="auto"/>
        <w:keepLines/>
      </w:pPr>
      <w:r>
        <w:rPr>
          <w:rFonts w:ascii="Arial" w:hAnsi="Arial" w:eastAsia="Arial"/>
          <w:color w:val="1F2937"/>
          <w:sz w:val="20"/>
        </w:rPr>
        <w:t>Change an answer only for a specific, evidence-based reason.</w:t>
      </w:r>
    </w:p>
    <w:p>
      <w:r>
        <w:br w:type="page"/>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5</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Rationale Review, Error Coding, and Readiness</w:t>
            </w:r>
          </w:p>
        </w:tc>
      </w:tr>
    </w:tbl>
    <w:p>
      <w:pPr>
        <w:spacing w:before="100" w:after="180"/>
      </w:pPr>
      <w:r>
        <w:rPr>
          <w:rFonts w:ascii="Arial" w:hAnsi="Arial" w:eastAsia="Arial"/>
          <w:i/>
          <w:color w:val="4E5B6B"/>
          <w:sz w:val="21"/>
        </w:rPr>
        <w:t>The purpose of practice is not to collect scores. It is to identify repeatable reasoning errors and correct them.</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CHAPTER BIG IDEA</w:t>
            </w:r>
          </w:p>
          <w:p>
            <w:pPr>
              <w:spacing w:after="20" w:line="250" w:lineRule="auto"/>
            </w:pPr>
            <w:r>
              <w:rPr>
                <w:rFonts w:ascii="Arial" w:hAnsi="Arial" w:eastAsia="Arial"/>
                <w:color w:val="1F2937"/>
                <w:sz w:val="20"/>
              </w:rPr>
              <w:t>A missed question becomes valuable when you can name the error, write the corrected rule, and apply it to a new case.</w:t>
            </w:r>
          </w:p>
        </w:tc>
      </w:tr>
    </w:tbl>
    <w:p>
      <w:pPr>
        <w:spacing w:after="0"/>
      </w:pPr>
    </w:p>
    <w:p>
      <w:pPr>
        <w:pStyle w:val="Heading2"/>
        <w:spacing w:before="140" w:after="80"/>
        <w:keepNext/>
      </w:pPr>
      <w:r>
        <w:rPr>
          <w:rFonts w:ascii="Arial" w:hAnsi="Arial" w:eastAsia="Arial"/>
          <w:b/>
          <w:color w:val="159C9C"/>
          <w:sz w:val="26"/>
        </w:rPr>
        <w:t>How to Review a Rationale</w:t>
      </w:r>
    </w:p>
    <w:p>
      <w:pPr>
        <w:spacing w:after="60" w:line="250" w:lineRule="auto"/>
        <w:keepLines/>
      </w:pPr>
      <w:r>
        <w:rPr>
          <w:rFonts w:ascii="Arial" w:hAnsi="Arial" w:eastAsia="Arial"/>
          <w:b/>
          <w:color w:val="17365D"/>
          <w:sz w:val="20"/>
        </w:rPr>
        <w:t xml:space="preserve">1.  </w:t>
      </w:r>
      <w:r>
        <w:rPr>
          <w:rFonts w:ascii="Arial" w:hAnsi="Arial" w:eastAsia="Arial"/>
          <w:sz w:val="20"/>
        </w:rPr>
        <w:t>Restate the exact task word and what the item required.</w:t>
      </w:r>
    </w:p>
    <w:p>
      <w:pPr>
        <w:spacing w:after="60" w:line="250" w:lineRule="auto"/>
        <w:keepLines/>
      </w:pPr>
      <w:r>
        <w:rPr>
          <w:rFonts w:ascii="Arial" w:hAnsi="Arial" w:eastAsia="Arial"/>
          <w:b/>
          <w:color w:val="17365D"/>
          <w:sz w:val="20"/>
        </w:rPr>
        <w:t xml:space="preserve">2.  </w:t>
      </w:r>
      <w:r>
        <w:rPr>
          <w:rFonts w:ascii="Arial" w:hAnsi="Arial" w:eastAsia="Arial"/>
          <w:sz w:val="20"/>
        </w:rPr>
        <w:t>Explain why the keyed option fits the current case section, available evidence, counselor role, and priority.</w:t>
      </w:r>
    </w:p>
    <w:p>
      <w:pPr>
        <w:spacing w:after="60" w:line="250" w:lineRule="auto"/>
        <w:keepLines/>
      </w:pPr>
      <w:r>
        <w:rPr>
          <w:rFonts w:ascii="Arial" w:hAnsi="Arial" w:eastAsia="Arial"/>
          <w:b/>
          <w:color w:val="17365D"/>
          <w:sz w:val="20"/>
        </w:rPr>
        <w:t xml:space="preserve">3.  </w:t>
      </w:r>
      <w:r>
        <w:rPr>
          <w:rFonts w:ascii="Arial" w:hAnsi="Arial" w:eastAsia="Arial"/>
          <w:sz w:val="20"/>
        </w:rPr>
        <w:t>Explain why each distractor is weaker. Name timing, assumption, scope, theory, culture, or proportionality when relevant.</w:t>
      </w:r>
    </w:p>
    <w:p>
      <w:pPr>
        <w:spacing w:after="60" w:line="250" w:lineRule="auto"/>
        <w:keepLines/>
      </w:pPr>
      <w:r>
        <w:rPr>
          <w:rFonts w:ascii="Arial" w:hAnsi="Arial" w:eastAsia="Arial"/>
          <w:b/>
          <w:color w:val="17365D"/>
          <w:sz w:val="20"/>
        </w:rPr>
        <w:t xml:space="preserve">4.  </w:t>
      </w:r>
      <w:r>
        <w:rPr>
          <w:rFonts w:ascii="Arial" w:hAnsi="Arial" w:eastAsia="Arial"/>
          <w:sz w:val="20"/>
        </w:rPr>
        <w:t>Record both incorrect answers and low-confidence correct answers. A lucky answer is fragile knowledge.</w:t>
      </w:r>
    </w:p>
    <w:p>
      <w:pPr>
        <w:spacing w:after="60" w:line="250" w:lineRule="auto"/>
        <w:keepLines/>
      </w:pPr>
      <w:r>
        <w:rPr>
          <w:rFonts w:ascii="Arial" w:hAnsi="Arial" w:eastAsia="Arial"/>
          <w:b/>
          <w:color w:val="17365D"/>
          <w:sz w:val="20"/>
        </w:rPr>
        <w:t xml:space="preserve">5.  </w:t>
      </w:r>
      <w:r>
        <w:rPr>
          <w:rFonts w:ascii="Arial" w:hAnsi="Arial" w:eastAsia="Arial"/>
          <w:sz w:val="20"/>
        </w:rPr>
        <w:t>Write one short correction rule that can transfer to a new case.</w:t>
      </w:r>
    </w:p>
    <w:p>
      <w:pPr>
        <w:spacing w:after="60" w:line="250" w:lineRule="auto"/>
        <w:keepLines/>
      </w:pPr>
      <w:r>
        <w:rPr>
          <w:rFonts w:ascii="Arial" w:hAnsi="Arial" w:eastAsia="Arial"/>
          <w:b/>
          <w:color w:val="17365D"/>
          <w:sz w:val="20"/>
        </w:rPr>
        <w:t xml:space="preserve">6.  </w:t>
      </w:r>
      <w:r>
        <w:rPr>
          <w:rFonts w:ascii="Arial" w:hAnsi="Arial" w:eastAsia="Arial"/>
          <w:sz w:val="20"/>
        </w:rPr>
        <w:t>Return to the exact workbook section or quick-reference sheet, then complete a different application item.</w:t>
      </w:r>
    </w:p>
    <w:p>
      <w:pPr>
        <w:pStyle w:val="Heading2"/>
        <w:spacing w:before="140" w:after="80"/>
        <w:keepNext/>
      </w:pPr>
      <w:r>
        <w:rPr>
          <w:rFonts w:ascii="Arial" w:hAnsi="Arial" w:eastAsia="Arial"/>
          <w:b/>
          <w:color w:val="159C9C"/>
          <w:sz w:val="26"/>
        </w:rPr>
        <w:t>CTA LPCC Error Codes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79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Code</w:t>
            </w:r>
          </w:p>
        </w:tc>
        <w:tc>
          <w:tcPr>
            <w:tcW w:type="dxa" w:w="32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Error Type</w:t>
            </w:r>
          </w:p>
        </w:tc>
        <w:tc>
          <w:tcPr>
            <w:tcW w:type="dxa" w:w="64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Correction Question</w:t>
            </w:r>
          </w:p>
        </w:tc>
      </w:tr>
      <w:tr>
        <w:trPr>
          <w:cantSplit/>
        </w:trPr>
        <w:tc>
          <w:tcPr>
            <w:tcW w:type="dxa" w:w="7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w:t>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Task / qualifier</w:t>
            </w:r>
          </w:p>
        </w:tc>
        <w:tc>
          <w:tcPr>
            <w:tcW w:type="dxa" w:w="64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I answer FIRST, NEXT, BEST, PRIMARY, or MOST LIKELY as asked?</w:t>
            </w:r>
          </w:p>
        </w:tc>
      </w:tr>
      <w:tr>
        <w:trPr>
          <w:cantSplit/>
        </w:trPr>
        <w:tc>
          <w:tcPr>
            <w:tcW w:type="dxa" w:w="7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w:t>
            </w:r>
          </w:p>
        </w:tc>
        <w:tc>
          <w:tcPr>
            <w:tcW w:type="dxa" w:w="32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Evidence / assumption</w:t>
            </w:r>
          </w:p>
        </w:tc>
        <w:tc>
          <w:tcPr>
            <w:tcW w:type="dxa" w:w="64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I use only available facts and avoid inventing information?</w:t>
            </w:r>
          </w:p>
        </w:tc>
      </w:tr>
      <w:tr>
        <w:trPr>
          <w:cantSplit/>
        </w:trPr>
        <w:tc>
          <w:tcPr>
            <w:tcW w:type="dxa" w:w="7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w:t>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Sequence / timing</w:t>
            </w:r>
          </w:p>
        </w:tc>
        <w:tc>
          <w:tcPr>
            <w:tcW w:type="dxa" w:w="64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I skip a step, repeat a completed step, or act too late?</w:t>
            </w:r>
          </w:p>
        </w:tc>
      </w:tr>
      <w:tr>
        <w:trPr>
          <w:cantSplit/>
        </w:trPr>
        <w:tc>
          <w:tcPr>
            <w:tcW w:type="dxa" w:w="7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w:t>
            </w:r>
          </w:p>
        </w:tc>
        <w:tc>
          <w:tcPr>
            <w:tcW w:type="dxa" w:w="32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Risk / safety / duty</w:t>
            </w:r>
          </w:p>
        </w:tc>
        <w:tc>
          <w:tcPr>
            <w:tcW w:type="dxa" w:w="64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I recognize or overstate the controlling urgency or duty?</w:t>
            </w:r>
          </w:p>
        </w:tc>
      </w:tr>
      <w:tr>
        <w:trPr>
          <w:cantSplit/>
        </w:trPr>
        <w:tc>
          <w:tcPr>
            <w:tcW w:type="dxa" w:w="7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w:t>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Professional role / scope</w:t>
            </w:r>
          </w:p>
        </w:tc>
        <w:tc>
          <w:tcPr>
            <w:tcW w:type="dxa" w:w="64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Was the action within counselor role, competence, consent, and authority?</w:t>
            </w:r>
          </w:p>
        </w:tc>
      </w:tr>
      <w:tr>
        <w:trPr>
          <w:cantSplit/>
        </w:trPr>
        <w:tc>
          <w:tcPr>
            <w:tcW w:type="dxa" w:w="7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w:t>
            </w:r>
          </w:p>
        </w:tc>
        <w:tc>
          <w:tcPr>
            <w:tcW w:type="dxa" w:w="32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Assessment / diagnosis</w:t>
            </w:r>
          </w:p>
        </w:tc>
        <w:tc>
          <w:tcPr>
            <w:tcW w:type="dxa" w:w="64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Was the conclusion supported by duration, pattern, impairment, exclusions, and context?</w:t>
            </w:r>
          </w:p>
        </w:tc>
      </w:tr>
      <w:tr>
        <w:trPr>
          <w:cantSplit/>
        </w:trPr>
        <w:tc>
          <w:tcPr>
            <w:tcW w:type="dxa" w:w="7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w:t>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Intervention / theory fit</w:t>
            </w:r>
          </w:p>
        </w:tc>
        <w:tc>
          <w:tcPr>
            <w:tcW w:type="dxa" w:w="64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the intervention match the formulation, goal, readiness, and modality?</w:t>
            </w:r>
          </w:p>
        </w:tc>
      </w:tr>
      <w:tr>
        <w:trPr>
          <w:cantSplit/>
        </w:trPr>
        <w:tc>
          <w:tcPr>
            <w:tcW w:type="dxa" w:w="7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w:t>
            </w:r>
          </w:p>
        </w:tc>
        <w:tc>
          <w:tcPr>
            <w:tcW w:type="dxa" w:w="32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Culture / context / client voice</w:t>
            </w:r>
          </w:p>
        </w:tc>
        <w:tc>
          <w:tcPr>
            <w:tcW w:type="dxa" w:w="64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I include development, identity, access, meaning, preference, and power?</w:t>
            </w:r>
          </w:p>
        </w:tc>
      </w:tr>
      <w:tr>
        <w:trPr>
          <w:cantSplit/>
        </w:trPr>
        <w:tc>
          <w:tcPr>
            <w:tcW w:type="dxa" w:w="7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w:t>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Distractor / pacing</w:t>
            </w:r>
          </w:p>
        </w:tc>
        <w:tc>
          <w:tcPr>
            <w:tcW w:type="dxa" w:w="64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Was I pulled by wording, length, absolutes, familiarity, or time pressure?</w:t>
            </w:r>
          </w:p>
        </w:tc>
      </w:tr>
      <w:tr>
        <w:trPr>
          <w:cantSplit/>
        </w:trPr>
        <w:tc>
          <w:tcPr>
            <w:tcW w:type="dxa" w:w="7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K</w:t>
            </w:r>
          </w:p>
        </w:tc>
        <w:tc>
          <w:tcPr>
            <w:tcW w:type="dxa" w:w="32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Knowledge gap</w:t>
            </w:r>
          </w:p>
        </w:tc>
        <w:tc>
          <w:tcPr>
            <w:tcW w:type="dxa" w:w="64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Which specific fact, theory, diagnosis, or professional standard must I review?</w:t>
            </w:r>
          </w:p>
        </w:tc>
      </w:tr>
    </w:tbl>
    <w:p>
      <w:pPr>
        <w:spacing w:after="0"/>
      </w:pPr>
    </w:p>
    <w:p>
      <w:pPr>
        <w:pStyle w:val="Heading2"/>
        <w:spacing w:before="140" w:after="80"/>
        <w:keepNext/>
      </w:pPr>
      <w:r>
        <w:rPr>
          <w:rFonts w:ascii="Arial" w:hAnsi="Arial" w:eastAsia="Arial"/>
          <w:b/>
          <w:color w:val="159C9C"/>
          <w:sz w:val="26"/>
        </w:rPr>
        <w:t>Error Log and Remediation Planner</w:t>
      </w:r>
    </w:p>
    <w:tbl>
      <w:tblPr>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cantSplit/>
        </w:trPr>
        <w:tc>
          <w:tcPr>
            <w:tcW w:type="dxa" w:w="14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Item / Case</w:t>
            </w:r>
          </w:p>
        </w:tc>
        <w:tc>
          <w:tcPr>
            <w:tcW w:type="dxa" w:w="158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My Answer / Key</w:t>
            </w:r>
          </w:p>
        </w:tc>
        <w:tc>
          <w:tcPr>
            <w:tcW w:type="dxa" w:w="10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Confidence</w:t>
            </w:r>
          </w:p>
        </w:tc>
        <w:tc>
          <w:tcPr>
            <w:tcW w:type="dxa" w:w="10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Error Code</w:t>
            </w:r>
          </w:p>
        </w:tc>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Corrected Rule</w:t>
            </w:r>
          </w:p>
        </w:tc>
        <w:tc>
          <w:tcPr>
            <w:tcW w:type="dxa" w:w="24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5"/>
              </w:rPr>
              <w:t>Remediation Action</w:t>
            </w:r>
          </w:p>
        </w:tc>
      </w:tr>
      <w:tr>
        <w:trPr>
          <w:cantSplit/>
        </w:trPr>
        <w:tc>
          <w:tcPr>
            <w:tcW w:type="dxa" w:w="14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0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0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r>
      <w:tr>
        <w:trPr>
          <w:cantSplit/>
        </w:trPr>
        <w:tc>
          <w:tcPr>
            <w:tcW w:type="dxa" w:w="14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0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0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r>
      <w:tr>
        <w:trPr>
          <w:cantSplit/>
        </w:trPr>
        <w:tc>
          <w:tcPr>
            <w:tcW w:type="dxa" w:w="14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0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0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r>
      <w:tr>
        <w:trPr>
          <w:cantSplit/>
        </w:trPr>
        <w:tc>
          <w:tcPr>
            <w:tcW w:type="dxa" w:w="14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0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0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r>
      <w:tr>
        <w:trPr>
          <w:cantSplit/>
        </w:trPr>
        <w:tc>
          <w:tcPr>
            <w:tcW w:type="dxa" w:w="14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0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0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r>
      <w:tr>
        <w:trPr>
          <w:cantSplit/>
        </w:trPr>
        <w:tc>
          <w:tcPr>
            <w:tcW w:type="dxa" w:w="14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0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10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5"/>
              </w:rPr>
            </w:r>
          </w:p>
        </w:tc>
      </w:tr>
    </w:tbl>
    <w:p>
      <w:pPr>
        <w:spacing w:after="0"/>
      </w:pPr>
    </w:p>
    <w:p>
      <w:pPr>
        <w:pStyle w:val="Heading2"/>
        <w:spacing w:before="140" w:after="80"/>
        <w:keepNext/>
      </w:pPr>
      <w:r>
        <w:rPr>
          <w:rFonts w:ascii="Arial" w:hAnsi="Arial" w:eastAsia="Arial"/>
          <w:b/>
          <w:color w:val="159C9C"/>
          <w:sz w:val="26"/>
        </w:rPr>
        <w:t>Readiness Evidence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09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Level</w:t>
            </w:r>
          </w:p>
        </w:tc>
        <w:tc>
          <w:tcPr>
            <w:tcW w:type="dxa" w:w="741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Evidence</w:t>
            </w:r>
          </w:p>
        </w:tc>
      </w:tr>
      <w:tr>
        <w:trPr>
          <w:cantSplit/>
        </w:trPr>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Needs foundation</w:t>
            </w:r>
          </w:p>
        </w:tc>
        <w:tc>
          <w:tcPr>
            <w:tcW w:type="dxa" w:w="74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Core terms, exam structure, and sequence are not yet reliable.</w:t>
            </w:r>
          </w:p>
        </w:tc>
      </w:tr>
      <w:tr>
        <w:trPr>
          <w:cantSplit/>
        </w:trPr>
        <w:tc>
          <w:tcPr>
            <w:tcW w:type="dxa" w:w="30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Developing</w:t>
            </w:r>
          </w:p>
        </w:tc>
        <w:tc>
          <w:tcPr>
            <w:tcW w:type="dxa" w:w="741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candidate can explain the rule but applies it inconsistently.</w:t>
            </w:r>
          </w:p>
        </w:tc>
      </w:tr>
      <w:tr>
        <w:trPr>
          <w:cantSplit/>
        </w:trPr>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Progressing</w:t>
            </w:r>
          </w:p>
        </w:tc>
        <w:tc>
          <w:tcPr>
            <w:tcW w:type="dxa" w:w="74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candidate usually applies the rule and can explain errors after review.</w:t>
            </w:r>
          </w:p>
        </w:tc>
      </w:tr>
      <w:tr>
        <w:trPr>
          <w:cantSplit/>
        </w:trPr>
        <w:tc>
          <w:tcPr>
            <w:tcW w:type="dxa" w:w="30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Consistent</w:t>
            </w:r>
          </w:p>
        </w:tc>
        <w:tc>
          <w:tcPr>
            <w:tcW w:type="dxa" w:w="741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candidate independently applies the rule across unfamiliar cases and explains why distractors are weaker.</w:t>
            </w:r>
          </w:p>
        </w:tc>
      </w:tr>
      <w:tr>
        <w:trPr>
          <w:cantSplit/>
        </w:trPr>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Ready for controlled simulation</w:t>
            </w:r>
          </w:p>
        </w:tc>
        <w:tc>
          <w:tcPr>
            <w:tcW w:type="dxa" w:w="74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Content, pacing, confidence, and error patterns meet the program readiness gate.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FCE8E6"/>
            <w:tcBorders>
              <w:top w:val="single" w:sz="10" w:color="B94A48"/>
              <w:left w:val="single" w:sz="10" w:color="B94A48"/>
              <w:bottom w:val="single" w:sz="10" w:color="B94A48"/>
              <w:right w:val="single" w:sz="10" w:color="B94A48"/>
            </w:tcBorders>
            <w:tcMar>
              <w:top w:w="110" w:type="dxa"/>
              <w:start w:w="140" w:type="dxa"/>
              <w:bottom w:w="110" w:type="dxa"/>
              <w:end w:w="140" w:type="dxa"/>
            </w:tcMar>
          </w:tcPr>
          <w:p>
            <w:pPr>
              <w:spacing w:after="60"/>
            </w:pPr>
            <w:r>
              <w:rPr>
                <w:rFonts w:ascii="Arial" w:hAnsi="Arial" w:eastAsia="Arial"/>
                <w:b/>
                <w:color w:val="8B1E1E"/>
                <w:sz w:val="21"/>
              </w:rPr>
              <w:t>COMMON TRAP: CHASING A GUARANTEED SCORE</w:t>
            </w:r>
          </w:p>
          <w:p>
            <w:pPr>
              <w:spacing w:after="20" w:line="250" w:lineRule="auto"/>
            </w:pPr>
            <w:r>
              <w:rPr>
                <w:rFonts w:ascii="Arial" w:hAnsi="Arial" w:eastAsia="Arial"/>
                <w:color w:val="1F2937"/>
                <w:sz w:val="20"/>
              </w:rPr>
              <w:t>The NCMHCE uses equating, and the 2027 version uses scaled scoring. CTA practice scores support readiness decisions; they do not create an official passing cutoff or guarantee passage.</w:t>
            </w:r>
          </w:p>
        </w:tc>
      </w:tr>
    </w:tbl>
    <w:p>
      <w:pPr>
        <w:spacing w:after="0"/>
      </w:pPr>
    </w:p>
    <w:p>
      <w:pPr>
        <w:pStyle w:val="Heading2"/>
        <w:spacing w:before="140" w:after="80"/>
        <w:keepNext/>
      </w:pPr>
      <w:r>
        <w:rPr>
          <w:rFonts w:ascii="Arial" w:hAnsi="Arial" w:eastAsia="Arial"/>
          <w:b/>
          <w:color w:val="159C9C"/>
          <w:sz w:val="26"/>
        </w:rPr>
        <w:t>Workbook 1 Completion Check</w:t>
      </w:r>
    </w:p>
    <w:p>
      <w:pPr>
        <w:spacing w:after="40"/>
      </w:pPr>
      <w:r>
        <w:rPr>
          <w:rFonts w:ascii="Arial" w:hAnsi="Arial" w:eastAsia="Arial"/>
          <w:sz w:val="20"/>
        </w:rPr>
        <w:t>☐ I can explain the current 11-case structure without looking it up.</w:t>
      </w:r>
    </w:p>
    <w:p>
      <w:pPr>
        <w:spacing w:after="40"/>
      </w:pPr>
      <w:r>
        <w:rPr>
          <w:rFonts w:ascii="Arial" w:hAnsi="Arial" w:eastAsia="Arial"/>
          <w:sz w:val="20"/>
        </w:rPr>
        <w:t>☐ I can identify the major 2027 changes and know which version applies to my test date.</w:t>
      </w:r>
    </w:p>
    <w:p>
      <w:pPr>
        <w:spacing w:after="40"/>
      </w:pPr>
      <w:r>
        <w:rPr>
          <w:rFonts w:ascii="Arial" w:hAnsi="Arial" w:eastAsia="Arial"/>
          <w:sz w:val="20"/>
        </w:rPr>
        <w:t>☐ I can complete a Case Evidence Ledger without borrowing later facts.</w:t>
      </w:r>
    </w:p>
    <w:p>
      <w:pPr>
        <w:spacing w:after="40"/>
      </w:pPr>
      <w:r>
        <w:rPr>
          <w:rFonts w:ascii="Arial" w:hAnsi="Arial" w:eastAsia="Arial"/>
          <w:sz w:val="20"/>
        </w:rPr>
        <w:t>☐ I can use SAFER and COUNSEL on a new vignette.</w:t>
      </w:r>
    </w:p>
    <w:p>
      <w:pPr>
        <w:spacing w:after="40"/>
      </w:pPr>
      <w:r>
        <w:rPr>
          <w:rFonts w:ascii="Arial" w:hAnsi="Arial" w:eastAsia="Arial"/>
          <w:sz w:val="20"/>
        </w:rPr>
        <w:t>☐ I can name why each distractor is weaker, not only why the key is correct.</w:t>
      </w:r>
    </w:p>
    <w:p>
      <w:pPr>
        <w:spacing w:after="40"/>
      </w:pPr>
      <w:r>
        <w:rPr>
          <w:rFonts w:ascii="Arial" w:hAnsi="Arial" w:eastAsia="Arial"/>
          <w:sz w:val="20"/>
        </w:rPr>
        <w:t>☐ I have recorded at least one corrected reasoning rule in my error log.</w:t>
      </w:r>
    </w:p>
    <w:p>
      <w:pPr>
        <w:spacing w:after="40"/>
      </w:pPr>
      <w:r>
        <w:rPr>
          <w:rFonts w:ascii="Arial" w:hAnsi="Arial" w:eastAsia="Arial"/>
          <w:sz w:val="20"/>
        </w:rPr>
        <w:t>☐ I am ready to complete the separate 17-question Workbook 1 bank.</w:t>
      </w:r>
    </w:p>
    <w:p>
      <w:pPr>
        <w:pStyle w:val="Heading2"/>
        <w:spacing w:before="140" w:after="80"/>
        <w:keepNext/>
      </w:pPr>
      <w:r>
        <w:rPr>
          <w:rFonts w:ascii="Arial" w:hAnsi="Arial" w:eastAsia="Arial"/>
          <w:b/>
          <w:color w:val="159C9C"/>
          <w:sz w:val="26"/>
        </w:rPr>
        <w:t>Chapter 5 Summary</w:t>
      </w:r>
    </w:p>
    <w:p>
      <w:pPr>
        <w:pStyle w:val="ListBullet"/>
        <w:spacing w:after="50" w:line="250" w:lineRule="auto"/>
        <w:keepLines/>
      </w:pPr>
      <w:r>
        <w:rPr>
          <w:rFonts w:ascii="Arial" w:hAnsi="Arial" w:eastAsia="Arial"/>
          <w:color w:val="1F2937"/>
          <w:sz w:val="20"/>
        </w:rPr>
        <w:t>Review every option, not only the keyed answer.</w:t>
      </w:r>
    </w:p>
    <w:p>
      <w:pPr>
        <w:pStyle w:val="ListBullet"/>
        <w:spacing w:after="50" w:line="250" w:lineRule="auto"/>
        <w:keepLines/>
      </w:pPr>
      <w:r>
        <w:rPr>
          <w:rFonts w:ascii="Arial" w:hAnsi="Arial" w:eastAsia="Arial"/>
          <w:color w:val="1F2937"/>
          <w:sz w:val="20"/>
        </w:rPr>
        <w:t>Code both incorrect and low-confidence correct responses.</w:t>
      </w:r>
    </w:p>
    <w:p>
      <w:pPr>
        <w:pStyle w:val="ListBullet"/>
        <w:spacing w:after="50" w:line="250" w:lineRule="auto"/>
        <w:keepLines/>
      </w:pPr>
      <w:r>
        <w:rPr>
          <w:rFonts w:ascii="Arial" w:hAnsi="Arial" w:eastAsia="Arial"/>
          <w:color w:val="1F2937"/>
          <w:sz w:val="20"/>
        </w:rPr>
        <w:t>Write a transferable correction rule for each repeated error.</w:t>
      </w:r>
    </w:p>
    <w:p>
      <w:pPr>
        <w:pStyle w:val="ListBullet"/>
        <w:spacing w:after="50" w:line="250" w:lineRule="auto"/>
        <w:keepLines/>
      </w:pPr>
      <w:r>
        <w:rPr>
          <w:rFonts w:ascii="Arial" w:hAnsi="Arial" w:eastAsia="Arial"/>
          <w:color w:val="1F2937"/>
          <w:sz w:val="20"/>
        </w:rPr>
        <w:t>Use targeted remediation rather than broad rereading.</w:t>
      </w:r>
    </w:p>
    <w:p>
      <w:pPr>
        <w:pStyle w:val="ListBullet"/>
        <w:spacing w:after="50" w:line="250" w:lineRule="auto"/>
        <w:keepLines/>
      </w:pPr>
      <w:r>
        <w:rPr>
          <w:rFonts w:ascii="Arial" w:hAnsi="Arial" w:eastAsia="Arial"/>
          <w:color w:val="1F2937"/>
          <w:sz w:val="20"/>
        </w:rPr>
        <w:t>Readiness is demonstrated through consistent application across unfamiliar cases.</w:t>
      </w:r>
    </w:p>
    <w:p>
      <w:r>
        <w:br w:type="page"/>
      </w:r>
    </w:p>
    <w:p>
      <w:pPr>
        <w:pStyle w:val="Heading1"/>
      </w:pPr>
      <w:r>
        <w:rPr>
          <w:rFonts w:ascii="Arial" w:hAnsi="Arial" w:eastAsia="Arial"/>
          <w:b/>
          <w:color w:val="17365D"/>
          <w:sz w:val="34"/>
        </w:rPr>
        <w:t>Workbook 1 Knowledge Check</w:t>
      </w:r>
    </w:p>
    <w:p>
      <w:pPr>
        <w:spacing w:before="0" w:after="120" w:line="254" w:lineRule="auto"/>
      </w:pPr>
      <w:r>
        <w:rPr>
          <w:rFonts w:ascii="Arial" w:hAnsi="Arial" w:eastAsia="Arial"/>
          <w:b w:val="0"/>
          <w:i w:val="0"/>
          <w:color w:val="1F2937"/>
          <w:sz w:val="20"/>
        </w:rPr>
        <w:t>Complete all 10 original CTA questions before reviewing the answer key. Record confidence as 1 = low, 2 = moderate, or 3 = high. This knowledge check reinforces the workbook and does not replace the separate 17-question Workbook 1 bank.</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158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Question</w:t>
            </w:r>
          </w:p>
        </w:tc>
        <w:tc>
          <w:tcPr>
            <w:tcW w:type="dxa" w:w="259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My Answer</w:t>
            </w:r>
          </w:p>
        </w:tc>
        <w:tc>
          <w:tcPr>
            <w:tcW w:type="dxa" w:w="31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Confidence (1-3)</w:t>
            </w:r>
          </w:p>
        </w:tc>
        <w:tc>
          <w:tcPr>
            <w:tcW w:type="dxa" w:w="31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Review?</w:t>
            </w:r>
          </w:p>
        </w:tc>
      </w:tr>
      <w:tr>
        <w:trPr>
          <w:cantSplit/>
        </w:trPr>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3</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4</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5</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6</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7</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8</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9</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5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10</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spacing w:before="140" w:after="40"/>
        <w:keepNext/>
      </w:pPr>
      <w:r>
        <w:rPr>
          <w:rFonts w:ascii="Arial" w:hAnsi="Arial" w:eastAsia="Arial"/>
          <w:b/>
          <w:color w:val="1F7A8C"/>
          <w:sz w:val="17"/>
        </w:rPr>
        <w:t>LPCC-WB01-Q001 | Knowledge &amp; Recall | Easy | Primary concept: Current NCMHCE structure</w:t>
      </w:r>
    </w:p>
    <w:p>
      <w:pPr>
        <w:spacing w:after="60" w:line="250" w:lineRule="auto"/>
        <w:keepNext/>
      </w:pPr>
      <w:r>
        <w:rPr>
          <w:rFonts w:ascii="Arial" w:hAnsi="Arial" w:eastAsia="Arial"/>
          <w:b/>
          <w:color w:val="1F2937"/>
          <w:sz w:val="20"/>
        </w:rPr>
        <w:t>Which description matches the current NCMHCE structure?</w:t>
      </w:r>
    </w:p>
    <w:p>
      <w:pPr>
        <w:spacing w:after="40" w:line="247" w:lineRule="auto"/>
        <w:ind w:left="216" w:hanging="216"/>
        <w:keepNext/>
      </w:pPr>
      <w:r>
        <w:rPr>
          <w:rFonts w:ascii="Arial" w:hAnsi="Arial" w:eastAsia="Arial"/>
          <w:sz w:val="20"/>
        </w:rPr>
        <w:t>A. 10 case studies, 100 total questions, and a two-hour time limit.</w:t>
      </w:r>
    </w:p>
    <w:p>
      <w:pPr>
        <w:spacing w:after="40" w:line="247" w:lineRule="auto"/>
        <w:ind w:left="216" w:hanging="216"/>
        <w:keepNext/>
      </w:pPr>
      <w:r>
        <w:rPr>
          <w:rFonts w:ascii="Arial" w:hAnsi="Arial" w:eastAsia="Arial"/>
          <w:sz w:val="20"/>
        </w:rPr>
        <w:t>B. 11 case studies, 130-150 questions presented, 100 scored items, and 225 minutes of item time.</w:t>
      </w:r>
    </w:p>
    <w:p>
      <w:pPr>
        <w:spacing w:after="40" w:line="247" w:lineRule="auto"/>
        <w:ind w:left="216" w:hanging="216"/>
        <w:keepNext/>
      </w:pPr>
      <w:r>
        <w:rPr>
          <w:rFonts w:ascii="Arial" w:hAnsi="Arial" w:eastAsia="Arial"/>
          <w:sz w:val="20"/>
        </w:rPr>
        <w:t>C. 11 case studies, exactly 110 scored questions, and unlimited review between cases.</w:t>
      </w:r>
    </w:p>
    <w:p>
      <w:pPr>
        <w:spacing w:after="40" w:line="247" w:lineRule="auto"/>
        <w:ind w:left="216" w:hanging="216"/>
        <w:keepNext/>
      </w:pPr>
      <w:r>
        <w:rPr>
          <w:rFonts w:ascii="Arial" w:hAnsi="Arial" w:eastAsia="Arial"/>
          <w:sz w:val="20"/>
        </w:rPr>
        <w:t>D. 12 case studies, 150 scored questions, and no scheduled break.</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LPCC-WB01-Q002 | Knowledge &amp; Recall | Easy | Primary concept: 2027 transition</w:t>
      </w:r>
    </w:p>
    <w:p>
      <w:pPr>
        <w:spacing w:after="60" w:line="250" w:lineRule="auto"/>
        <w:keepNext/>
      </w:pPr>
      <w:r>
        <w:rPr>
          <w:rFonts w:ascii="Arial" w:hAnsi="Arial" w:eastAsia="Arial"/>
          <w:b/>
          <w:color w:val="1F2937"/>
          <w:sz w:val="20"/>
        </w:rPr>
        <w:t>Which feature is included in the NCMHCE specifications effective July 1, 2027?</w:t>
      </w:r>
    </w:p>
    <w:p>
      <w:pPr>
        <w:spacing w:after="40" w:line="247" w:lineRule="auto"/>
        <w:ind w:left="216" w:hanging="216"/>
        <w:keepNext/>
      </w:pPr>
      <w:r>
        <w:rPr>
          <w:rFonts w:ascii="Arial" w:hAnsi="Arial" w:eastAsia="Arial"/>
          <w:sz w:val="20"/>
        </w:rPr>
        <w:t>A. The exam will contain 75 questions and no case studies.</w:t>
      </w:r>
    </w:p>
    <w:p>
      <w:pPr>
        <w:spacing w:after="40" w:line="247" w:lineRule="auto"/>
        <w:ind w:left="216" w:hanging="216"/>
        <w:keepNext/>
      </w:pPr>
      <w:r>
        <w:rPr>
          <w:rFonts w:ascii="Arial" w:hAnsi="Arial" w:eastAsia="Arial"/>
          <w:sz w:val="20"/>
        </w:rPr>
        <w:t>B. The passing score will be a raw score of 75 on every form.</w:t>
      </w:r>
    </w:p>
    <w:p>
      <w:pPr>
        <w:spacing w:after="40" w:line="247" w:lineRule="auto"/>
        <w:ind w:left="216" w:hanging="216"/>
        <w:keepNext/>
      </w:pPr>
      <w:r>
        <w:rPr>
          <w:rFonts w:ascii="Arial" w:hAnsi="Arial" w:eastAsia="Arial"/>
          <w:sz w:val="20"/>
        </w:rPr>
        <w:t>C. Candidates may return to the first half after the break.</w:t>
      </w:r>
    </w:p>
    <w:p>
      <w:pPr>
        <w:spacing w:after="40" w:line="247" w:lineRule="auto"/>
        <w:ind w:left="216" w:hanging="216"/>
        <w:keepNext/>
      </w:pPr>
      <w:r>
        <w:rPr>
          <w:rFonts w:ascii="Arial" w:hAnsi="Arial" w:eastAsia="Arial"/>
          <w:sz w:val="20"/>
        </w:rPr>
        <w:t>D. The exam will use 10 cases, two reviewable halves, and a 100-500 scaled score with 360 as the passing point.</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LPCC-WB01-Q003 | Knowledge &amp; Recall | Easy | Primary concept: Case-section evidence control</w:t>
      </w:r>
    </w:p>
    <w:p>
      <w:pPr>
        <w:spacing w:after="60" w:line="250" w:lineRule="auto"/>
        <w:keepNext/>
      </w:pPr>
      <w:r>
        <w:rPr>
          <w:rFonts w:ascii="Arial" w:hAnsi="Arial" w:eastAsia="Arial"/>
          <w:b/>
          <w:color w:val="1F2937"/>
          <w:sz w:val="20"/>
        </w:rPr>
        <w:t>Under the current NCMHCE navigation rule, what should a candidate do before moving from one case section to the next?</w:t>
      </w:r>
    </w:p>
    <w:p>
      <w:pPr>
        <w:spacing w:after="40" w:line="247" w:lineRule="auto"/>
        <w:ind w:left="216" w:hanging="216"/>
        <w:keepNext/>
      </w:pPr>
      <w:r>
        <w:rPr>
          <w:rFonts w:ascii="Arial" w:hAnsi="Arial" w:eastAsia="Arial"/>
          <w:sz w:val="20"/>
        </w:rPr>
        <w:t>A. Review unanswered and flagged questions because the prior section cannot be changed after advancing.</w:t>
      </w:r>
    </w:p>
    <w:p>
      <w:pPr>
        <w:spacing w:after="40" w:line="247" w:lineRule="auto"/>
        <w:ind w:left="216" w:hanging="216"/>
        <w:keepNext/>
      </w:pPr>
      <w:r>
        <w:rPr>
          <w:rFonts w:ascii="Arial" w:hAnsi="Arial" w:eastAsia="Arial"/>
          <w:sz w:val="20"/>
        </w:rPr>
        <w:t>B. Skip uncertain questions because they will automatically reappear at the end of the exam.</w:t>
      </w:r>
    </w:p>
    <w:p>
      <w:pPr>
        <w:spacing w:after="40" w:line="247" w:lineRule="auto"/>
        <w:ind w:left="216" w:hanging="216"/>
        <w:keepNext/>
      </w:pPr>
      <w:r>
        <w:rPr>
          <w:rFonts w:ascii="Arial" w:hAnsi="Arial" w:eastAsia="Arial"/>
          <w:sz w:val="20"/>
        </w:rPr>
        <w:t>C. Write down the case details for use after leaving the testing room.</w:t>
      </w:r>
    </w:p>
    <w:p>
      <w:pPr>
        <w:spacing w:after="40" w:line="247" w:lineRule="auto"/>
        <w:ind w:left="216" w:hanging="216"/>
        <w:keepNext/>
      </w:pPr>
      <w:r>
        <w:rPr>
          <w:rFonts w:ascii="Arial" w:hAnsi="Arial" w:eastAsia="Arial"/>
          <w:sz w:val="20"/>
        </w:rPr>
        <w:t>D. Wait for the next session narrative before answering questions in the current section.</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LPCC-WB01-Q004 | Application | Moderate | Primary concept: Assessment before premature diagnosis</w:t>
      </w:r>
    </w:p>
    <w:p>
      <w:pPr>
        <w:spacing w:after="60" w:line="250" w:lineRule="auto"/>
        <w:keepNext/>
      </w:pPr>
      <w:r>
        <w:rPr>
          <w:rFonts w:ascii="Arial" w:hAnsi="Arial" w:eastAsia="Arial"/>
          <w:b/>
          <w:color w:val="1F2937"/>
          <w:sz w:val="20"/>
        </w:rPr>
        <w:t>A client reports racing heart, poor sleep, and anxiety that began after a medication change and increased energy-drink use. No immediate safety concern is reported. What should the counselor do FIRST?</w:t>
      </w:r>
    </w:p>
    <w:p>
      <w:pPr>
        <w:spacing w:after="40" w:line="247" w:lineRule="auto"/>
        <w:ind w:left="216" w:hanging="216"/>
        <w:keepNext/>
      </w:pPr>
      <w:r>
        <w:rPr>
          <w:rFonts w:ascii="Arial" w:hAnsi="Arial" w:eastAsia="Arial"/>
          <w:sz w:val="20"/>
        </w:rPr>
        <w:t>A. Diagnose panic disorder because the client reports physical anxiety symptoms.</w:t>
      </w:r>
    </w:p>
    <w:p>
      <w:pPr>
        <w:spacing w:after="40" w:line="247" w:lineRule="auto"/>
        <w:ind w:left="216" w:hanging="216"/>
        <w:keepNext/>
      </w:pPr>
      <w:r>
        <w:rPr>
          <w:rFonts w:ascii="Arial" w:hAnsi="Arial" w:eastAsia="Arial"/>
          <w:sz w:val="20"/>
        </w:rPr>
        <w:t>B. Begin exposure therapy before discussing medical or substance factors.</w:t>
      </w:r>
    </w:p>
    <w:p>
      <w:pPr>
        <w:spacing w:after="40" w:line="247" w:lineRule="auto"/>
        <w:ind w:left="216" w:hanging="216"/>
        <w:keepNext/>
      </w:pPr>
      <w:r>
        <w:rPr>
          <w:rFonts w:ascii="Arial" w:hAnsi="Arial" w:eastAsia="Arial"/>
          <w:sz w:val="20"/>
        </w:rPr>
        <w:t>C. Assess symptom pattern, functioning, medication and caffeine factors, risk, and the need for medical coordination.</w:t>
      </w:r>
    </w:p>
    <w:p>
      <w:pPr>
        <w:spacing w:after="40" w:line="247" w:lineRule="auto"/>
        <w:ind w:left="216" w:hanging="216"/>
        <w:keepNext/>
      </w:pPr>
      <w:r>
        <w:rPr>
          <w:rFonts w:ascii="Arial" w:hAnsi="Arial" w:eastAsia="Arial"/>
          <w:sz w:val="20"/>
        </w:rPr>
        <w:t>D. Refer the client out immediately because counselors cannot address symptoms with possible medical contributors.</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LPCC-WB01-Q005 | Application | Moderate | Primary concept: FIRST sequencing</w:t>
      </w:r>
    </w:p>
    <w:p>
      <w:pPr>
        <w:spacing w:after="60" w:line="250" w:lineRule="auto"/>
        <w:keepNext/>
      </w:pPr>
      <w:r>
        <w:rPr>
          <w:rFonts w:ascii="Arial" w:hAnsi="Arial" w:eastAsia="Arial"/>
          <w:b/>
          <w:color w:val="1F2937"/>
          <w:sz w:val="20"/>
        </w:rPr>
        <w:t>In an NCMHCE item, the word FIRST usually directs the candidate to select:</w:t>
      </w:r>
    </w:p>
    <w:p>
      <w:pPr>
        <w:spacing w:after="40" w:line="247" w:lineRule="auto"/>
        <w:ind w:left="216" w:hanging="216"/>
        <w:keepNext/>
      </w:pPr>
      <w:r>
        <w:rPr>
          <w:rFonts w:ascii="Arial" w:hAnsi="Arial" w:eastAsia="Arial"/>
          <w:sz w:val="20"/>
        </w:rPr>
        <w:t>A. The intervention that would produce the greatest long-term change.</w:t>
      </w:r>
    </w:p>
    <w:p>
      <w:pPr>
        <w:spacing w:after="40" w:line="247" w:lineRule="auto"/>
        <w:ind w:left="216" w:hanging="216"/>
        <w:keepNext/>
      </w:pPr>
      <w:r>
        <w:rPr>
          <w:rFonts w:ascii="Arial" w:hAnsi="Arial" w:eastAsia="Arial"/>
          <w:sz w:val="20"/>
        </w:rPr>
        <w:t>B. The earliest necessary action that addresses the exact task and controlling priority.</w:t>
      </w:r>
    </w:p>
    <w:p>
      <w:pPr>
        <w:spacing w:after="40" w:line="247" w:lineRule="auto"/>
        <w:ind w:left="216" w:hanging="216"/>
        <w:keepNext/>
      </w:pPr>
      <w:r>
        <w:rPr>
          <w:rFonts w:ascii="Arial" w:hAnsi="Arial" w:eastAsia="Arial"/>
          <w:sz w:val="20"/>
        </w:rPr>
        <w:t>C. The option with the most clinical terminology.</w:t>
      </w:r>
    </w:p>
    <w:p>
      <w:pPr>
        <w:spacing w:after="40" w:line="247" w:lineRule="auto"/>
        <w:ind w:left="216" w:hanging="216"/>
        <w:keepNext/>
      </w:pPr>
      <w:r>
        <w:rPr>
          <w:rFonts w:ascii="Arial" w:hAnsi="Arial" w:eastAsia="Arial"/>
          <w:sz w:val="20"/>
        </w:rPr>
        <w:t>D. The response that eliminates every possible risk.</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LPCC-WB01-Q006 | Application | Moderate | Primary concept: NEXT after assessment and planning</w:t>
      </w:r>
    </w:p>
    <w:p>
      <w:pPr>
        <w:spacing w:after="60" w:line="250" w:lineRule="auto"/>
        <w:keepNext/>
      </w:pPr>
      <w:r>
        <w:rPr>
          <w:rFonts w:ascii="Arial" w:hAnsi="Arial" w:eastAsia="Arial"/>
          <w:b/>
          <w:color w:val="1F2937"/>
          <w:sz w:val="20"/>
        </w:rPr>
        <w:t>A counselor has completed assessment, ruled out urgent medical concerns, collaborated on goals, and selected a cognitive behavioral formulation. The question asks what the counselor should do NEXT. Which answer pattern is strongest?</w:t>
      </w:r>
    </w:p>
    <w:p>
      <w:pPr>
        <w:spacing w:after="40" w:line="247" w:lineRule="auto"/>
        <w:ind w:left="216" w:hanging="216"/>
        <w:keepNext/>
      </w:pPr>
      <w:r>
        <w:rPr>
          <w:rFonts w:ascii="Arial" w:hAnsi="Arial" w:eastAsia="Arial"/>
          <w:sz w:val="20"/>
        </w:rPr>
        <w:t>A. Restart the full intake because assessment must always be first.</w:t>
      </w:r>
    </w:p>
    <w:p>
      <w:pPr>
        <w:spacing w:after="40" w:line="247" w:lineRule="auto"/>
        <w:ind w:left="216" w:hanging="216"/>
        <w:keepNext/>
      </w:pPr>
      <w:r>
        <w:rPr>
          <w:rFonts w:ascii="Arial" w:hAnsi="Arial" w:eastAsia="Arial"/>
          <w:sz w:val="20"/>
        </w:rPr>
        <w:t>B. Select an unrelated intervention from the counselor’s preferred theory.</w:t>
      </w:r>
    </w:p>
    <w:p>
      <w:pPr>
        <w:spacing w:after="40" w:line="247" w:lineRule="auto"/>
        <w:ind w:left="216" w:hanging="216"/>
        <w:keepNext/>
      </w:pPr>
      <w:r>
        <w:rPr>
          <w:rFonts w:ascii="Arial" w:hAnsi="Arial" w:eastAsia="Arial"/>
          <w:sz w:val="20"/>
        </w:rPr>
        <w:t>C. Refer the client solely because symptoms have not resolved before treatment begins.</w:t>
      </w:r>
    </w:p>
    <w:p>
      <w:pPr>
        <w:spacing w:after="40" w:line="247" w:lineRule="auto"/>
        <w:ind w:left="216" w:hanging="216"/>
        <w:keepNext/>
      </w:pPr>
      <w:r>
        <w:rPr>
          <w:rFonts w:ascii="Arial" w:hAnsi="Arial" w:eastAsia="Arial"/>
          <w:sz w:val="20"/>
        </w:rPr>
        <w:t>D. Use a CBT-consistent intervention tied to the agreed target and monitor the client’s response.</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LPCC-WB01-Q007 | Scenario-Based | Moderate | Primary concept: Plausible distractor</w:t>
      </w:r>
    </w:p>
    <w:p>
      <w:pPr>
        <w:spacing w:after="60" w:line="250" w:lineRule="auto"/>
        <w:keepNext/>
      </w:pPr>
      <w:r>
        <w:rPr>
          <w:rFonts w:ascii="Arial" w:hAnsi="Arial" w:eastAsia="Arial"/>
          <w:b/>
          <w:color w:val="1F2937"/>
          <w:sz w:val="20"/>
        </w:rPr>
        <w:t>Which option is the best example of a plausible distractor?</w:t>
      </w:r>
    </w:p>
    <w:p>
      <w:pPr>
        <w:spacing w:after="40" w:line="247" w:lineRule="auto"/>
        <w:ind w:left="216" w:hanging="216"/>
        <w:keepNext/>
      </w:pPr>
      <w:r>
        <w:rPr>
          <w:rFonts w:ascii="Arial" w:hAnsi="Arial" w:eastAsia="Arial"/>
          <w:sz w:val="20"/>
        </w:rPr>
        <w:t>A. A clinically reasonable referral that occurs before the counselor has assessed need, urgency, fit, access, or client preference.</w:t>
      </w:r>
    </w:p>
    <w:p>
      <w:pPr>
        <w:spacing w:after="40" w:line="247" w:lineRule="auto"/>
        <w:ind w:left="216" w:hanging="216"/>
        <w:keepNext/>
      </w:pPr>
      <w:r>
        <w:rPr>
          <w:rFonts w:ascii="Arial" w:hAnsi="Arial" w:eastAsia="Arial"/>
          <w:sz w:val="20"/>
        </w:rPr>
        <w:t>B. An option that contains a spelling error.</w:t>
      </w:r>
    </w:p>
    <w:p>
      <w:pPr>
        <w:spacing w:after="40" w:line="247" w:lineRule="auto"/>
        <w:ind w:left="216" w:hanging="216"/>
        <w:keepNext/>
      </w:pPr>
      <w:r>
        <w:rPr>
          <w:rFonts w:ascii="Arial" w:hAnsi="Arial" w:eastAsia="Arial"/>
          <w:sz w:val="20"/>
        </w:rPr>
        <w:t>C. An answer that is unrelated to counseling and obviously impossible.</w:t>
      </w:r>
    </w:p>
    <w:p>
      <w:pPr>
        <w:spacing w:after="40" w:line="247" w:lineRule="auto"/>
        <w:ind w:left="216" w:hanging="216"/>
        <w:keepNext/>
      </w:pPr>
      <w:r>
        <w:rPr>
          <w:rFonts w:ascii="Arial" w:hAnsi="Arial" w:eastAsia="Arial"/>
          <w:sz w:val="20"/>
        </w:rPr>
        <w:t>D. The keyed answer after the rationale is reviewed.</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LPCC-WB01-Q008 | Scenario-Based | Moderate | Primary concept: Pacing and section review</w:t>
      </w:r>
    </w:p>
    <w:p>
      <w:pPr>
        <w:spacing w:after="60" w:line="250" w:lineRule="auto"/>
        <w:keepNext/>
      </w:pPr>
      <w:r>
        <w:rPr>
          <w:rFonts w:ascii="Arial" w:hAnsi="Arial" w:eastAsia="Arial"/>
          <w:b/>
          <w:color w:val="1F2937"/>
          <w:sz w:val="20"/>
        </w:rPr>
        <w:t>A candidate is unsure about one item near the end of a current-format case section. What is the BEST strategy?</w:t>
      </w:r>
    </w:p>
    <w:p>
      <w:pPr>
        <w:spacing w:after="40" w:line="247" w:lineRule="auto"/>
        <w:ind w:left="216" w:hanging="216"/>
        <w:keepNext/>
      </w:pPr>
      <w:r>
        <w:rPr>
          <w:rFonts w:ascii="Arial" w:hAnsi="Arial" w:eastAsia="Arial"/>
          <w:sz w:val="20"/>
        </w:rPr>
        <w:t>A. Leave it blank and expect to return after finishing all 11 cases.</w:t>
      </w:r>
    </w:p>
    <w:p>
      <w:pPr>
        <w:spacing w:after="40" w:line="247" w:lineRule="auto"/>
        <w:ind w:left="216" w:hanging="216"/>
        <w:keepNext/>
      </w:pPr>
      <w:r>
        <w:rPr>
          <w:rFonts w:ascii="Arial" w:hAnsi="Arial" w:eastAsia="Arial"/>
          <w:sz w:val="20"/>
        </w:rPr>
        <w:t>B. Spend as long as necessary until certainty is achieved, even if later cases are rushed.</w:t>
      </w:r>
    </w:p>
    <w:p>
      <w:pPr>
        <w:spacing w:after="40" w:line="247" w:lineRule="auto"/>
        <w:ind w:left="216" w:hanging="216"/>
        <w:keepNext/>
      </w:pPr>
      <w:r>
        <w:rPr>
          <w:rFonts w:ascii="Arial" w:hAnsi="Arial" w:eastAsia="Arial"/>
          <w:sz w:val="20"/>
        </w:rPr>
        <w:t>C. Eliminate unsupported options, choose the best remaining answer, review the section, and then advance.</w:t>
      </w:r>
    </w:p>
    <w:p>
      <w:pPr>
        <w:spacing w:after="40" w:line="247" w:lineRule="auto"/>
        <w:ind w:left="216" w:hanging="216"/>
        <w:keepNext/>
      </w:pPr>
      <w:r>
        <w:rPr>
          <w:rFonts w:ascii="Arial" w:hAnsi="Arial" w:eastAsia="Arial"/>
          <w:sz w:val="20"/>
        </w:rPr>
        <w:t>D. Select the longest option because it is likely to be more complete.</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LPCC-WB01-Q009 | Scenario-Based | Moderate | Primary concept: Rationale review and low-confidence correct answers</w:t>
      </w:r>
    </w:p>
    <w:p>
      <w:pPr>
        <w:spacing w:after="60" w:line="250" w:lineRule="auto"/>
        <w:keepNext/>
      </w:pPr>
      <w:r>
        <w:rPr>
          <w:rFonts w:ascii="Arial" w:hAnsi="Arial" w:eastAsia="Arial"/>
          <w:b/>
          <w:color w:val="1F2937"/>
          <w:sz w:val="20"/>
        </w:rPr>
        <w:t>A candidate answers a practice item correctly but reports very low confidence and cannot explain why two distractors are weaker. What should the candidate do?</w:t>
      </w:r>
    </w:p>
    <w:p>
      <w:pPr>
        <w:spacing w:after="40" w:line="247" w:lineRule="auto"/>
        <w:ind w:left="216" w:hanging="216"/>
        <w:keepNext/>
      </w:pPr>
      <w:r>
        <w:rPr>
          <w:rFonts w:ascii="Arial" w:hAnsi="Arial" w:eastAsia="Arial"/>
          <w:sz w:val="20"/>
        </w:rPr>
        <w:t>A. Treat the item as mastered because the score was correct.</w:t>
      </w:r>
    </w:p>
    <w:p>
      <w:pPr>
        <w:spacing w:after="40" w:line="247" w:lineRule="auto"/>
        <w:ind w:left="216" w:hanging="216"/>
        <w:keepNext/>
      </w:pPr>
      <w:r>
        <w:rPr>
          <w:rFonts w:ascii="Arial" w:hAnsi="Arial" w:eastAsia="Arial"/>
          <w:sz w:val="20"/>
        </w:rPr>
        <w:t>B. Delete the item from the error log so it does not lower confidence.</w:t>
      </w:r>
    </w:p>
    <w:p>
      <w:pPr>
        <w:spacing w:after="40" w:line="247" w:lineRule="auto"/>
        <w:ind w:left="216" w:hanging="216"/>
        <w:keepNext/>
      </w:pPr>
      <w:r>
        <w:rPr>
          <w:rFonts w:ascii="Arial" w:hAnsi="Arial" w:eastAsia="Arial"/>
          <w:sz w:val="20"/>
        </w:rPr>
        <w:t>C. Review every option, code the fragile reasoning, write a correction rule, and apply it to a new item.</w:t>
      </w:r>
    </w:p>
    <w:p>
      <w:pPr>
        <w:spacing w:after="40" w:line="247" w:lineRule="auto"/>
        <w:ind w:left="216" w:hanging="216"/>
        <w:keepNext/>
      </w:pPr>
      <w:r>
        <w:rPr>
          <w:rFonts w:ascii="Arial" w:hAnsi="Arial" w:eastAsia="Arial"/>
          <w:sz w:val="20"/>
        </w:rPr>
        <w:t>D. Memorize the letter of the correct answer.</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LPCC-WB01-Q010 | Integrated Clinical Reasoning | Challenge | Primary concept: Telehealth risk, location, and sequence</w:t>
      </w:r>
    </w:p>
    <w:p>
      <w:pPr>
        <w:spacing w:after="60" w:line="250" w:lineRule="auto"/>
        <w:keepNext/>
      </w:pPr>
      <w:r>
        <w:rPr>
          <w:rFonts w:ascii="Arial" w:hAnsi="Arial" w:eastAsia="Arial"/>
          <w:b/>
          <w:color w:val="1F2937"/>
          <w:sz w:val="20"/>
        </w:rPr>
        <w:t>During a telehealth session, a client who is traveling says, “Sometimes I wish I would not wake up,” then asks for a relaxation exercise. The counselor has not yet confirmed the client’s current physical location. What should the counselor do FIRST?</w:t>
      </w:r>
    </w:p>
    <w:p>
      <w:pPr>
        <w:spacing w:after="40" w:line="247" w:lineRule="auto"/>
        <w:ind w:left="216" w:hanging="216"/>
        <w:keepNext/>
      </w:pPr>
      <w:r>
        <w:rPr>
          <w:rFonts w:ascii="Arial" w:hAnsi="Arial" w:eastAsia="Arial"/>
          <w:sz w:val="20"/>
        </w:rPr>
        <w:t>A. Confirm the client’s location and conduct a direct suicide-risk assessment before proceeding with routine coping work.</w:t>
      </w:r>
    </w:p>
    <w:p>
      <w:pPr>
        <w:spacing w:after="40" w:line="247" w:lineRule="auto"/>
        <w:ind w:left="216" w:hanging="216"/>
        <w:keepNext/>
      </w:pPr>
      <w:r>
        <w:rPr>
          <w:rFonts w:ascii="Arial" w:hAnsi="Arial" w:eastAsia="Arial"/>
          <w:sz w:val="20"/>
        </w:rPr>
        <w:t>B. Teach the relaxation exercise first so the client is calm enough to answer questions.</w:t>
      </w:r>
    </w:p>
    <w:p>
      <w:pPr>
        <w:spacing w:after="40" w:line="247" w:lineRule="auto"/>
        <w:ind w:left="216" w:hanging="216"/>
        <w:keepNext/>
      </w:pPr>
      <w:r>
        <w:rPr>
          <w:rFonts w:ascii="Arial" w:hAnsi="Arial" w:eastAsia="Arial"/>
          <w:sz w:val="20"/>
        </w:rPr>
        <w:t>C. Assume the statement is passive and schedule a follow-up next month.</w:t>
      </w:r>
    </w:p>
    <w:p>
      <w:pPr>
        <w:spacing w:after="40" w:line="247" w:lineRule="auto"/>
        <w:ind w:left="216" w:hanging="216"/>
        <w:keepNext/>
      </w:pPr>
      <w:r>
        <w:rPr>
          <w:rFonts w:ascii="Arial" w:hAnsi="Arial" w:eastAsia="Arial"/>
          <w:sz w:val="20"/>
        </w:rPr>
        <w:t>D. End the session immediately without assessing risk, supports, or emergency options.</w:t>
      </w:r>
    </w:p>
    <w:p>
      <w:pPr>
        <w:spacing w:after="60"/>
      </w:pPr>
      <w:r>
        <w:rPr>
          <w:rFonts w:ascii="Arial" w:hAnsi="Arial" w:eastAsia="Arial"/>
          <w:i/>
          <w:color w:val="4E5B6B"/>
          <w:sz w:val="18"/>
        </w:rPr>
        <w:t>My answer: ______    Confidence: 1  2  3</w:t>
      </w:r>
    </w:p>
    <w:p>
      <w:r>
        <w:br w:type="page"/>
      </w:r>
    </w:p>
    <w:p>
      <w:pPr>
        <w:pStyle w:val="Heading1"/>
      </w:pPr>
      <w:r>
        <w:rPr>
          <w:rFonts w:ascii="Arial" w:hAnsi="Arial" w:eastAsia="Arial"/>
          <w:b/>
          <w:color w:val="17365D"/>
          <w:sz w:val="34"/>
        </w:rPr>
        <w:t>Answer Key and Detailed Rationales</w:t>
      </w:r>
    </w:p>
    <w:p>
      <w:pPr>
        <w:spacing w:before="0" w:after="120" w:line="254" w:lineRule="auto"/>
      </w:pPr>
      <w:r>
        <w:rPr>
          <w:rFonts w:ascii="Arial" w:hAnsi="Arial" w:eastAsia="Arial"/>
          <w:b w:val="0"/>
          <w:i w:val="0"/>
          <w:color w:val="1F2937"/>
          <w:sz w:val="20"/>
        </w:rPr>
        <w:t>Study the reasoning for every option. The correct letter is less important than understanding the task, evidence, sequence, counselor role, and distractor pattern.</w:t>
      </w:r>
    </w:p>
    <w:p>
      <w:pPr>
        <w:pStyle w:val="Heading2"/>
        <w:spacing w:before="140" w:after="60"/>
        <w:keepNext/>
      </w:pPr>
      <w:r>
        <w:rPr>
          <w:rFonts w:ascii="Arial" w:hAnsi="Arial" w:eastAsia="Arial"/>
          <w:b/>
          <w:color w:val="17365D"/>
          <w:sz w:val="23"/>
        </w:rPr>
        <w:t>Question 1 (LPCC-WB01-Q001)</w:t>
      </w:r>
    </w:p>
    <w:p>
      <w:pPr>
        <w:spacing w:after="60"/>
        <w:keepNext/>
      </w:pPr>
      <w:r>
        <w:rPr>
          <w:rFonts w:ascii="Arial" w:hAnsi="Arial" w:eastAsia="Arial"/>
          <w:b/>
          <w:color w:val="1F7A8C"/>
          <w:sz w:val="20"/>
        </w:rPr>
        <w:t>Correct Answer: B. 11 case studies, 130-150 questions presented, 100 scored items, and 225 minutes of item time.</w:t>
      </w:r>
    </w:p>
    <w:p>
      <w:pPr>
        <w:spacing w:after="40"/>
        <w:ind w:left="173" w:hanging="173"/>
        <w:keepNext/>
      </w:pPr>
      <w:r>
        <w:rPr>
          <w:rFonts w:ascii="Arial" w:hAnsi="Arial" w:eastAsia="Arial"/>
          <w:b/>
          <w:color w:val="1F2937"/>
          <w:sz w:val="20"/>
        </w:rPr>
        <w:t xml:space="preserve">A. </w:t>
      </w:r>
      <w:r>
        <w:rPr>
          <w:rFonts w:ascii="Arial" w:hAnsi="Arial" w:eastAsia="Arial"/>
          <w:sz w:val="20"/>
        </w:rPr>
        <w:t>Incorrect. Ten cases apply to the published examination specifications effective July 1, 2027, not the current format, and the item time remains longer than two hours.</w:t>
      </w:r>
    </w:p>
    <w:p>
      <w:pPr>
        <w:spacing w:after="40"/>
        <w:ind w:left="173" w:hanging="173"/>
        <w:keepNext/>
      </w:pPr>
      <w:r>
        <w:rPr>
          <w:rFonts w:ascii="Arial" w:hAnsi="Arial" w:eastAsia="Arial"/>
          <w:b/>
          <w:color w:val="17365D"/>
          <w:sz w:val="20"/>
        </w:rPr>
        <w:t xml:space="preserve">B. </w:t>
      </w:r>
      <w:r>
        <w:rPr>
          <w:rFonts w:ascii="Arial" w:hAnsi="Arial" w:eastAsia="Arial"/>
          <w:sz w:val="20"/>
        </w:rPr>
        <w:t>Correct. The current NCMHCE presents 11 three-part case studies, 130-150 questions, 100 scored items, and 225 minutes to complete examination items.</w:t>
      </w:r>
    </w:p>
    <w:p>
      <w:pPr>
        <w:spacing w:after="40"/>
        <w:ind w:left="173" w:hanging="173"/>
        <w:keepNext/>
      </w:pPr>
      <w:r>
        <w:rPr>
          <w:rFonts w:ascii="Arial" w:hAnsi="Arial" w:eastAsia="Arial"/>
          <w:b/>
          <w:color w:val="1F2937"/>
          <w:sz w:val="20"/>
        </w:rPr>
        <w:t xml:space="preserve">C. </w:t>
      </w:r>
      <w:r>
        <w:rPr>
          <w:rFonts w:ascii="Arial" w:hAnsi="Arial" w:eastAsia="Arial"/>
          <w:sz w:val="20"/>
        </w:rPr>
        <w:t>Incorrect. The total number of scored questions is 100, not 110, and the current exam restricts review after advancing from a case section.</w:t>
      </w:r>
    </w:p>
    <w:p>
      <w:pPr>
        <w:spacing w:after="40"/>
        <w:ind w:left="173" w:hanging="173"/>
        <w:keepNext/>
      </w:pPr>
      <w:r>
        <w:rPr>
          <w:rFonts w:ascii="Arial" w:hAnsi="Arial" w:eastAsia="Arial"/>
          <w:b/>
          <w:color w:val="1F2937"/>
          <w:sz w:val="20"/>
        </w:rPr>
        <w:t xml:space="preserve">D. </w:t>
      </w:r>
      <w:r>
        <w:rPr>
          <w:rFonts w:ascii="Arial" w:hAnsi="Arial" w:eastAsia="Arial"/>
          <w:sz w:val="20"/>
        </w:rPr>
        <w:t>Incorrect. The current exam has 11 cases, not 12; not all presented questions are scored; and a scheduled break is included.</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Separate current-format facts from the 2027 specifications. Start by anchoring the test date and case count.</w:t>
            </w:r>
          </w:p>
        </w:tc>
      </w:tr>
    </w:tbl>
    <w:p>
      <w:pPr>
        <w:spacing w:after="0"/>
      </w:pPr>
    </w:p>
    <w:p>
      <w:pPr>
        <w:pStyle w:val="Heading2"/>
        <w:spacing w:before="140" w:after="60"/>
        <w:keepNext/>
      </w:pPr>
      <w:r>
        <w:rPr>
          <w:rFonts w:ascii="Arial" w:hAnsi="Arial" w:eastAsia="Arial"/>
          <w:b/>
          <w:color w:val="17365D"/>
          <w:sz w:val="23"/>
        </w:rPr>
        <w:t>Question 2 (LPCC-WB01-Q002)</w:t>
      </w:r>
    </w:p>
    <w:p>
      <w:pPr>
        <w:spacing w:after="60"/>
        <w:keepNext/>
      </w:pPr>
      <w:r>
        <w:rPr>
          <w:rFonts w:ascii="Arial" w:hAnsi="Arial" w:eastAsia="Arial"/>
          <w:b/>
          <w:color w:val="1F7A8C"/>
          <w:sz w:val="20"/>
        </w:rPr>
        <w:t>Correct Answer: D. The exam will use 10 cases, two reviewable halves, and a 100-500 scaled score with 360 as the passing point.</w:t>
      </w:r>
    </w:p>
    <w:p>
      <w:pPr>
        <w:spacing w:after="40"/>
        <w:ind w:left="173" w:hanging="173"/>
        <w:keepNext/>
      </w:pPr>
      <w:r>
        <w:rPr>
          <w:rFonts w:ascii="Arial" w:hAnsi="Arial" w:eastAsia="Arial"/>
          <w:b/>
          <w:color w:val="1F2937"/>
          <w:sz w:val="20"/>
        </w:rPr>
        <w:t xml:space="preserve">A. </w:t>
      </w:r>
      <w:r>
        <w:rPr>
          <w:rFonts w:ascii="Arial" w:hAnsi="Arial" w:eastAsia="Arial"/>
          <w:sz w:val="20"/>
        </w:rPr>
        <w:t>Incorrect. The future version remains case-based and contains 130-150 questions.</w:t>
      </w:r>
    </w:p>
    <w:p>
      <w:pPr>
        <w:spacing w:after="40"/>
        <w:ind w:left="173" w:hanging="173"/>
        <w:keepNext/>
      </w:pPr>
      <w:r>
        <w:rPr>
          <w:rFonts w:ascii="Arial" w:hAnsi="Arial" w:eastAsia="Arial"/>
          <w:b/>
          <w:color w:val="1F2937"/>
          <w:sz w:val="20"/>
        </w:rPr>
        <w:t xml:space="preserve">B. </w:t>
      </w:r>
      <w:r>
        <w:rPr>
          <w:rFonts w:ascii="Arial" w:hAnsi="Arial" w:eastAsia="Arial"/>
          <w:sz w:val="20"/>
        </w:rPr>
        <w:t>Incorrect. The published 2027 specifications use a scaled score. A score of 360 or higher is passing; this is not a universal raw score of 75.</w:t>
      </w:r>
    </w:p>
    <w:p>
      <w:pPr>
        <w:spacing w:after="40"/>
        <w:ind w:left="173" w:hanging="173"/>
        <w:keepNext/>
      </w:pPr>
      <w:r>
        <w:rPr>
          <w:rFonts w:ascii="Arial" w:hAnsi="Arial" w:eastAsia="Arial"/>
          <w:b/>
          <w:color w:val="1F2937"/>
          <w:sz w:val="20"/>
        </w:rPr>
        <w:t xml:space="preserve">C. </w:t>
      </w:r>
      <w:r>
        <w:rPr>
          <w:rFonts w:ascii="Arial" w:hAnsi="Arial" w:eastAsia="Arial"/>
          <w:sz w:val="20"/>
        </w:rPr>
        <w:t>Incorrect. Once the first half is submitted and the break begins, the candidate cannot return to those questions.</w:t>
      </w:r>
    </w:p>
    <w:p>
      <w:pPr>
        <w:spacing w:after="40"/>
        <w:ind w:left="173" w:hanging="173"/>
        <w:keepNext/>
      </w:pPr>
      <w:r>
        <w:rPr>
          <w:rFonts w:ascii="Arial" w:hAnsi="Arial" w:eastAsia="Arial"/>
          <w:b/>
          <w:color w:val="17365D"/>
          <w:sz w:val="20"/>
        </w:rPr>
        <w:t xml:space="preserve">D. </w:t>
      </w:r>
      <w:r>
        <w:rPr>
          <w:rFonts w:ascii="Arial" w:hAnsi="Arial" w:eastAsia="Arial"/>
          <w:sz w:val="20"/>
        </w:rPr>
        <w:t>Correct. These are central published changes effective July 1, 2027.</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Future scoring is scaled, not a percent-correct conversion. Keep current and future score language separate.</w:t>
            </w:r>
          </w:p>
        </w:tc>
      </w:tr>
    </w:tbl>
    <w:p>
      <w:pPr>
        <w:spacing w:after="0"/>
      </w:pPr>
    </w:p>
    <w:p>
      <w:pPr>
        <w:pStyle w:val="Heading2"/>
        <w:spacing w:before="140" w:after="60"/>
        <w:keepNext/>
      </w:pPr>
      <w:r>
        <w:rPr>
          <w:rFonts w:ascii="Arial" w:hAnsi="Arial" w:eastAsia="Arial"/>
          <w:b/>
          <w:color w:val="17365D"/>
          <w:sz w:val="23"/>
        </w:rPr>
        <w:t>Question 3 (LPCC-WB01-Q003)</w:t>
      </w:r>
    </w:p>
    <w:p>
      <w:pPr>
        <w:spacing w:after="60"/>
        <w:keepNext/>
      </w:pPr>
      <w:r>
        <w:rPr>
          <w:rFonts w:ascii="Arial" w:hAnsi="Arial" w:eastAsia="Arial"/>
          <w:b/>
          <w:color w:val="1F7A8C"/>
          <w:sz w:val="20"/>
        </w:rPr>
        <w:t>Correct Answer: A. Review unanswered and flagged questions because the prior section cannot be changed after advancing.</w:t>
      </w:r>
    </w:p>
    <w:p>
      <w:pPr>
        <w:spacing w:after="40"/>
        <w:ind w:left="173" w:hanging="173"/>
        <w:keepNext/>
      </w:pPr>
      <w:r>
        <w:rPr>
          <w:rFonts w:ascii="Arial" w:hAnsi="Arial" w:eastAsia="Arial"/>
          <w:b/>
          <w:color w:val="17365D"/>
          <w:sz w:val="20"/>
        </w:rPr>
        <w:t xml:space="preserve">A. </w:t>
      </w:r>
      <w:r>
        <w:rPr>
          <w:rFonts w:ascii="Arial" w:hAnsi="Arial" w:eastAsia="Arial"/>
          <w:sz w:val="20"/>
        </w:rPr>
        <w:t>Correct. The current exam permits review within the active section, but responses in prior sections cannot be changed after the candidate advances.</w:t>
      </w:r>
    </w:p>
    <w:p>
      <w:pPr>
        <w:spacing w:after="40"/>
        <w:ind w:left="173" w:hanging="173"/>
        <w:keepNext/>
      </w:pPr>
      <w:r>
        <w:rPr>
          <w:rFonts w:ascii="Arial" w:hAnsi="Arial" w:eastAsia="Arial"/>
          <w:b/>
          <w:color w:val="1F2937"/>
          <w:sz w:val="20"/>
        </w:rPr>
        <w:t xml:space="preserve">B. </w:t>
      </w:r>
      <w:r>
        <w:rPr>
          <w:rFonts w:ascii="Arial" w:hAnsi="Arial" w:eastAsia="Arial"/>
          <w:sz w:val="20"/>
        </w:rPr>
        <w:t>Incorrect. Skipped items do not automatically return at the end of the exam.</w:t>
      </w:r>
    </w:p>
    <w:p>
      <w:pPr>
        <w:spacing w:after="40"/>
        <w:ind w:left="173" w:hanging="173"/>
        <w:keepNext/>
      </w:pPr>
      <w:r>
        <w:rPr>
          <w:rFonts w:ascii="Arial" w:hAnsi="Arial" w:eastAsia="Arial"/>
          <w:b/>
          <w:color w:val="1F2937"/>
          <w:sz w:val="20"/>
        </w:rPr>
        <w:t xml:space="preserve">C. </w:t>
      </w:r>
      <w:r>
        <w:rPr>
          <w:rFonts w:ascii="Arial" w:hAnsi="Arial" w:eastAsia="Arial"/>
          <w:sz w:val="20"/>
        </w:rPr>
        <w:t>Incorrect. Examination content is confidential and may not be recorded or removed from the testing environment.</w:t>
      </w:r>
    </w:p>
    <w:p>
      <w:pPr>
        <w:spacing w:after="40"/>
        <w:ind w:left="173" w:hanging="173"/>
        <w:keepNext/>
      </w:pPr>
      <w:r>
        <w:rPr>
          <w:rFonts w:ascii="Arial" w:hAnsi="Arial" w:eastAsia="Arial"/>
          <w:b/>
          <w:color w:val="1F2937"/>
          <w:sz w:val="20"/>
        </w:rPr>
        <w:t xml:space="preserve">D. </w:t>
      </w:r>
      <w:r>
        <w:rPr>
          <w:rFonts w:ascii="Arial" w:hAnsi="Arial" w:eastAsia="Arial"/>
          <w:sz w:val="20"/>
        </w:rPr>
        <w:t>Incorrect. The candidate must answer the current section using information currently available rather than waiting for later narrative.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Treat CONTINUE as a lock. Review unanswered and flagged items before moving forward.</w:t>
            </w:r>
          </w:p>
        </w:tc>
      </w:tr>
    </w:tbl>
    <w:p>
      <w:pPr>
        <w:spacing w:after="0"/>
      </w:pPr>
    </w:p>
    <w:p>
      <w:pPr>
        <w:pStyle w:val="Heading2"/>
        <w:spacing w:before="140" w:after="60"/>
        <w:keepNext/>
      </w:pPr>
      <w:r>
        <w:rPr>
          <w:rFonts w:ascii="Arial" w:hAnsi="Arial" w:eastAsia="Arial"/>
          <w:b/>
          <w:color w:val="17365D"/>
          <w:sz w:val="23"/>
        </w:rPr>
        <w:t>Question 4 (LPCC-WB01-Q004)</w:t>
      </w:r>
    </w:p>
    <w:p>
      <w:pPr>
        <w:spacing w:after="60"/>
        <w:keepNext/>
      </w:pPr>
      <w:r>
        <w:rPr>
          <w:rFonts w:ascii="Arial" w:hAnsi="Arial" w:eastAsia="Arial"/>
          <w:b/>
          <w:color w:val="1F7A8C"/>
          <w:sz w:val="20"/>
        </w:rPr>
        <w:t>Correct Answer: C. Assess symptom pattern, functioning, medication and caffeine factors, risk, and the need for medical coordination.</w:t>
      </w:r>
    </w:p>
    <w:p>
      <w:pPr>
        <w:spacing w:after="40"/>
        <w:ind w:left="173" w:hanging="173"/>
        <w:keepNext/>
      </w:pPr>
      <w:r>
        <w:rPr>
          <w:rFonts w:ascii="Arial" w:hAnsi="Arial" w:eastAsia="Arial"/>
          <w:b/>
          <w:color w:val="1F2937"/>
          <w:sz w:val="20"/>
        </w:rPr>
        <w:t xml:space="preserve">A. </w:t>
      </w:r>
      <w:r>
        <w:rPr>
          <w:rFonts w:ascii="Arial" w:hAnsi="Arial" w:eastAsia="Arial"/>
          <w:sz w:val="20"/>
        </w:rPr>
        <w:t>Incorrect. The symptom report is not sufficient to establish panic disorder, especially with medication, caffeine, sleep, and medical factors requiring assessment.</w:t>
      </w:r>
    </w:p>
    <w:p>
      <w:pPr>
        <w:spacing w:after="40"/>
        <w:ind w:left="173" w:hanging="173"/>
        <w:keepNext/>
      </w:pPr>
      <w:r>
        <w:rPr>
          <w:rFonts w:ascii="Arial" w:hAnsi="Arial" w:eastAsia="Arial"/>
          <w:b/>
          <w:color w:val="1F2937"/>
          <w:sz w:val="20"/>
        </w:rPr>
        <w:t xml:space="preserve">B. </w:t>
      </w:r>
      <w:r>
        <w:rPr>
          <w:rFonts w:ascii="Arial" w:hAnsi="Arial" w:eastAsia="Arial"/>
          <w:sz w:val="20"/>
        </w:rPr>
        <w:t>Incorrect. Exposure may become appropriate after assessment and formulation, but it is premature before clarifying contributors and risk.</w:t>
      </w:r>
    </w:p>
    <w:p>
      <w:pPr>
        <w:spacing w:after="40"/>
        <w:ind w:left="173" w:hanging="173"/>
        <w:keepNext/>
      </w:pPr>
      <w:r>
        <w:rPr>
          <w:rFonts w:ascii="Arial" w:hAnsi="Arial" w:eastAsia="Arial"/>
          <w:b/>
          <w:color w:val="17365D"/>
          <w:sz w:val="20"/>
        </w:rPr>
        <w:t xml:space="preserve">C. </w:t>
      </w:r>
      <w:r>
        <w:rPr>
          <w:rFonts w:ascii="Arial" w:hAnsi="Arial" w:eastAsia="Arial"/>
          <w:sz w:val="20"/>
        </w:rPr>
        <w:t>Correct. This focused assessment addresses the presenting concern, relevant differential factors, functioning, and appropriate coordination without abandoning counseling.</w:t>
      </w:r>
    </w:p>
    <w:p>
      <w:pPr>
        <w:spacing w:after="40"/>
        <w:ind w:left="173" w:hanging="173"/>
        <w:keepNext/>
      </w:pPr>
      <w:r>
        <w:rPr>
          <w:rFonts w:ascii="Arial" w:hAnsi="Arial" w:eastAsia="Arial"/>
          <w:b/>
          <w:color w:val="1F2937"/>
          <w:sz w:val="20"/>
        </w:rPr>
        <w:t xml:space="preserve">D. </w:t>
      </w:r>
      <w:r>
        <w:rPr>
          <w:rFonts w:ascii="Arial" w:hAnsi="Arial" w:eastAsia="Arial"/>
          <w:sz w:val="20"/>
        </w:rPr>
        <w:t>Incorrect. Possible medical contributors call for assessment and coordination, not automatic termination or referral away from all counseling.</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symptoms could have medical or substance contributors, assess timing, severity, function, risk, and coordination needs before diagnosing or treating.</w:t>
            </w:r>
          </w:p>
        </w:tc>
      </w:tr>
    </w:tbl>
    <w:p>
      <w:pPr>
        <w:spacing w:after="0"/>
      </w:pPr>
    </w:p>
    <w:p>
      <w:pPr>
        <w:pStyle w:val="Heading2"/>
        <w:spacing w:before="140" w:after="60"/>
        <w:keepNext/>
      </w:pPr>
      <w:r>
        <w:rPr>
          <w:rFonts w:ascii="Arial" w:hAnsi="Arial" w:eastAsia="Arial"/>
          <w:b/>
          <w:color w:val="17365D"/>
          <w:sz w:val="23"/>
        </w:rPr>
        <w:t>Question 5 (LPCC-WB01-Q005)</w:t>
      </w:r>
    </w:p>
    <w:p>
      <w:pPr>
        <w:spacing w:after="60"/>
        <w:keepNext/>
      </w:pPr>
      <w:r>
        <w:rPr>
          <w:rFonts w:ascii="Arial" w:hAnsi="Arial" w:eastAsia="Arial"/>
          <w:b/>
          <w:color w:val="1F7A8C"/>
          <w:sz w:val="20"/>
        </w:rPr>
        <w:t>Correct Answer: B. The earliest necessary action that addresses the exact task and controlling priority.</w:t>
      </w:r>
    </w:p>
    <w:p>
      <w:pPr>
        <w:spacing w:after="40"/>
        <w:ind w:left="173" w:hanging="173"/>
        <w:keepNext/>
      </w:pPr>
      <w:r>
        <w:rPr>
          <w:rFonts w:ascii="Arial" w:hAnsi="Arial" w:eastAsia="Arial"/>
          <w:b/>
          <w:color w:val="1F2937"/>
          <w:sz w:val="20"/>
        </w:rPr>
        <w:t xml:space="preserve">A. </w:t>
      </w:r>
      <w:r>
        <w:rPr>
          <w:rFonts w:ascii="Arial" w:hAnsi="Arial" w:eastAsia="Arial"/>
          <w:sz w:val="20"/>
        </w:rPr>
        <w:t>Incorrect. Long-term impact does not determine the earliest required step.</w:t>
      </w:r>
    </w:p>
    <w:p>
      <w:pPr>
        <w:spacing w:after="40"/>
        <w:ind w:left="173" w:hanging="173"/>
        <w:keepNext/>
      </w:pPr>
      <w:r>
        <w:rPr>
          <w:rFonts w:ascii="Arial" w:hAnsi="Arial" w:eastAsia="Arial"/>
          <w:b/>
          <w:color w:val="17365D"/>
          <w:sz w:val="20"/>
        </w:rPr>
        <w:t xml:space="preserve">B. </w:t>
      </w:r>
      <w:r>
        <w:rPr>
          <w:rFonts w:ascii="Arial" w:hAnsi="Arial" w:eastAsia="Arial"/>
          <w:sz w:val="20"/>
        </w:rPr>
        <w:t>Correct. FIRST is a sequencing instruction. The answer must fit both the task and any controlling priority.</w:t>
      </w:r>
    </w:p>
    <w:p>
      <w:pPr>
        <w:spacing w:after="40"/>
        <w:ind w:left="173" w:hanging="173"/>
        <w:keepNext/>
      </w:pPr>
      <w:r>
        <w:rPr>
          <w:rFonts w:ascii="Arial" w:hAnsi="Arial" w:eastAsia="Arial"/>
          <w:b/>
          <w:color w:val="1F2937"/>
          <w:sz w:val="20"/>
        </w:rPr>
        <w:t xml:space="preserve">C. </w:t>
      </w:r>
      <w:r>
        <w:rPr>
          <w:rFonts w:ascii="Arial" w:hAnsi="Arial" w:eastAsia="Arial"/>
          <w:sz w:val="20"/>
        </w:rPr>
        <w:t>Incorrect. Technical language does not establish timing or clinical fit.</w:t>
      </w:r>
    </w:p>
    <w:p>
      <w:pPr>
        <w:spacing w:after="40"/>
        <w:ind w:left="173" w:hanging="173"/>
        <w:keepNext/>
      </w:pPr>
      <w:r>
        <w:rPr>
          <w:rFonts w:ascii="Arial" w:hAnsi="Arial" w:eastAsia="Arial"/>
          <w:b/>
          <w:color w:val="1F2937"/>
          <w:sz w:val="20"/>
        </w:rPr>
        <w:t xml:space="preserve">D. </w:t>
      </w:r>
      <w:r>
        <w:rPr>
          <w:rFonts w:ascii="Arial" w:hAnsi="Arial" w:eastAsia="Arial"/>
          <w:sz w:val="20"/>
        </w:rPr>
        <w:t>Incorrect. Clinical decisions manage supported risk proportionately; they cannot eliminate every possible risk.</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Translate FIRST into a sequence question: what must happen before the other plausible actions?</w:t>
            </w:r>
          </w:p>
        </w:tc>
      </w:tr>
    </w:tbl>
    <w:p>
      <w:pPr>
        <w:spacing w:after="0"/>
      </w:pPr>
    </w:p>
    <w:p>
      <w:pPr>
        <w:pStyle w:val="Heading2"/>
        <w:spacing w:before="140" w:after="60"/>
        <w:keepNext/>
      </w:pPr>
      <w:r>
        <w:rPr>
          <w:rFonts w:ascii="Arial" w:hAnsi="Arial" w:eastAsia="Arial"/>
          <w:b/>
          <w:color w:val="17365D"/>
          <w:sz w:val="23"/>
        </w:rPr>
        <w:t>Question 6 (LPCC-WB01-Q006)</w:t>
      </w:r>
    </w:p>
    <w:p>
      <w:pPr>
        <w:spacing w:after="60"/>
        <w:keepNext/>
      </w:pPr>
      <w:r>
        <w:rPr>
          <w:rFonts w:ascii="Arial" w:hAnsi="Arial" w:eastAsia="Arial"/>
          <w:b/>
          <w:color w:val="1F7A8C"/>
          <w:sz w:val="20"/>
        </w:rPr>
        <w:t>Correct Answer: D. Use a CBT-consistent intervention tied to the agreed target and monitor the client’s response.</w:t>
      </w:r>
    </w:p>
    <w:p>
      <w:pPr>
        <w:spacing w:after="40"/>
        <w:ind w:left="173" w:hanging="173"/>
        <w:keepNext/>
      </w:pPr>
      <w:r>
        <w:rPr>
          <w:rFonts w:ascii="Arial" w:hAnsi="Arial" w:eastAsia="Arial"/>
          <w:b/>
          <w:color w:val="1F2937"/>
          <w:sz w:val="20"/>
        </w:rPr>
        <w:t xml:space="preserve">A. </w:t>
      </w:r>
      <w:r>
        <w:rPr>
          <w:rFonts w:ascii="Arial" w:hAnsi="Arial" w:eastAsia="Arial"/>
          <w:sz w:val="20"/>
        </w:rPr>
        <w:t>Incorrect. Assessment is not repeated automatically after it has been completed sufficiently for the current decision.</w:t>
      </w:r>
    </w:p>
    <w:p>
      <w:pPr>
        <w:spacing w:after="40"/>
        <w:ind w:left="173" w:hanging="173"/>
        <w:keepNext/>
      </w:pPr>
      <w:r>
        <w:rPr>
          <w:rFonts w:ascii="Arial" w:hAnsi="Arial" w:eastAsia="Arial"/>
          <w:b/>
          <w:color w:val="1F2937"/>
          <w:sz w:val="20"/>
        </w:rPr>
        <w:t xml:space="preserve">B. </w:t>
      </w:r>
      <w:r>
        <w:rPr>
          <w:rFonts w:ascii="Arial" w:hAnsi="Arial" w:eastAsia="Arial"/>
          <w:sz w:val="20"/>
        </w:rPr>
        <w:t>Incorrect. Intervention choice should follow the formulation and plan rather than the counselor’s personal preference.</w:t>
      </w:r>
    </w:p>
    <w:p>
      <w:pPr>
        <w:spacing w:after="40"/>
        <w:ind w:left="173" w:hanging="173"/>
        <w:keepNext/>
      </w:pPr>
      <w:r>
        <w:rPr>
          <w:rFonts w:ascii="Arial" w:hAnsi="Arial" w:eastAsia="Arial"/>
          <w:b/>
          <w:color w:val="1F2937"/>
          <w:sz w:val="20"/>
        </w:rPr>
        <w:t xml:space="preserve">C. </w:t>
      </w:r>
      <w:r>
        <w:rPr>
          <w:rFonts w:ascii="Arial" w:hAnsi="Arial" w:eastAsia="Arial"/>
          <w:sz w:val="20"/>
        </w:rPr>
        <w:t>Incorrect. Lack of improvement before treatment begins does not support referral by itself.</w:t>
      </w:r>
    </w:p>
    <w:p>
      <w:pPr>
        <w:spacing w:after="40"/>
        <w:ind w:left="173" w:hanging="173"/>
        <w:keepNext/>
      </w:pPr>
      <w:r>
        <w:rPr>
          <w:rFonts w:ascii="Arial" w:hAnsi="Arial" w:eastAsia="Arial"/>
          <w:b/>
          <w:color w:val="17365D"/>
          <w:sz w:val="20"/>
        </w:rPr>
        <w:t xml:space="preserve">D. </w:t>
      </w:r>
      <w:r>
        <w:rPr>
          <w:rFonts w:ascii="Arial" w:hAnsi="Arial" w:eastAsia="Arial"/>
          <w:sz w:val="20"/>
        </w:rPr>
        <w:t>Correct. The case has moved to intervention. The best next action matches the agreed target, theory, and monitoring plan.</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NEXT depends on completed actions. Do not restart or jump sideways when the case is ready for a theory-consistent intervention.</w:t>
            </w:r>
          </w:p>
        </w:tc>
      </w:tr>
    </w:tbl>
    <w:p>
      <w:pPr>
        <w:spacing w:after="0"/>
      </w:pPr>
    </w:p>
    <w:p>
      <w:pPr>
        <w:pStyle w:val="Heading2"/>
        <w:spacing w:before="140" w:after="60"/>
        <w:keepNext/>
      </w:pPr>
      <w:r>
        <w:rPr>
          <w:rFonts w:ascii="Arial" w:hAnsi="Arial" w:eastAsia="Arial"/>
          <w:b/>
          <w:color w:val="17365D"/>
          <w:sz w:val="23"/>
        </w:rPr>
        <w:t>Question 7 (LPCC-WB01-Q007)</w:t>
      </w:r>
    </w:p>
    <w:p>
      <w:pPr>
        <w:spacing w:after="60"/>
        <w:keepNext/>
      </w:pPr>
      <w:r>
        <w:rPr>
          <w:rFonts w:ascii="Arial" w:hAnsi="Arial" w:eastAsia="Arial"/>
          <w:b/>
          <w:color w:val="1F7A8C"/>
          <w:sz w:val="20"/>
        </w:rPr>
        <w:t>Correct Answer: A. A clinically reasonable referral that occurs before the counselor has assessed need, urgency, fit, access, or client preference.</w:t>
      </w:r>
    </w:p>
    <w:p>
      <w:pPr>
        <w:spacing w:after="40"/>
        <w:ind w:left="173" w:hanging="173"/>
        <w:keepNext/>
      </w:pPr>
      <w:r>
        <w:rPr>
          <w:rFonts w:ascii="Arial" w:hAnsi="Arial" w:eastAsia="Arial"/>
          <w:b/>
          <w:color w:val="17365D"/>
          <w:sz w:val="20"/>
        </w:rPr>
        <w:t xml:space="preserve">A. </w:t>
      </w:r>
      <w:r>
        <w:rPr>
          <w:rFonts w:ascii="Arial" w:hAnsi="Arial" w:eastAsia="Arial"/>
          <w:sz w:val="20"/>
        </w:rPr>
        <w:t>Correct. This is the classic right-action/wrong-time distractor: referral may be useful later, but the necessary assessment has not occurred.</w:t>
      </w:r>
    </w:p>
    <w:p>
      <w:pPr>
        <w:spacing w:after="40"/>
        <w:ind w:left="173" w:hanging="173"/>
        <w:keepNext/>
      </w:pPr>
      <w:r>
        <w:rPr>
          <w:rFonts w:ascii="Arial" w:hAnsi="Arial" w:eastAsia="Arial"/>
          <w:b/>
          <w:color w:val="1F2937"/>
          <w:sz w:val="20"/>
        </w:rPr>
        <w:t xml:space="preserve">B. </w:t>
      </w:r>
      <w:r>
        <w:rPr>
          <w:rFonts w:ascii="Arial" w:hAnsi="Arial" w:eastAsia="Arial"/>
          <w:sz w:val="20"/>
        </w:rPr>
        <w:t>Incorrect. A spelling issue is not the reasoning function of a distractor.</w:t>
      </w:r>
    </w:p>
    <w:p>
      <w:pPr>
        <w:spacing w:after="40"/>
        <w:ind w:left="173" w:hanging="173"/>
        <w:keepNext/>
      </w:pPr>
      <w:r>
        <w:rPr>
          <w:rFonts w:ascii="Arial" w:hAnsi="Arial" w:eastAsia="Arial"/>
          <w:b/>
          <w:color w:val="1F2937"/>
          <w:sz w:val="20"/>
        </w:rPr>
        <w:t xml:space="preserve">C. </w:t>
      </w:r>
      <w:r>
        <w:rPr>
          <w:rFonts w:ascii="Arial" w:hAnsi="Arial" w:eastAsia="Arial"/>
          <w:sz w:val="20"/>
        </w:rPr>
        <w:t>Incorrect. Strong distractors are often plausible, not obviously impossible.</w:t>
      </w:r>
    </w:p>
    <w:p>
      <w:pPr>
        <w:spacing w:after="40"/>
        <w:ind w:left="173" w:hanging="173"/>
        <w:keepNext/>
      </w:pPr>
      <w:r>
        <w:rPr>
          <w:rFonts w:ascii="Arial" w:hAnsi="Arial" w:eastAsia="Arial"/>
          <w:b/>
          <w:color w:val="1F2937"/>
          <w:sz w:val="20"/>
        </w:rPr>
        <w:t xml:space="preserve">D. </w:t>
      </w:r>
      <w:r>
        <w:rPr>
          <w:rFonts w:ascii="Arial" w:hAnsi="Arial" w:eastAsia="Arial"/>
          <w:sz w:val="20"/>
        </w:rPr>
        <w:t>Incorrect. The keyed answer is not a distractor.</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distractor often describes something a competent counselor might eventually do. Ask why not now.</w:t>
            </w:r>
          </w:p>
        </w:tc>
      </w:tr>
    </w:tbl>
    <w:p>
      <w:pPr>
        <w:spacing w:after="0"/>
      </w:pPr>
    </w:p>
    <w:p>
      <w:pPr>
        <w:pStyle w:val="Heading2"/>
        <w:spacing w:before="140" w:after="60"/>
        <w:keepNext/>
      </w:pPr>
      <w:r>
        <w:rPr>
          <w:rFonts w:ascii="Arial" w:hAnsi="Arial" w:eastAsia="Arial"/>
          <w:b/>
          <w:color w:val="17365D"/>
          <w:sz w:val="23"/>
        </w:rPr>
        <w:t>Question 8 (LPCC-WB01-Q008)</w:t>
      </w:r>
    </w:p>
    <w:p>
      <w:pPr>
        <w:spacing w:after="60"/>
        <w:keepNext/>
      </w:pPr>
      <w:r>
        <w:rPr>
          <w:rFonts w:ascii="Arial" w:hAnsi="Arial" w:eastAsia="Arial"/>
          <w:b/>
          <w:color w:val="1F7A8C"/>
          <w:sz w:val="20"/>
        </w:rPr>
        <w:t>Correct Answer: C. Eliminate unsupported options, choose the best remaining answer, review the section, and then advance.</w:t>
      </w:r>
    </w:p>
    <w:p>
      <w:pPr>
        <w:spacing w:after="40"/>
        <w:ind w:left="173" w:hanging="173"/>
        <w:keepNext/>
      </w:pPr>
      <w:r>
        <w:rPr>
          <w:rFonts w:ascii="Arial" w:hAnsi="Arial" w:eastAsia="Arial"/>
          <w:b/>
          <w:color w:val="1F2937"/>
          <w:sz w:val="20"/>
        </w:rPr>
        <w:t xml:space="preserve">A. </w:t>
      </w:r>
      <w:r>
        <w:rPr>
          <w:rFonts w:ascii="Arial" w:hAnsi="Arial" w:eastAsia="Arial"/>
          <w:sz w:val="20"/>
        </w:rPr>
        <w:t>Incorrect. The candidate cannot rely on a global return after leaving the section.</w:t>
      </w:r>
    </w:p>
    <w:p>
      <w:pPr>
        <w:spacing w:after="40"/>
        <w:ind w:left="173" w:hanging="173"/>
        <w:keepNext/>
      </w:pPr>
      <w:r>
        <w:rPr>
          <w:rFonts w:ascii="Arial" w:hAnsi="Arial" w:eastAsia="Arial"/>
          <w:b/>
          <w:color w:val="1F2937"/>
          <w:sz w:val="20"/>
        </w:rPr>
        <w:t xml:space="preserve">B. </w:t>
      </w:r>
      <w:r>
        <w:rPr>
          <w:rFonts w:ascii="Arial" w:hAnsi="Arial" w:eastAsia="Arial"/>
          <w:sz w:val="20"/>
        </w:rPr>
        <w:t>Incorrect. Excessive time on one item threatens completion of later cases and does not guarantee accuracy.</w:t>
      </w:r>
    </w:p>
    <w:p>
      <w:pPr>
        <w:spacing w:after="40"/>
        <w:ind w:left="173" w:hanging="173"/>
        <w:keepNext/>
      </w:pPr>
      <w:r>
        <w:rPr>
          <w:rFonts w:ascii="Arial" w:hAnsi="Arial" w:eastAsia="Arial"/>
          <w:b/>
          <w:color w:val="17365D"/>
          <w:sz w:val="20"/>
        </w:rPr>
        <w:t xml:space="preserve">C. </w:t>
      </w:r>
      <w:r>
        <w:rPr>
          <w:rFonts w:ascii="Arial" w:hAnsi="Arial" w:eastAsia="Arial"/>
          <w:sz w:val="20"/>
        </w:rPr>
        <w:t>Correct. This strategy protects pacing, uses elimination, provides an answer, and respects the current review boundary.</w:t>
      </w:r>
    </w:p>
    <w:p>
      <w:pPr>
        <w:spacing w:after="40"/>
        <w:ind w:left="173" w:hanging="173"/>
        <w:keepNext/>
      </w:pPr>
      <w:r>
        <w:rPr>
          <w:rFonts w:ascii="Arial" w:hAnsi="Arial" w:eastAsia="Arial"/>
          <w:b/>
          <w:color w:val="1F2937"/>
          <w:sz w:val="20"/>
        </w:rPr>
        <w:t xml:space="preserve">D. </w:t>
      </w:r>
      <w:r>
        <w:rPr>
          <w:rFonts w:ascii="Arial" w:hAnsi="Arial" w:eastAsia="Arial"/>
          <w:sz w:val="20"/>
        </w:rPr>
        <w:t>Incorrect. Length does not determine correctness.</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Protect the whole exam. Make the best supported choice, review within the section, and move on.</w:t>
            </w:r>
          </w:p>
        </w:tc>
      </w:tr>
    </w:tbl>
    <w:p>
      <w:pPr>
        <w:spacing w:after="0"/>
      </w:pPr>
    </w:p>
    <w:p>
      <w:pPr>
        <w:pStyle w:val="Heading2"/>
        <w:spacing w:before="140" w:after="60"/>
        <w:keepNext/>
      </w:pPr>
      <w:r>
        <w:rPr>
          <w:rFonts w:ascii="Arial" w:hAnsi="Arial" w:eastAsia="Arial"/>
          <w:b/>
          <w:color w:val="17365D"/>
          <w:sz w:val="23"/>
        </w:rPr>
        <w:t>Question 9 (LPCC-WB01-Q009)</w:t>
      </w:r>
    </w:p>
    <w:p>
      <w:pPr>
        <w:spacing w:after="60"/>
        <w:keepNext/>
      </w:pPr>
      <w:r>
        <w:rPr>
          <w:rFonts w:ascii="Arial" w:hAnsi="Arial" w:eastAsia="Arial"/>
          <w:b/>
          <w:color w:val="1F7A8C"/>
          <w:sz w:val="20"/>
        </w:rPr>
        <w:t>Correct Answer: C. Review every option, code the fragile reasoning, write a correction rule, and apply it to a new item.</w:t>
      </w:r>
    </w:p>
    <w:p>
      <w:pPr>
        <w:spacing w:after="40"/>
        <w:ind w:left="173" w:hanging="173"/>
        <w:keepNext/>
      </w:pPr>
      <w:r>
        <w:rPr>
          <w:rFonts w:ascii="Arial" w:hAnsi="Arial" w:eastAsia="Arial"/>
          <w:b/>
          <w:color w:val="1F2937"/>
          <w:sz w:val="20"/>
        </w:rPr>
        <w:t xml:space="preserve">A. </w:t>
      </w:r>
      <w:r>
        <w:rPr>
          <w:rFonts w:ascii="Arial" w:hAnsi="Arial" w:eastAsia="Arial"/>
          <w:sz w:val="20"/>
        </w:rPr>
        <w:t>Incorrect. A low-confidence correct answer may reflect guessing and should not be treated as stable mastery.</w:t>
      </w:r>
    </w:p>
    <w:p>
      <w:pPr>
        <w:spacing w:after="40"/>
        <w:ind w:left="173" w:hanging="173"/>
        <w:keepNext/>
      </w:pPr>
      <w:r>
        <w:rPr>
          <w:rFonts w:ascii="Arial" w:hAnsi="Arial" w:eastAsia="Arial"/>
          <w:b/>
          <w:color w:val="1F2937"/>
          <w:sz w:val="20"/>
        </w:rPr>
        <w:t xml:space="preserve">B. </w:t>
      </w:r>
      <w:r>
        <w:rPr>
          <w:rFonts w:ascii="Arial" w:hAnsi="Arial" w:eastAsia="Arial"/>
          <w:sz w:val="20"/>
        </w:rPr>
        <w:t>Incorrect. Removing fragile items hides the information needed for remediation.</w:t>
      </w:r>
    </w:p>
    <w:p>
      <w:pPr>
        <w:spacing w:after="40"/>
        <w:ind w:left="173" w:hanging="173"/>
        <w:keepNext/>
      </w:pPr>
      <w:r>
        <w:rPr>
          <w:rFonts w:ascii="Arial" w:hAnsi="Arial" w:eastAsia="Arial"/>
          <w:b/>
          <w:color w:val="17365D"/>
          <w:sz w:val="20"/>
        </w:rPr>
        <w:t xml:space="preserve">C. </w:t>
      </w:r>
      <w:r>
        <w:rPr>
          <w:rFonts w:ascii="Arial" w:hAnsi="Arial" w:eastAsia="Arial"/>
          <w:sz w:val="20"/>
        </w:rPr>
        <w:t>Correct. Full option review, error coding, a transferable rule, and new application turn the item into learning evidence.</w:t>
      </w:r>
    </w:p>
    <w:p>
      <w:pPr>
        <w:spacing w:after="40"/>
        <w:ind w:left="173" w:hanging="173"/>
        <w:keepNext/>
      </w:pPr>
      <w:r>
        <w:rPr>
          <w:rFonts w:ascii="Arial" w:hAnsi="Arial" w:eastAsia="Arial"/>
          <w:b/>
          <w:color w:val="1F2937"/>
          <w:sz w:val="20"/>
        </w:rPr>
        <w:t xml:space="preserve">D. </w:t>
      </w:r>
      <w:r>
        <w:rPr>
          <w:rFonts w:ascii="Arial" w:hAnsi="Arial" w:eastAsia="Arial"/>
          <w:sz w:val="20"/>
        </w:rPr>
        <w:t>Incorrect. Memorizing a letter does not transfer to a new case and may reinforce answer-position bias.</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Track low-confidence correct answers. Readiness requires explainable reasoning, not lucky accuracy.</w:t>
            </w:r>
          </w:p>
        </w:tc>
      </w:tr>
    </w:tbl>
    <w:p>
      <w:pPr>
        <w:spacing w:after="0"/>
      </w:pPr>
    </w:p>
    <w:p>
      <w:pPr>
        <w:pStyle w:val="Heading2"/>
        <w:spacing w:before="140" w:after="60"/>
        <w:keepNext/>
      </w:pPr>
      <w:r>
        <w:rPr>
          <w:rFonts w:ascii="Arial" w:hAnsi="Arial" w:eastAsia="Arial"/>
          <w:b/>
          <w:color w:val="17365D"/>
          <w:sz w:val="23"/>
        </w:rPr>
        <w:t>Question 10 (LPCC-WB01-Q010)</w:t>
      </w:r>
    </w:p>
    <w:p>
      <w:pPr>
        <w:spacing w:after="60"/>
        <w:keepNext/>
      </w:pPr>
      <w:r>
        <w:rPr>
          <w:rFonts w:ascii="Arial" w:hAnsi="Arial" w:eastAsia="Arial"/>
          <w:b/>
          <w:color w:val="1F7A8C"/>
          <w:sz w:val="20"/>
        </w:rPr>
        <w:t>Correct Answer: A. Confirm the client’s location and conduct a direct suicide-risk assessment before proceeding with routine coping work.</w:t>
      </w:r>
    </w:p>
    <w:p>
      <w:pPr>
        <w:spacing w:after="40"/>
        <w:ind w:left="173" w:hanging="173"/>
        <w:keepNext/>
      </w:pPr>
      <w:r>
        <w:rPr>
          <w:rFonts w:ascii="Arial" w:hAnsi="Arial" w:eastAsia="Arial"/>
          <w:b/>
          <w:color w:val="17365D"/>
          <w:sz w:val="20"/>
        </w:rPr>
        <w:t xml:space="preserve">A. </w:t>
      </w:r>
      <w:r>
        <w:rPr>
          <w:rFonts w:ascii="Arial" w:hAnsi="Arial" w:eastAsia="Arial"/>
          <w:sz w:val="20"/>
        </w:rPr>
        <w:t>Correct. The statement requires direct risk assessment, and telehealth emergency response depends on knowing the client’s current location. These priorities precede routine coping instruction.</w:t>
      </w:r>
    </w:p>
    <w:p>
      <w:pPr>
        <w:spacing w:after="40"/>
        <w:ind w:left="173" w:hanging="173"/>
        <w:keepNext/>
      </w:pPr>
      <w:r>
        <w:rPr>
          <w:rFonts w:ascii="Arial" w:hAnsi="Arial" w:eastAsia="Arial"/>
          <w:b/>
          <w:color w:val="1F2937"/>
          <w:sz w:val="20"/>
        </w:rPr>
        <w:t xml:space="preserve">B. </w:t>
      </w:r>
      <w:r>
        <w:rPr>
          <w:rFonts w:ascii="Arial" w:hAnsi="Arial" w:eastAsia="Arial"/>
          <w:sz w:val="20"/>
        </w:rPr>
        <w:t>Incorrect. A relaxation skill may be helpful later but should not delay clarification of risk and emergency capacity.</w:t>
      </w:r>
    </w:p>
    <w:p>
      <w:pPr>
        <w:spacing w:after="40"/>
        <w:ind w:left="173" w:hanging="173"/>
        <w:keepNext/>
      </w:pPr>
      <w:r>
        <w:rPr>
          <w:rFonts w:ascii="Arial" w:hAnsi="Arial" w:eastAsia="Arial"/>
          <w:b/>
          <w:color w:val="1F2937"/>
          <w:sz w:val="20"/>
        </w:rPr>
        <w:t xml:space="preserve">C. </w:t>
      </w:r>
      <w:r>
        <w:rPr>
          <w:rFonts w:ascii="Arial" w:hAnsi="Arial" w:eastAsia="Arial"/>
          <w:sz w:val="20"/>
        </w:rPr>
        <w:t>Incorrect. The counselor cannot assume the meaning or severity of the statement without assessment.</w:t>
      </w:r>
    </w:p>
    <w:p>
      <w:pPr>
        <w:spacing w:after="40"/>
        <w:ind w:left="173" w:hanging="173"/>
        <w:keepNext/>
      </w:pPr>
      <w:r>
        <w:rPr>
          <w:rFonts w:ascii="Arial" w:hAnsi="Arial" w:eastAsia="Arial"/>
          <w:b/>
          <w:color w:val="1F2937"/>
          <w:sz w:val="20"/>
        </w:rPr>
        <w:t xml:space="preserve">D. </w:t>
      </w:r>
      <w:r>
        <w:rPr>
          <w:rFonts w:ascii="Arial" w:hAnsi="Arial" w:eastAsia="Arial"/>
          <w:sz w:val="20"/>
        </w:rPr>
        <w:t>Incorrect. Abruptly ending without assessment or a continuity response is disproportionate and unsafe.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telehealth, location, and possible self-harm converge, confirm where the client is and assess risk before routine intervention.</w:t>
            </w:r>
          </w:p>
        </w:tc>
      </w:tr>
    </w:tbl>
    <w:p>
      <w:pPr>
        <w:spacing w:after="0"/>
      </w:pPr>
    </w:p>
    <w:p>
      <w:r>
        <w:br w:type="page"/>
      </w:r>
    </w:p>
    <w:p>
      <w:pPr>
        <w:pStyle w:val="Heading1"/>
      </w:pPr>
      <w:r>
        <w:rPr>
          <w:rFonts w:ascii="Arial" w:hAnsi="Arial" w:eastAsia="Arial"/>
          <w:b/>
          <w:color w:val="17365D"/>
          <w:sz w:val="34"/>
        </w:rPr>
        <w:t>Study Planning and Next Step</w:t>
      </w:r>
    </w:p>
    <w:p>
      <w:pPr>
        <w:pStyle w:val="Heading2"/>
        <w:spacing w:before="140" w:after="80"/>
        <w:keepNext/>
      </w:pPr>
      <w:r>
        <w:rPr>
          <w:rFonts w:ascii="Arial" w:hAnsi="Arial" w:eastAsia="Arial"/>
          <w:b/>
          <w:color w:val="159C9C"/>
          <w:sz w:val="26"/>
        </w:rPr>
        <w:t>My Workbook 1 Results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8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Measure</w:t>
            </w:r>
          </w:p>
        </w:tc>
        <w:tc>
          <w:tcPr>
            <w:tcW w:type="dxa" w:w="66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Result</w:t>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Knowledge-check score</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10</w:t>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Low-confidence correct answers</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Most frequent error code</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Average time / pacing observation</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One reasoning strength</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One priority for remediation</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bl>
    <w:p>
      <w:pPr>
        <w:spacing w:after="0"/>
      </w:pPr>
    </w:p>
    <w:p>
      <w:pPr>
        <w:pStyle w:val="Heading2"/>
        <w:spacing w:before="140" w:after="80"/>
        <w:keepNext/>
      </w:pPr>
      <w:r>
        <w:rPr>
          <w:rFonts w:ascii="Arial" w:hAnsi="Arial" w:eastAsia="Arial"/>
          <w:b/>
          <w:color w:val="159C9C"/>
          <w:sz w:val="26"/>
        </w:rPr>
        <w:t>My Corrected Rules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4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Error Pattern</w:t>
            </w:r>
          </w:p>
        </w:tc>
        <w:tc>
          <w:tcPr>
            <w:tcW w:type="dxa" w:w="70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My One-Sentence Correction Rule</w:t>
            </w:r>
          </w:p>
        </w:tc>
      </w:tr>
      <w:tr>
        <w:trPr>
          <w:cantSplit/>
        </w:trPr>
        <w:tc>
          <w:tcPr>
            <w:tcW w:type="dxa" w:w="34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70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4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70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4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70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4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70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Next Controlled Action</w:t>
      </w:r>
    </w:p>
    <w:p>
      <w:pPr>
        <w:spacing w:after="40"/>
      </w:pPr>
      <w:r>
        <w:rPr>
          <w:rFonts w:ascii="Arial" w:hAnsi="Arial" w:eastAsia="Arial"/>
          <w:sz w:val="20"/>
        </w:rPr>
        <w:t>☐ Review the exact workbook sections connected to my error codes.</w:t>
      </w:r>
    </w:p>
    <w:p>
      <w:pPr>
        <w:spacing w:after="40"/>
      </w:pPr>
      <w:r>
        <w:rPr>
          <w:rFonts w:ascii="Arial" w:hAnsi="Arial" w:eastAsia="Arial"/>
          <w:sz w:val="20"/>
        </w:rPr>
        <w:t>☐ Complete one new vignette using the Three-Pass Analysis worksheet.</w:t>
      </w:r>
    </w:p>
    <w:p>
      <w:pPr>
        <w:spacing w:after="40"/>
      </w:pPr>
      <w:r>
        <w:rPr>
          <w:rFonts w:ascii="Arial" w:hAnsi="Arial" w:eastAsia="Arial"/>
          <w:sz w:val="20"/>
        </w:rPr>
        <w:t>☐ Complete the separate 17-question Workbook 1 bank without viewing rationales.</w:t>
      </w:r>
    </w:p>
    <w:p>
      <w:pPr>
        <w:spacing w:after="40"/>
      </w:pPr>
      <w:r>
        <w:rPr>
          <w:rFonts w:ascii="Arial" w:hAnsi="Arial" w:eastAsia="Arial"/>
          <w:sz w:val="20"/>
        </w:rPr>
        <w:t>☐ Review every bank rationale and update my error log.</w:t>
      </w:r>
    </w:p>
    <w:p>
      <w:pPr>
        <w:spacing w:after="40"/>
      </w:pPr>
      <w:r>
        <w:rPr>
          <w:rFonts w:ascii="Arial" w:hAnsi="Arial" w:eastAsia="Arial"/>
          <w:sz w:val="20"/>
        </w:rPr>
        <w:t>☐ Move to Workbook 2 only after I can explain the core reasoning rules in my own words.</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BEFORE YOU MOVE ON</w:t>
            </w:r>
          </w:p>
          <w:p>
            <w:pPr>
              <w:spacing w:after="20" w:line="250" w:lineRule="auto"/>
            </w:pPr>
            <w:r>
              <w:rPr>
                <w:rFonts w:ascii="Arial" w:hAnsi="Arial" w:eastAsia="Arial"/>
                <w:color w:val="1F2937"/>
                <w:sz w:val="20"/>
              </w:rPr>
              <w:t>You do not need perfect confidence. You do need a repeatable method: identify the task, control the evidence, follow the priority sequence, eliminate wrong-timing answers, and learn from every rationale.</w:t>
            </w:r>
          </w:p>
        </w:tc>
      </w:tr>
    </w:tbl>
    <w:p>
      <w:pPr>
        <w:spacing w:after="0"/>
      </w:pPr>
    </w:p>
    <w:p>
      <w:pPr>
        <w:pStyle w:val="Heading2"/>
        <w:spacing w:before="140" w:after="80"/>
        <w:keepNext/>
      </w:pPr>
      <w:r>
        <w:rPr>
          <w:rFonts w:ascii="Arial" w:hAnsi="Arial" w:eastAsia="Arial"/>
          <w:b/>
          <w:color w:val="159C9C"/>
          <w:sz w:val="26"/>
        </w:rPr>
        <w:t>Official Sources and Currency Note</w:t>
      </w:r>
    </w:p>
    <w:p>
      <w:pPr>
        <w:spacing w:before="0" w:after="100" w:line="254" w:lineRule="auto"/>
      </w:pPr>
      <w:r>
        <w:rPr>
          <w:rFonts w:ascii="Arial" w:hAnsi="Arial" w:eastAsia="Arial"/>
          <w:b w:val="0"/>
          <w:i w:val="0"/>
          <w:color w:val="1F2937"/>
          <w:sz w:val="19"/>
        </w:rPr>
        <w:t>Exam mechanics, content outlines, and administration rules can change. The following official sources were checked on July 26, 2026. Candidates should consult the current versions before registering and again shortly before testing.</w:t>
      </w:r>
    </w:p>
    <w:p>
      <w:pPr>
        <w:pStyle w:val="ListBullet"/>
        <w:spacing w:after="60"/>
      </w:pPr>
      <w:hyperlink r:id="rId12">
        <w:r>
          <w:rPr>
            <w:rFonts w:ascii="Arial" w:hAnsi="Arial"/>
            <w:color w:val="159C9C"/>
            <w:u w:val="single"/>
          </w:rPr>
          <w:t>California Board of Behavioral Sciences. Licensed Professional Clinical Counselor (LPCC) Clinical Examination.</w:t>
        </w:r>
      </w:hyperlink>
    </w:p>
    <w:p>
      <w:pPr>
        <w:pStyle w:val="ListBullet"/>
        <w:spacing w:after="60"/>
      </w:pPr>
      <w:hyperlink r:id="rId13">
        <w:r>
          <w:rPr>
            <w:rFonts w:ascii="Arial" w:hAnsi="Arial"/>
            <w:color w:val="159C9C"/>
            <w:u w:val="single"/>
          </w:rPr>
          <w:t>National Board for Certified Counselors. NCMHCE Content Outline. Revised October 8, 2025.</w:t>
        </w:r>
      </w:hyperlink>
    </w:p>
    <w:p>
      <w:pPr>
        <w:pStyle w:val="ListBullet"/>
        <w:spacing w:after="60"/>
      </w:pPr>
      <w:hyperlink r:id="rId14">
        <w:r>
          <w:rPr>
            <w:rFonts w:ascii="Arial" w:hAnsi="Arial"/>
            <w:color w:val="159C9C"/>
            <w:u w:val="single"/>
          </w:rPr>
          <w:t>National Board for Certified Counselors. Candidate Handbook for State Licensure: NCMHCE. Revised September 24, 2024; verified current July 26, 2026.</w:t>
        </w:r>
      </w:hyperlink>
    </w:p>
    <w:p>
      <w:pPr>
        <w:pStyle w:val="ListBullet"/>
        <w:spacing w:after="60"/>
      </w:pPr>
      <w:hyperlink r:id="rId15">
        <w:r>
          <w:rPr>
            <w:rFonts w:ascii="Arial" w:hAnsi="Arial"/>
            <w:color w:val="159C9C"/>
            <w:u w:val="single"/>
          </w:rPr>
          <w:t>National Board for Certified Counselors. NCMHCE Examination Specifications. Effective July 1, 2027.</w:t>
        </w:r>
      </w:hyperlink>
    </w:p>
    <w:p>
      <w:pPr>
        <w:pStyle w:val="ListBullet"/>
        <w:spacing w:after="60"/>
      </w:pPr>
      <w:hyperlink r:id="rId16">
        <w:r>
          <w:rPr>
            <w:rFonts w:ascii="Arial" w:hAnsi="Arial"/>
            <w:color w:val="159C9C"/>
            <w:u w:val="single"/>
          </w:rPr>
          <w:t>National Board for Certified Counselors. NCMHCE Examination Information and Transition Page.</w:t>
        </w:r>
      </w:hyperlink>
    </w:p>
    <w:p>
      <w:r>
        <w:br w:type="page"/>
      </w:r>
    </w:p>
    <w:tbl>
      <w:tblPr>
        <w:tblW w:type="auto" w:w="0"/>
        <w:jc w:val="center"/>
        <w:tblLook w:firstColumn="1" w:firstRow="1" w:lastColumn="0" w:lastRow="0" w:noHBand="0" w:noVBand="1" w:val="04A0"/>
      </w:tblPr>
      <w:tblGrid>
        <w:gridCol w:w="10310"/>
      </w:tblGrid>
      <w:tr>
        <w:trPr>
          <w:cantSplit/>
          <w:tblHeader w:val="true"/>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PUBLICATION NOTE</w:t>
            </w:r>
          </w:p>
          <w:p>
            <w:pPr>
              <w:spacing w:after="20" w:line="250" w:lineRule="auto"/>
            </w:pPr>
            <w:r>
              <w:rPr>
                <w:rFonts w:ascii="Arial" w:hAnsi="Arial" w:eastAsia="Arial"/>
                <w:color w:val="1F2937"/>
                <w:sz w:val="19"/>
              </w:rPr>
              <w:t>CTA will revise Workbook 1 if NBCC publishes a superseding handbook, FAQ, navigation rule, scoring explanation, or transition date. Use the workbook version and official-source date that match your examination window.</w:t>
            </w:r>
          </w:p>
        </w:tc>
      </w:tr>
    </w:tbl>
    <w:p>
      <w:pPr>
        <w:spacing w:after="0"/>
      </w:pPr>
    </w:p>
    <w:p>
      <w:pPr>
        <w:spacing w:before="720"/>
        <w:jc w:val="center"/>
      </w:pPr>
      <w:r>
        <w:drawing>
          <wp:inline xmlns:a="http://schemas.openxmlformats.org/drawingml/2006/main" xmlns:pic="http://schemas.openxmlformats.org/drawingml/2006/picture">
            <wp:extent cx="1828800" cy="1321942"/>
            <wp:docPr id="2"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1828800" cy="1321942"/>
                    </a:xfrm>
                    <a:prstGeom prst="rect"/>
                  </pic:spPr>
                </pic:pic>
              </a:graphicData>
            </a:graphic>
          </wp:inline>
        </w:drawing>
      </w:r>
    </w:p>
    <w:p>
      <w:pPr>
        <w:spacing w:before="280" w:after="100" w:line="254" w:lineRule="auto"/>
        <w:jc w:val="center"/>
      </w:pPr>
      <w:r>
        <w:rPr>
          <w:rFonts w:ascii="Arial" w:hAnsi="Arial" w:eastAsia="Arial"/>
          <w:b/>
          <w:i w:val="0"/>
          <w:color w:val="17365D"/>
          <w:sz w:val="28"/>
        </w:rPr>
        <w:t>End of Workbook 1</w:t>
      </w:r>
    </w:p>
    <w:p>
      <w:pPr>
        <w:spacing w:before="80" w:after="40" w:line="254" w:lineRule="auto"/>
        <w:jc w:val="center"/>
      </w:pPr>
      <w:r>
        <w:rPr>
          <w:rFonts w:ascii="Arial" w:hAnsi="Arial" w:eastAsia="Arial"/>
          <w:b/>
          <w:i w:val="0"/>
          <w:color w:val="159C9C"/>
          <w:sz w:val="21"/>
        </w:rPr>
        <w:t>Next in the CTA LPCC sequence:</w:t>
      </w:r>
    </w:p>
    <w:p>
      <w:pPr>
        <w:spacing w:before="0" w:after="0" w:line="254" w:lineRule="auto"/>
        <w:jc w:val="center"/>
      </w:pPr>
      <w:r>
        <w:rPr>
          <w:rFonts w:ascii="Arial" w:hAnsi="Arial" w:eastAsia="Arial"/>
          <w:b/>
          <w:i w:val="0"/>
          <w:color w:val="17365D"/>
          <w:sz w:val="22"/>
        </w:rPr>
        <w:t>Workbook 2 - Professional Counselor Identity, Scope, Ethics, and Therapeutic Relationships</w:t>
      </w:r>
    </w:p>
    <w:sectPr w:rsidR="00FC693F" w:rsidRPr="0006063C" w:rsidSect="00034616">
      <w:headerReference w:type="default" r:id="rId9"/>
      <w:footerReference w:type="default" r:id="rId10"/>
      <w:headerReference w:type="first" r:id="rId17"/>
      <w:headerReference w:type="even" r:id="rId18"/>
      <w:footerReference w:type="first" r:id="rId19"/>
      <w:footerReference w:type="even" r:id="rId20"/>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7"/>
      </w:rPr>
      <w:t xml:space="preserve">Clinical Training Academy - LPCC Student Workbook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Workbook 1 - NCMHCE Case-Study Strategy</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www.bbs.ca.gov/exams/lpcc.html" TargetMode="External"/><Relationship Id="rId13" Type="http://schemas.openxmlformats.org/officeDocument/2006/relationships/hyperlink" Target="https://www.nbcc.org/assets/exam/ncmhce_content_outline.pdf" TargetMode="External"/><Relationship Id="rId14" Type="http://schemas.openxmlformats.org/officeDocument/2006/relationships/hyperlink" Target="https://www.nbcc.org/assets/exam/handbooks/ncmhce.pdf" TargetMode="External"/><Relationship Id="rId15" Type="http://schemas.openxmlformats.org/officeDocument/2006/relationships/hyperlink" Target="https://www.nbcc.org/assets/exam/NCMHCE_exam_spec_2027.pdf" TargetMode="External"/><Relationship Id="rId16" Type="http://schemas.openxmlformats.org/officeDocument/2006/relationships/hyperlink" Target="https://www.nbcc.org/examinations/ncmhce" TargetMode="Externa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1: NCMHCE Case-Study Strategy and Applied Clinical Counselor Reasoning</dc:title>
  <dc:subject>California LPCC NCMHCE Examination Preparation</dc:subject>
  <dc:creator>Clinical Training Academy</dc:creator>
  <cp:keywords>LPCC, APCC, NCMHCE, exam preparation, clinical counseling, California</cp:keywords>
  <dc:description>Student-facing examination-preparation workbook. No continuing-education credit.</dc:description>
  <cp:lastModifiedBy/>
  <cp:revision>1</cp:revision>
  <dcterms:created xsi:type="dcterms:W3CDTF">2013-12-23T23:15:00Z</dcterms:created>
  <dcterms:modified xsi:type="dcterms:W3CDTF">2013-12-23T23:15:00Z</dcterms:modified>
  <cp:category/>
</cp:coreProperties>
</file>