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drawing>
          <wp:inline xmlns:a="http://schemas.openxmlformats.org/drawingml/2006/main" xmlns:pic="http://schemas.openxmlformats.org/drawingml/2006/picture">
            <wp:extent cx="1920240" cy="1388039"/>
            <wp:docPr id="1" name="CTA stacked logo" descr="Clinical Training and Supervision Academy logo"/>
            <wp:cNvGraphicFramePr>
              <a:graphicFrameLocks noChangeAspect="1"/>
            </wp:cNvGraphicFramePr>
            <a:graphic>
              <a:graphicData uri="http://schemas.openxmlformats.org/drawingml/2006/picture">
                <pic:pic>
                  <pic:nvPicPr>
                    <pic:cNvPr id="0" name="CTA_Stacked_Logo(3).png"/>
                    <pic:cNvPicPr/>
                  </pic:nvPicPr>
                  <pic:blipFill>
                    <a:blip r:embed="rId11"/>
                    <a:stretch>
                      <a:fillRect/>
                    </a:stretch>
                  </pic:blipFill>
                  <pic:spPr>
                    <a:xfrm>
                      <a:off x="0" y="0"/>
                      <a:ext cx="1920240" cy="1388039"/>
                    </a:xfrm>
                    <a:prstGeom prst="rect"/>
                  </pic:spPr>
                </pic:pic>
              </a:graphicData>
            </a:graphic>
          </wp:inline>
        </w:drawing>
      </w:r>
    </w:p>
    <w:p>
      <w:pPr>
        <w:spacing w:after="40"/>
        <w:jc w:val="center"/>
      </w:pPr>
      <w:r>
        <w:rPr>
          <w:rFonts w:ascii="Arial" w:hAnsi="Arial" w:eastAsia="Arial"/>
          <w:b/>
          <w:color w:val="159C9C"/>
          <w:sz w:val="25"/>
        </w:rPr>
        <w:t>LPCC NCMHCE EXAM PREPARATION PROGRAM</w:t>
      </w:r>
    </w:p>
    <w:p>
      <w:pPr>
        <w:spacing w:after="80"/>
        <w:jc w:val="center"/>
      </w:pPr>
      <w:r>
        <w:rPr>
          <w:rFonts w:ascii="Arial" w:hAnsi="Arial" w:eastAsia="Arial"/>
          <w:b/>
          <w:color w:val="4E5B6B"/>
          <w:sz w:val="26"/>
        </w:rPr>
        <w:t>Student Workbook</w:t>
      </w:r>
    </w:p>
    <w:p>
      <w:pPr>
        <w:spacing w:after="140"/>
        <w:jc w:val="center"/>
      </w:pPr>
      <w:r>
        <w:rPr>
          <w:rFonts w:ascii="Arial" w:hAnsi="Arial" w:eastAsia="Arial"/>
          <w:b/>
          <w:color w:val="17365D"/>
          <w:sz w:val="36"/>
        </w:rPr>
        <w:t>CTA LPCC Workbook 4: Crisis, Trauma, Abuse, Violence, and Level-of-Care Decisions</w:t>
      </w:r>
    </w:p>
    <w:p>
      <w:pPr>
        <w:spacing w:after="180"/>
        <w:jc w:val="center"/>
      </w:pPr>
      <w:r>
        <w:rPr>
          <w:rFonts w:ascii="Arial" w:hAnsi="Arial" w:eastAsia="Arial"/>
          <w:i/>
          <w:color w:val="1F7A8C"/>
          <w:sz w:val="22"/>
        </w:rPr>
        <w:t>How to stabilize, assess danger, activate duties, and choose the safest proportionate next step</w:t>
      </w:r>
    </w:p>
    <w:p>
      <w:pPr>
        <w:spacing w:after="280"/>
        <w:jc w:val="center"/>
      </w:pPr>
      <w:r>
        <w:rPr>
          <w:rFonts w:ascii="Arial" w:hAnsi="Arial" w:eastAsia="Arial"/>
          <w:b/>
          <w:color w:val="4E5B6B"/>
          <w:sz w:val="21"/>
        </w:rPr>
        <w:t>Version 1.0 - July 2026</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STUDENT-FACING EXAM PREPARATION MATERIAL</w:t>
            </w:r>
          </w:p>
          <w:p>
            <w:pPr>
              <w:spacing w:after="20" w:line="250" w:lineRule="auto"/>
            </w:pPr>
            <w:r>
              <w:rPr>
                <w:rFonts w:ascii="Arial" w:hAnsi="Arial" w:eastAsia="Arial"/>
                <w:color w:val="1F2937"/>
                <w:sz w:val="20"/>
              </w:rPr>
              <w:t>All teaching cases, worksheets, and practice questions are original CTA materials. They are not recalled, copied, or represented as actual NCMHCE items.</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EDUCATIONAL, NON-AFFILIATION, AND SCOPE NOTICE</w:t>
            </w:r>
          </w:p>
          <w:p>
            <w:pPr>
              <w:spacing w:after="20" w:line="250" w:lineRule="auto"/>
            </w:pPr>
            <w:r>
              <w:rPr>
                <w:rFonts w:ascii="Arial" w:hAnsi="Arial" w:eastAsia="Arial"/>
                <w:color w:val="1F2937"/>
                <w:sz w:val="20"/>
              </w:rPr>
              <w:t>Clinical Training Academy is not affiliated with the California Board of Behavioral Sciences, NBCC, CCE, Pearson VUE, ACA, any crisis system, or any instrument publisher. This workbook does not replace legal advice, supervision, employer or county protocol, current statutes, ethical codes, emergency procedures, instrument manuals, or specialized crisis training.</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2F4F7"/>
            <w:tcBorders>
              <w:top w:val="single" w:sz="10" w:color="D9E1E8"/>
              <w:left w:val="single" w:sz="10" w:color="D9E1E8"/>
              <w:bottom w:val="single" w:sz="10" w:color="D9E1E8"/>
              <w:right w:val="single" w:sz="10" w:color="D9E1E8"/>
            </w:tcBorders>
            <w:tcMar>
              <w:top w:w="110" w:type="dxa"/>
              <w:start w:w="140" w:type="dxa"/>
              <w:bottom w:w="110" w:type="dxa"/>
              <w:end w:w="140" w:type="dxa"/>
            </w:tcMar>
          </w:tcPr>
          <w:p>
            <w:pPr>
              <w:spacing w:after="60"/>
            </w:pPr>
            <w:r>
              <w:rPr>
                <w:rFonts w:ascii="Arial" w:hAnsi="Arial" w:eastAsia="Arial"/>
                <w:b/>
                <w:color w:val="17365D"/>
                <w:sz w:val="21"/>
              </w:rPr>
              <w:t>NO CONTINUING-EDUCATION CREDIT</w:t>
            </w:r>
          </w:p>
          <w:p>
            <w:pPr>
              <w:spacing w:after="20" w:line="250" w:lineRule="auto"/>
            </w:pPr>
            <w:r>
              <w:rPr>
                <w:rFonts w:ascii="Arial" w:hAnsi="Arial" w:eastAsia="Arial"/>
                <w:color w:val="1F2937"/>
                <w:sz w:val="20"/>
              </w:rPr>
              <w:t>This is an examination-preparation workbook. It does not award continuing-education credit.</w:t>
            </w:r>
          </w:p>
        </w:tc>
      </w:tr>
    </w:tbl>
    <w:p>
      <w:pPr>
        <w:spacing w:after="0"/>
      </w:pPr>
    </w:p>
    <w:p>
      <w:pPr>
        <w:pStyle w:val="Heading1"/>
        <w:spacing w:before="100" w:after="80"/>
        <w:keepNext/>
      </w:pPr>
      <w:r>
        <w:rPr>
          <w:rFonts w:ascii="Arial" w:hAnsi="Arial" w:eastAsia="Arial"/>
          <w:b/>
          <w:color w:val="17365D"/>
          <w:sz w:val="23"/>
        </w:rPr>
        <w:t>How to Use This Workbook</w:t>
      </w:r>
    </w:p>
    <w:p>
      <w:pPr>
        <w:spacing w:before="0" w:after="100" w:line="254" w:lineRule="auto"/>
      </w:pPr>
      <w:r>
        <w:rPr>
          <w:rFonts w:ascii="Arial" w:hAnsi="Arial" w:eastAsia="Arial"/>
          <w:b w:val="0"/>
          <w:i w:val="0"/>
          <w:color w:val="1F2937"/>
          <w:sz w:val="20"/>
        </w:rPr>
        <w:t>Workbook 4 teaches the decision sequence used when facts may not safely wait. Complete the chapters in order. For each scenario, identify the immediate danger, the information still needed, the legal or ethical duty that may be activated, the least restrictive option that is actually safe, and the documentation needed to support the decision. Crisis questions reward disciplined sequencing—not dramatic action without assessment and not prolonged assessment while danger escalates.</w:t>
      </w: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F7A8C"/>
                <w:sz w:val="21"/>
              </w:rPr>
              <w:t>BIG IDEA</w:t>
            </w:r>
          </w:p>
          <w:p>
            <w:pPr>
              <w:spacing w:after="20" w:line="250" w:lineRule="auto"/>
            </w:pPr>
            <w:r>
              <w:rPr>
                <w:rFonts w:ascii="Arial" w:hAnsi="Arial" w:eastAsia="Arial"/>
                <w:color w:val="1F2937"/>
                <w:sz w:val="20"/>
              </w:rPr>
              <w:t>In a crisis, the best answer protects life and dignity by doing the next necessary task—not the most extreme task and not the most comfortable task.</w:t>
            </w:r>
          </w:p>
        </w:tc>
      </w:tr>
    </w:tbl>
    <w:p>
      <w:pPr>
        <w:spacing w:after="0"/>
      </w:pPr>
    </w:p>
    <w:p>
      <w:pPr>
        <w:pStyle w:val="Heading2"/>
        <w:spacing w:before="140" w:after="80"/>
        <w:keepNext/>
      </w:pPr>
      <w:r>
        <w:rPr>
          <w:rFonts w:ascii="Arial" w:hAnsi="Arial" w:eastAsia="Arial"/>
          <w:b/>
          <w:color w:val="159C9C"/>
          <w:sz w:val="26"/>
        </w:rPr>
        <w:t>Learning Objectives</w:t>
      </w:r>
    </w:p>
    <w:p>
      <w:pPr>
        <w:pStyle w:val="ListBullet"/>
        <w:spacing w:after="50" w:line="250" w:lineRule="auto"/>
        <w:keepLines/>
      </w:pPr>
      <w:r>
        <w:rPr>
          <w:rFonts w:ascii="Arial" w:hAnsi="Arial" w:eastAsia="Arial"/>
          <w:color w:val="1F2937"/>
          <w:sz w:val="20"/>
        </w:rPr>
        <w:t>Apply a structured crisis sequence that prioritizes immediate safety, de-escalation, focused assessment, collaboration, and timely escalation.</w:t>
      </w:r>
    </w:p>
    <w:p>
      <w:pPr>
        <w:pStyle w:val="ListBullet"/>
        <w:spacing w:after="50" w:line="250" w:lineRule="auto"/>
        <w:keepLines/>
      </w:pPr>
      <w:r>
        <w:rPr>
          <w:rFonts w:ascii="Arial" w:hAnsi="Arial" w:eastAsia="Arial"/>
          <w:color w:val="1F2937"/>
          <w:sz w:val="20"/>
        </w:rPr>
        <w:t>Differentiate suicide screening, comprehensive risk assessment, risk formulation, safety planning, and disposition decisions.</w:t>
      </w:r>
    </w:p>
    <w:p>
      <w:pPr>
        <w:pStyle w:val="ListBullet"/>
        <w:spacing w:after="50" w:line="250" w:lineRule="auto"/>
        <w:keepLines/>
      </w:pPr>
      <w:r>
        <w:rPr>
          <w:rFonts w:ascii="Arial" w:hAnsi="Arial" w:eastAsia="Arial"/>
          <w:color w:val="1F2937"/>
          <w:sz w:val="20"/>
        </w:rPr>
        <w:t>Recognize California duties involving serious threats, child abuse or neglect, and elder or dependent-adult abuse without delaying required action to investigate.</w:t>
      </w:r>
    </w:p>
    <w:p>
      <w:pPr>
        <w:pStyle w:val="ListBullet"/>
        <w:spacing w:after="50" w:line="250" w:lineRule="auto"/>
        <w:keepLines/>
      </w:pPr>
      <w:r>
        <w:rPr>
          <w:rFonts w:ascii="Arial" w:hAnsi="Arial" w:eastAsia="Arial"/>
          <w:color w:val="1F2937"/>
          <w:sz w:val="20"/>
        </w:rPr>
        <w:t>Distinguish trauma-related distress from psychosis, mania, intoxication, withdrawal, cognitive change, and medical or neurological urgency.</w:t>
      </w:r>
    </w:p>
    <w:p>
      <w:pPr>
        <w:pStyle w:val="ListBullet"/>
        <w:spacing w:after="50" w:line="250" w:lineRule="auto"/>
        <w:keepLines/>
      </w:pPr>
      <w:r>
        <w:rPr>
          <w:rFonts w:ascii="Arial" w:hAnsi="Arial" w:eastAsia="Arial"/>
          <w:color w:val="1F2937"/>
          <w:sz w:val="20"/>
        </w:rPr>
        <w:t>Select and justify an appropriate level of care, consultation pathway, safety plan, crisis resource, and documentation response.</w:t>
      </w:r>
    </w:p>
    <w:p>
      <w:pPr>
        <w:pStyle w:val="Heading2"/>
        <w:spacing w:before="140" w:after="80"/>
        <w:keepNext/>
      </w:pPr>
      <w:r>
        <w:rPr>
          <w:rFonts w:ascii="Arial" w:hAnsi="Arial" w:eastAsia="Arial"/>
          <w:b/>
          <w:color w:val="159C9C"/>
          <w:sz w:val="26"/>
        </w:rPr>
        <w:t>Why This Topic Matters</w:t>
      </w:r>
    </w:p>
    <w:p>
      <w:pPr>
        <w:spacing w:before="0" w:after="100" w:line="254" w:lineRule="auto"/>
      </w:pPr>
      <w:r>
        <w:rPr>
          <w:rFonts w:ascii="Arial" w:hAnsi="Arial" w:eastAsia="Arial"/>
          <w:b w:val="0"/>
          <w:i w:val="0"/>
          <w:color w:val="1F2937"/>
          <w:sz w:val="20"/>
        </w:rPr>
        <w:t>The NCMHCE often embeds crisis facts inside ordinary counseling cases. The challenge is deciding when the case has crossed from routine exploration to urgent assessment, when a positive screen requires a fuller evaluation, when a duty must be activated, and when outpatient care is no longer sufficient. Common distractors minimize danger, overreact without gathering discriminating facts, substitute a form for clinical judgment, or confuse a safety plan with a guarantee.</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BLUEPRINT ALIGNMENT</w:t>
            </w:r>
          </w:p>
          <w:p>
            <w:pPr>
              <w:spacing w:after="20" w:line="250" w:lineRule="auto"/>
            </w:pPr>
            <w:r>
              <w:rPr>
                <w:rFonts w:ascii="Arial" w:hAnsi="Arial" w:eastAsia="Arial"/>
                <w:color w:val="1F2937"/>
                <w:sz w:val="20"/>
              </w:rPr>
              <w:t>This workbook primarily supports current NCMHCE tasks involving crisis intervention, risk assessment, trauma assessment, safety planning, and level-of-care decisions. It also bridges the July 1, 2027 Intake &amp; Assessment, Provision of Interventions, Treatment Planning &amp; Continuity, and Legal &amp; Ethical Compliance domains.</w:t>
            </w:r>
          </w:p>
        </w:tc>
      </w:tr>
    </w:tbl>
    <w:p>
      <w:pPr>
        <w:spacing w:after="0"/>
      </w:pPr>
    </w:p>
    <w:p>
      <w:pPr>
        <w:pStyle w:val="Heading2"/>
        <w:spacing w:before="140" w:after="80"/>
        <w:keepNext/>
      </w:pPr>
      <w:r>
        <w:rPr>
          <w:rFonts w:ascii="Arial" w:hAnsi="Arial" w:eastAsia="Arial"/>
          <w:b/>
          <w:color w:val="159C9C"/>
          <w:sz w:val="26"/>
        </w:rPr>
        <w:t>Workbook Roadmap</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15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Chapter</w:t>
            </w:r>
          </w:p>
        </w:tc>
        <w:tc>
          <w:tcPr>
            <w:tcW w:type="dxa" w:w="597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Focus</w:t>
            </w:r>
          </w:p>
        </w:tc>
        <w:tc>
          <w:tcPr>
            <w:tcW w:type="dxa" w:w="338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Primary Tool</w:t>
            </w:r>
          </w:p>
        </w:tc>
      </w:tr>
      <w:tr>
        <w:trPr>
          <w:cantSplit/>
        </w:trPr>
        <w:tc>
          <w:tcPr>
            <w:tcW w:type="dxa" w:w="11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w:t>
            </w:r>
          </w:p>
        </w:tc>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Crisis sequence, stabilization, and de-escalation</w:t>
            </w:r>
          </w:p>
        </w:tc>
        <w:tc>
          <w:tcPr>
            <w:tcW w:type="dxa" w:w="33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STABLE Crisis Sequence</w:t>
            </w:r>
          </w:p>
        </w:tc>
      </w:tr>
      <w:tr>
        <w:trPr>
          <w:cantSplit/>
        </w:trPr>
        <w:tc>
          <w:tcPr>
            <w:tcW w:type="dxa" w:w="11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2</w:t>
            </w:r>
          </w:p>
        </w:tc>
        <w:tc>
          <w:tcPr>
            <w:tcW w:type="dxa" w:w="597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Suicide, self-injury, homicide, and lethal means</w:t>
            </w:r>
          </w:p>
        </w:tc>
        <w:tc>
          <w:tcPr>
            <w:tcW w:type="dxa" w:w="338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IDEA-M Risk Formulation</w:t>
            </w:r>
          </w:p>
        </w:tc>
      </w:tr>
      <w:tr>
        <w:trPr>
          <w:cantSplit/>
        </w:trPr>
        <w:tc>
          <w:tcPr>
            <w:tcW w:type="dxa" w:w="11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3</w:t>
            </w:r>
          </w:p>
        </w:tc>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Abuse, violence, exploitation, and mandated duties</w:t>
            </w:r>
          </w:p>
        </w:tc>
        <w:tc>
          <w:tcPr>
            <w:tcW w:type="dxa" w:w="33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DUTY Decision Map</w:t>
            </w:r>
          </w:p>
        </w:tc>
      </w:tr>
      <w:tr>
        <w:trPr>
          <w:cantSplit/>
        </w:trPr>
        <w:tc>
          <w:tcPr>
            <w:tcW w:type="dxa" w:w="11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4</w:t>
            </w:r>
          </w:p>
        </w:tc>
        <w:tc>
          <w:tcPr>
            <w:tcW w:type="dxa" w:w="597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Trauma, psychosis, mania, substance, and medical urgency</w:t>
            </w:r>
          </w:p>
        </w:tc>
        <w:tc>
          <w:tcPr>
            <w:tcW w:type="dxa" w:w="338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ACUTE Differential Check</w:t>
            </w:r>
          </w:p>
        </w:tc>
      </w:tr>
      <w:tr>
        <w:trPr>
          <w:cantSplit/>
        </w:trPr>
        <w:tc>
          <w:tcPr>
            <w:tcW w:type="dxa" w:w="11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5</w:t>
            </w:r>
          </w:p>
        </w:tc>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Safety planning, level of care, consultation, and documentation</w:t>
            </w:r>
          </w:p>
        </w:tc>
        <w:tc>
          <w:tcPr>
            <w:tcW w:type="dxa" w:w="33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SAFE PATH Disposition Map</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CE8E6"/>
            <w:tcBorders>
              <w:top w:val="single" w:sz="10" w:color="B75D53"/>
              <w:left w:val="single" w:sz="10" w:color="B75D53"/>
              <w:bottom w:val="single" w:sz="10" w:color="B75D53"/>
              <w:right w:val="single" w:sz="10" w:color="B75D53"/>
            </w:tcBorders>
            <w:tcMar>
              <w:top w:w="110" w:type="dxa"/>
              <w:start w:w="140" w:type="dxa"/>
              <w:bottom w:w="110" w:type="dxa"/>
              <w:end w:w="140" w:type="dxa"/>
            </w:tcMar>
          </w:tcPr>
          <w:p>
            <w:pPr>
              <w:spacing w:after="60"/>
            </w:pPr>
            <w:r>
              <w:rPr>
                <w:rFonts w:ascii="Arial" w:hAnsi="Arial" w:eastAsia="Arial"/>
                <w:b/>
                <w:color w:val="17365D"/>
                <w:sz w:val="21"/>
              </w:rPr>
              <w:t>CALIFORNIA CRISIS REMINDER</w:t>
            </w:r>
          </w:p>
          <w:p>
            <w:pPr>
              <w:spacing w:after="20" w:line="250" w:lineRule="auto"/>
            </w:pPr>
            <w:r>
              <w:rPr>
                <w:rFonts w:ascii="Arial" w:hAnsi="Arial" w:eastAsia="Arial"/>
                <w:color w:val="1F2937"/>
                <w:sz w:val="20"/>
              </w:rPr>
              <w:t>An LPCC does not automatically have authority to initiate a 72-hour detention. California law identifies who may act under Welfare and Institutions Code section 5150, including specified county-designated professionals. Know your local role, employer procedure, county protocol, and emergency contacts. When a client needs urgent evaluation, arrange the response available within your authority rather than claiming authority you do not have.</w:t>
            </w:r>
          </w:p>
        </w:tc>
      </w:tr>
    </w:tbl>
    <w:p>
      <w:pPr>
        <w:spacing w:after="0"/>
      </w:pPr>
    </w:p>
    <w:p>
      <w:r>
        <w:br w:type="page"/>
      </w:r>
    </w:p>
    <w:tbl>
      <w:tblPr>
        <w:tblW w:type="auto" w:w="0"/>
        <w:jc w:val="center"/>
        <w:tblLayout w:type="fixed"/>
        <w:tblLook w:firstColumn="1" w:firstRow="1" w:lastColumn="0" w:lastRow="0" w:noHBand="0" w:noVBand="1" w:val="04A0"/>
      </w:tblPr>
      <w:tblGrid>
        <w:gridCol w:w="5155"/>
        <w:gridCol w:w="5155"/>
      </w:tblGrid>
      <w:t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1</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Crisis Sequence, Stabilization, and De-Escalation</w:t>
            </w:r>
          </w:p>
        </w:tc>
      </w:tr>
    </w:tbl>
    <w:p>
      <w:pPr>
        <w:spacing w:before="100" w:after="180"/>
      </w:pPr>
      <w:r>
        <w:rPr>
          <w:rFonts w:ascii="Arial" w:hAnsi="Arial" w:eastAsia="Arial"/>
          <w:i/>
          <w:color w:val="4E5B6B"/>
          <w:sz w:val="21"/>
        </w:rPr>
        <w:t>Slow the interaction enough to think clearly while moving fast enough to protect life.</w:t>
      </w:r>
    </w:p>
    <w:p>
      <w:pPr>
        <w:pStyle w:val="Heading2"/>
        <w:spacing w:before="140" w:after="80"/>
        <w:keepNext/>
      </w:pPr>
      <w:r>
        <w:rPr>
          <w:rFonts w:ascii="Arial" w:hAnsi="Arial" w:eastAsia="Arial"/>
          <w:b/>
          <w:color w:val="159C9C"/>
          <w:sz w:val="26"/>
        </w:rPr>
        <w:t>The STABLE Crisis Sequence</w:t>
      </w:r>
    </w:p>
    <w:p>
      <w:pPr>
        <w:spacing w:before="0" w:after="100" w:line="254" w:lineRule="auto"/>
      </w:pPr>
      <w:r>
        <w:rPr>
          <w:rFonts w:ascii="Arial" w:hAnsi="Arial" w:eastAsia="Arial"/>
          <w:b w:val="0"/>
          <w:i w:val="0"/>
          <w:color w:val="1F2937"/>
          <w:sz w:val="20"/>
        </w:rPr>
        <w:t>STABLE organizes the first minutes of a crisis encounter. It is not a substitute for setting-specific protocol. When active violence, overdose, severe medical compromise, or an immediately life-threatening act is occurring, emergency response may begin before a complete interview.</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80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Step</w:t>
            </w:r>
          </w:p>
        </w:tc>
        <w:tc>
          <w:tcPr>
            <w:tcW w:type="dxa" w:w="576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Counselor Task</w:t>
            </w:r>
          </w:p>
        </w:tc>
        <w:tc>
          <w:tcPr>
            <w:tcW w:type="dxa" w:w="295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Exam Question</w:t>
            </w:r>
          </w:p>
        </w:tc>
      </w:tr>
      <w:tr>
        <w:trPr>
          <w:cantSplit/>
        </w:trPr>
        <w:tc>
          <w:tcPr>
            <w:tcW w:type="dxa" w:w="18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 - Secure immediate safety</w:t>
            </w:r>
          </w:p>
        </w:tc>
        <w:tc>
          <w:tcPr>
            <w:tcW w:type="dxa" w:w="57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Identify active violence, weapons, overdose, medical instability, inability to remain safely connected, or environmental danger.</w:t>
            </w:r>
          </w:p>
        </w:tc>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cannot safely wait?</w:t>
            </w:r>
          </w:p>
        </w:tc>
      </w:tr>
      <w:tr>
        <w:trPr>
          <w:cantSplit/>
        </w:trPr>
        <w:tc>
          <w:tcPr>
            <w:tcW w:type="dxa" w:w="180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 - Tune in and lower arousal</w:t>
            </w:r>
          </w:p>
        </w:tc>
        <w:tc>
          <w:tcPr>
            <w:tcW w:type="dxa" w:w="57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Use calm tone, simple language, nonjudgmental reflection, choice where possible, and reduced stimulation.</w:t>
            </w:r>
          </w:p>
        </w:tc>
        <w:tc>
          <w:tcPr>
            <w:tcW w:type="dxa" w:w="29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will help the client stay engaged long enough to assess?</w:t>
            </w:r>
          </w:p>
        </w:tc>
      </w:tr>
      <w:tr>
        <w:trPr>
          <w:cantSplit/>
        </w:trPr>
        <w:tc>
          <w:tcPr>
            <w:tcW w:type="dxa" w:w="18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 - Ask focused crisis questions</w:t>
            </w:r>
          </w:p>
        </w:tc>
        <w:tc>
          <w:tcPr>
            <w:tcW w:type="dxa" w:w="57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Clarify precipitant, current thoughts and behavior, intent, plan, means, targets, psychosis, substance use, medical concerns, abuse, supports, and capacity.</w:t>
            </w:r>
          </w:p>
        </w:tc>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Which missing fact changes the next action?</w:t>
            </w:r>
          </w:p>
        </w:tc>
      </w:tr>
      <w:tr>
        <w:trPr>
          <w:cantSplit/>
        </w:trPr>
        <w:tc>
          <w:tcPr>
            <w:tcW w:type="dxa" w:w="180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B - Build collaboration</w:t>
            </w:r>
          </w:p>
        </w:tc>
        <w:tc>
          <w:tcPr>
            <w:tcW w:type="dxa" w:w="57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Acknowledge distress, state concern transparently, identify reasons for living, supports, preferences, and barriers.</w:t>
            </w:r>
          </w:p>
        </w:tc>
        <w:tc>
          <w:tcPr>
            <w:tcW w:type="dxa" w:w="29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How can safety be increased without false reassurance?</w:t>
            </w:r>
          </w:p>
        </w:tc>
      </w:tr>
      <w:tr>
        <w:trPr>
          <w:cantSplit/>
        </w:trPr>
        <w:tc>
          <w:tcPr>
            <w:tcW w:type="dxa" w:w="180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L - Link to the needed response</w:t>
            </w:r>
          </w:p>
        </w:tc>
        <w:tc>
          <w:tcPr>
            <w:tcW w:type="dxa" w:w="576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Use supports, crisis lines, mobile crisis, urgent evaluation, emergency services, medical care, or a higher level of care as indicated.</w:t>
            </w:r>
          </w:p>
        </w:tc>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is the safest proportionate disposition?</w:t>
            </w:r>
          </w:p>
        </w:tc>
      </w:tr>
      <w:tr>
        <w:trPr>
          <w:cantSplit/>
        </w:trPr>
        <w:tc>
          <w:tcPr>
            <w:tcW w:type="dxa" w:w="180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 - Explain, execute, and evaluate</w:t>
            </w:r>
          </w:p>
        </w:tc>
        <w:tc>
          <w:tcPr>
            <w:tcW w:type="dxa" w:w="576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State the plan, confirm handoff, document facts and rationale, and arrange follow-up or reassessment.</w:t>
            </w:r>
          </w:p>
        </w:tc>
        <w:tc>
          <w:tcPr>
            <w:tcW w:type="dxa" w:w="29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How will the counselor know the plan actually occurred?</w:t>
            </w:r>
          </w:p>
        </w:tc>
      </w:tr>
    </w:tbl>
    <w:p>
      <w:pPr>
        <w:spacing w:after="0"/>
      </w:pPr>
    </w:p>
    <w:p>
      <w:pPr>
        <w:pStyle w:val="Heading2"/>
        <w:spacing w:before="140" w:after="80"/>
        <w:keepNext/>
      </w:pPr>
      <w:r>
        <w:rPr>
          <w:rFonts w:ascii="Arial" w:hAnsi="Arial" w:eastAsia="Arial"/>
          <w:b/>
          <w:color w:val="159C9C"/>
          <w:sz w:val="26"/>
        </w:rPr>
        <w:t>De-Escalation Is an Intervention and an Assessment</w:t>
      </w:r>
    </w:p>
    <w:p>
      <w:pPr>
        <w:spacing w:before="0" w:after="100" w:line="254" w:lineRule="auto"/>
      </w:pPr>
      <w:r>
        <w:rPr>
          <w:rFonts w:ascii="Arial" w:hAnsi="Arial" w:eastAsia="Arial"/>
          <w:b w:val="0"/>
          <w:i w:val="0"/>
          <w:color w:val="1F2937"/>
          <w:sz w:val="20"/>
        </w:rPr>
        <w:t>De-escalation is not persuasion to “calm down.” It reduces threat and cognitive load so the counselor can obtain usable information and the client can participate in decisions. The response should be culturally responsive and attentive to disability, language, trauma history, power, policing concerns, and prior harmful system experiences.</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316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Helpful Response</w:t>
            </w:r>
          </w:p>
        </w:tc>
        <w:tc>
          <w:tcPr>
            <w:tcW w:type="dxa" w:w="439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Why It Helps</w:t>
            </w:r>
          </w:p>
        </w:tc>
        <w:tc>
          <w:tcPr>
            <w:tcW w:type="dxa" w:w="295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Common Trap</w:t>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Use brief, concrete statements</w:t>
            </w:r>
          </w:p>
        </w:tc>
        <w:tc>
          <w:tcPr>
            <w:tcW w:type="dxa" w:w="43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High arousal reduces working memory and processing capacity.</w:t>
            </w:r>
          </w:p>
        </w:tc>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Giving a long lecture or many choices.</w:t>
            </w:r>
          </w:p>
        </w:tc>
      </w:tr>
      <w:tr>
        <w:trPr>
          <w:cantSplit/>
        </w:trPr>
        <w:tc>
          <w:tcPr>
            <w:tcW w:type="dxa" w:w="316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Name observable facts and concern</w:t>
            </w:r>
          </w:p>
        </w:tc>
        <w:tc>
          <w:tcPr>
            <w:tcW w:type="dxa" w:w="439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Transparency reduces surprise and hidden power.</w:t>
            </w:r>
          </w:p>
        </w:tc>
        <w:tc>
          <w:tcPr>
            <w:tcW w:type="dxa" w:w="29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Using labels such as “manipulative” or “noncompliant.”</w:t>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Offer bounded choices</w:t>
            </w:r>
          </w:p>
        </w:tc>
        <w:tc>
          <w:tcPr>
            <w:tcW w:type="dxa" w:w="43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Choice supports dignity while preserving safety limits.</w:t>
            </w:r>
          </w:p>
        </w:tc>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Offering choices that are not actually available.</w:t>
            </w:r>
          </w:p>
        </w:tc>
      </w:tr>
      <w:tr>
        <w:trPr>
          <w:cantSplit/>
        </w:trPr>
        <w:tc>
          <w:tcPr>
            <w:tcW w:type="dxa" w:w="316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Reduce stimulation and audience</w:t>
            </w:r>
          </w:p>
        </w:tc>
        <w:tc>
          <w:tcPr>
            <w:tcW w:type="dxa" w:w="439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Privacy and lower stimulation may reduce escalation.</w:t>
            </w:r>
          </w:p>
        </w:tc>
        <w:tc>
          <w:tcPr>
            <w:tcW w:type="dxa" w:w="295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Ignoring staff safety or separating from needed support.</w:t>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Ask directly about danger</w:t>
            </w:r>
          </w:p>
        </w:tc>
        <w:tc>
          <w:tcPr>
            <w:tcW w:type="dxa" w:w="43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Direct questions clarify risk and do not create suicidal or violent thoughts.</w:t>
            </w:r>
          </w:p>
        </w:tc>
        <w:tc>
          <w:tcPr>
            <w:tcW w:type="dxa" w:w="295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Avoiding direct language because it feels uncomfortable.</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CTA EXAM TIP</w:t>
            </w:r>
          </w:p>
          <w:p>
            <w:pPr>
              <w:spacing w:after="20" w:line="250" w:lineRule="auto"/>
            </w:pPr>
            <w:r>
              <w:rPr>
                <w:rFonts w:ascii="Arial" w:hAnsi="Arial" w:eastAsia="Arial"/>
                <w:color w:val="1F2937"/>
                <w:sz w:val="20"/>
              </w:rPr>
              <w:t>When two answers are clinically reasonable, prefer the option that addresses the immediate safety cue while preserving enough alliance and information to choose the next level of response.</w:t>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FCE8E6"/>
            <w:tcBorders>
              <w:top w:val="single" w:sz="10" w:color="B75D53"/>
              <w:left w:val="single" w:sz="10" w:color="B75D53"/>
              <w:bottom w:val="single" w:sz="10" w:color="B75D53"/>
              <w:right w:val="single" w:sz="10" w:color="B75D53"/>
            </w:tcBorders>
            <w:tcMar>
              <w:top w:w="110" w:type="dxa"/>
              <w:start w:w="140" w:type="dxa"/>
              <w:bottom w:w="110" w:type="dxa"/>
              <w:end w:w="140" w:type="dxa"/>
            </w:tcMar>
          </w:tcPr>
          <w:p>
            <w:pPr>
              <w:spacing w:after="60"/>
            </w:pPr>
            <w:r>
              <w:rPr>
                <w:rFonts w:ascii="Arial" w:hAnsi="Arial" w:eastAsia="Arial"/>
                <w:b/>
                <w:color w:val="17365D"/>
                <w:sz w:val="21"/>
              </w:rPr>
              <w:t>COMMON TRAP</w:t>
            </w:r>
          </w:p>
          <w:p>
            <w:pPr>
              <w:spacing w:after="20" w:line="250" w:lineRule="auto"/>
            </w:pPr>
            <w:r>
              <w:rPr>
                <w:rFonts w:ascii="Arial" w:hAnsi="Arial" w:eastAsia="Arial"/>
                <w:color w:val="1F2937"/>
                <w:sz w:val="20"/>
              </w:rPr>
              <w:t>Do not confuse “least restrictive” with “least active.” The least restrictive option must still be capable of managing the identified risk.</w:t>
            </w:r>
          </w:p>
        </w:tc>
      </w:tr>
    </w:tbl>
    <w:p>
      <w:pPr>
        <w:spacing w:after="0"/>
      </w:pPr>
    </w:p>
    <w:p>
      <w:pPr>
        <w:pStyle w:val="Heading2"/>
        <w:spacing w:before="140" w:after="80"/>
        <w:keepNext/>
      </w:pPr>
      <w:r>
        <w:rPr>
          <w:rFonts w:ascii="Arial" w:hAnsi="Arial" w:eastAsia="Arial"/>
          <w:b/>
          <w:color w:val="159C9C"/>
          <w:sz w:val="26"/>
        </w:rPr>
        <w:t>Clinical Resource Toolkit: First 10 Minutes Map</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8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Student Notes</w:t>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Immediate danger or medical emergency cues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Client location and who is physically present</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I need to ask directly now</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De-escalation strategy most likely to help</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Support or emergency resource available</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Handoff confirmation and follow-up plan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p>
      <w:pPr>
        <w:pStyle w:val="Heading2"/>
        <w:spacing w:before="140" w:after="80"/>
        <w:keepNext/>
      </w:pPr>
      <w:r>
        <w:rPr>
          <w:rFonts w:ascii="Arial" w:hAnsi="Arial" w:eastAsia="Arial"/>
          <w:b/>
          <w:color w:val="159C9C"/>
          <w:sz w:val="26"/>
        </w:rPr>
        <w:t>Chapter 1 Summary</w:t>
      </w:r>
    </w:p>
    <w:p>
      <w:pPr>
        <w:pStyle w:val="ListBullet"/>
        <w:spacing w:after="50" w:line="250" w:lineRule="auto"/>
        <w:keepLines/>
      </w:pPr>
      <w:r>
        <w:rPr>
          <w:rFonts w:ascii="Arial" w:hAnsi="Arial" w:eastAsia="Arial"/>
          <w:color w:val="1F2937"/>
          <w:sz w:val="20"/>
        </w:rPr>
        <w:t>Crisis work begins with immediate safety and engagement, then focused assessment and proportionate action.</w:t>
      </w:r>
    </w:p>
    <w:p>
      <w:pPr>
        <w:pStyle w:val="ListBullet"/>
        <w:spacing w:after="50" w:line="250" w:lineRule="auto"/>
        <w:keepLines/>
      </w:pPr>
      <w:r>
        <w:rPr>
          <w:rFonts w:ascii="Arial" w:hAnsi="Arial" w:eastAsia="Arial"/>
          <w:color w:val="1F2937"/>
          <w:sz w:val="20"/>
        </w:rPr>
        <w:t>De-escalation should reduce threat, preserve dignity, and improve the quality of information.</w:t>
      </w:r>
    </w:p>
    <w:p>
      <w:pPr>
        <w:pStyle w:val="ListBullet"/>
        <w:spacing w:after="50" w:line="250" w:lineRule="auto"/>
        <w:keepLines/>
      </w:pPr>
      <w:r>
        <w:rPr>
          <w:rFonts w:ascii="Arial" w:hAnsi="Arial" w:eastAsia="Arial"/>
          <w:color w:val="1F2937"/>
          <w:sz w:val="20"/>
        </w:rPr>
        <w:t>Do not delay emergency action when an active life threat is already evident.</w:t>
      </w:r>
    </w:p>
    <w:p>
      <w:pPr>
        <w:pStyle w:val="ListBullet"/>
        <w:spacing w:after="50" w:line="250" w:lineRule="auto"/>
        <w:keepLines/>
      </w:pPr>
      <w:r>
        <w:rPr>
          <w:rFonts w:ascii="Arial" w:hAnsi="Arial" w:eastAsia="Arial"/>
          <w:color w:val="1F2937"/>
          <w:sz w:val="20"/>
        </w:rPr>
        <w:t>A crisis plan is incomplete until the counselor confirms execution, handoff, documentation, and follow-up.</w:t>
      </w:r>
    </w:p>
    <w:p>
      <w:r>
        <w:br w:type="page"/>
      </w:r>
    </w:p>
    <w:tbl>
      <w:tblPr>
        <w:tblW w:type="auto" w:w="0"/>
        <w:jc w:val="center"/>
        <w:tblLayout w:type="fixed"/>
        <w:tblLook w:firstColumn="1" w:firstRow="1" w:lastColumn="0" w:lastRow="0" w:noHBand="0" w:noVBand="1" w:val="04A0"/>
      </w:tblPr>
      <w:tblGrid>
        <w:gridCol w:w="5155"/>
        <w:gridCol w:w="5155"/>
      </w:tblGrid>
      <w:t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2</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Suicide, Self-Injury, Homicide, and Lethal Means</w:t>
            </w:r>
          </w:p>
        </w:tc>
      </w:tr>
    </w:tbl>
    <w:p>
      <w:pPr>
        <w:spacing w:before="100" w:after="180"/>
      </w:pPr>
      <w:r>
        <w:rPr>
          <w:rFonts w:ascii="Arial" w:hAnsi="Arial" w:eastAsia="Arial"/>
          <w:i/>
          <w:color w:val="4E5B6B"/>
          <w:sz w:val="21"/>
        </w:rPr>
        <w:t>Ask directly, formulate risk from the whole pattern, and match the response to acuity.</w:t>
      </w:r>
    </w:p>
    <w:p>
      <w:pPr>
        <w:pStyle w:val="Heading2"/>
        <w:spacing w:before="140" w:after="80"/>
        <w:keepNext/>
      </w:pPr>
      <w:r>
        <w:rPr>
          <w:rFonts w:ascii="Arial" w:hAnsi="Arial" w:eastAsia="Arial"/>
          <w:b/>
          <w:color w:val="159C9C"/>
          <w:sz w:val="26"/>
        </w:rPr>
        <w:t>Screening, Assessment, Formulation, and Disposition Are Different Tasks</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94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Task</w:t>
            </w:r>
          </w:p>
        </w:tc>
        <w:tc>
          <w:tcPr>
            <w:tcW w:type="dxa" w:w="496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Purpose</w:t>
            </w:r>
          </w:p>
        </w:tc>
        <w:tc>
          <w:tcPr>
            <w:tcW w:type="dxa" w:w="410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What It Does Not Do Alone</w:t>
            </w:r>
          </w:p>
        </w:tc>
      </w:tr>
      <w:tr>
        <w:trPr>
          <w:cantSplit/>
        </w:trPr>
        <w:tc>
          <w:tcPr>
            <w:tcW w:type="dxa" w:w="19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Screening</w:t>
            </w:r>
          </w:p>
        </w:tc>
        <w:tc>
          <w:tcPr>
            <w:tcW w:type="dxa" w:w="49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Identify who needs further suicide-risk evaluation.</w:t>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It does not independently establish current acuity or disposition.</w:t>
            </w:r>
          </w:p>
        </w:tc>
      </w:tr>
      <w:tr>
        <w:trPr>
          <w:cantSplit/>
        </w:trPr>
        <w:tc>
          <w:tcPr>
            <w:tcW w:type="dxa" w:w="194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Focused assessment</w:t>
            </w:r>
          </w:p>
        </w:tc>
        <w:tc>
          <w:tcPr>
            <w:tcW w:type="dxa" w:w="496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Clarify ideation, intent, plan, preparation, behavior, means, modifiers, and protective factors.</w:t>
            </w:r>
          </w:p>
        </w:tc>
        <w:tc>
          <w:tcPr>
            <w:tcW w:type="dxa" w:w="41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It does not replace clinical judgment or environmental facts.</w:t>
            </w:r>
          </w:p>
        </w:tc>
      </w:tr>
      <w:tr>
        <w:trPr>
          <w:cantSplit/>
        </w:trPr>
        <w:tc>
          <w:tcPr>
            <w:tcW w:type="dxa" w:w="19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Risk formulation</w:t>
            </w:r>
          </w:p>
        </w:tc>
        <w:tc>
          <w:tcPr>
            <w:tcW w:type="dxa" w:w="49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Synthesize acute and chronic risk, protective factors, reliability, and foreseeable changes.</w:t>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It is not a permanent label such as “low risk.”</w:t>
            </w:r>
          </w:p>
        </w:tc>
      </w:tr>
      <w:tr>
        <w:trPr>
          <w:cantSplit/>
        </w:trPr>
        <w:tc>
          <w:tcPr>
            <w:tcW w:type="dxa" w:w="194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Disposition</w:t>
            </w:r>
          </w:p>
        </w:tc>
        <w:tc>
          <w:tcPr>
            <w:tcW w:type="dxa" w:w="496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Choose the safest feasible response and level of care.</w:t>
            </w:r>
          </w:p>
        </w:tc>
        <w:tc>
          <w:tcPr>
            <w:tcW w:type="dxa" w:w="410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It is not determined by a score alone.</w:t>
            </w:r>
          </w:p>
        </w:tc>
      </w:tr>
      <w:tr>
        <w:trPr>
          <w:cantSplit/>
        </w:trPr>
        <w:tc>
          <w:tcPr>
            <w:tcW w:type="dxa" w:w="194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Ongoing management</w:t>
            </w:r>
          </w:p>
        </w:tc>
        <w:tc>
          <w:tcPr>
            <w:tcW w:type="dxa" w:w="49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Reduce risk through safety planning, treatment, means safety, support, and follow-up.</w:t>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It is not completed by a “no-harm contract.”</w:t>
            </w:r>
          </w:p>
        </w:tc>
      </w:tr>
    </w:tbl>
    <w:p>
      <w:pPr>
        <w:spacing w:after="0"/>
      </w:pPr>
    </w:p>
    <w:p>
      <w:pPr>
        <w:pStyle w:val="Heading2"/>
        <w:spacing w:before="140" w:after="80"/>
        <w:keepNext/>
      </w:pPr>
      <w:r>
        <w:rPr>
          <w:rFonts w:ascii="Arial" w:hAnsi="Arial" w:eastAsia="Arial"/>
          <w:b/>
          <w:color w:val="159C9C"/>
          <w:sz w:val="26"/>
        </w:rPr>
        <w:t>The IDEA-M Risk Formulation</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8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Element</w:t>
            </w:r>
          </w:p>
        </w:tc>
        <w:tc>
          <w:tcPr>
            <w:tcW w:type="dxa" w:w="763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Questions to Clarify</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 - Ideation and imagery</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thoughts, wishes, images, targets, commands, or rehearsals are occurring? How often, how long, and how controllable?</w:t>
            </w:r>
          </w:p>
        </w:tc>
      </w:tr>
      <w:tr>
        <w:trPr>
          <w:cantSplit/>
        </w:trPr>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 - Desire, intent, and deterrents</w:t>
            </w:r>
          </w:p>
        </w:tc>
        <w:tc>
          <w:tcPr>
            <w:tcW w:type="dxa" w:w="76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Does the person want the act to occur? What has stopped them? What could increase intent?</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 - Evidence of plan, preparation, and behavior</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Is there a method, time, place, rehearsal, note, giving away possessions, stalking, weapon preparation, or prior attempt/assault?</w:t>
            </w:r>
          </w:p>
        </w:tc>
      </w:tr>
      <w:tr>
        <w:trPr>
          <w:cantSplit/>
        </w:trPr>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 - Access to means and opportunity</w:t>
            </w:r>
          </w:p>
        </w:tc>
        <w:tc>
          <w:tcPr>
            <w:tcW w:type="dxa" w:w="76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lethal means or target access exists now? Can access be reduced collaboratively and promptly?</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 - Modifiers and management factors</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Consider intoxication, withdrawal, agitation, psychosis, mania, insomnia, recent loss, pain, shame, isolation, supports, willingness, capacity, and follow-up reliability.</w:t>
            </w:r>
          </w:p>
        </w:tc>
      </w:tr>
    </w:tbl>
    <w:p>
      <w:pPr>
        <w:spacing w:after="0"/>
      </w:pPr>
    </w:p>
    <w:p>
      <w:pPr>
        <w:pStyle w:val="Heading2"/>
        <w:spacing w:before="140" w:after="80"/>
        <w:keepNext/>
      </w:pPr>
      <w:r>
        <w:rPr>
          <w:rFonts w:ascii="Arial" w:hAnsi="Arial" w:eastAsia="Arial"/>
          <w:b/>
          <w:color w:val="159C9C"/>
          <w:sz w:val="26"/>
        </w:rPr>
        <w:t>Suicide and Nonsuicidal Self-Injury</w:t>
      </w:r>
    </w:p>
    <w:p>
      <w:pPr>
        <w:spacing w:before="0" w:after="100" w:line="254" w:lineRule="auto"/>
      </w:pPr>
      <w:r>
        <w:rPr>
          <w:rFonts w:ascii="Arial" w:hAnsi="Arial" w:eastAsia="Arial"/>
          <w:b w:val="0"/>
          <w:i w:val="0"/>
          <w:color w:val="1F2937"/>
          <w:sz w:val="20"/>
        </w:rPr>
        <w:t>Nonsuicidal self-injury may function to regulate affect, interrupt dissociation, communicate distress, or punish the self. It is not automatically a suicide attempt, but it is clinically significant and can coexist with suicidal intent. Assess the function, method, medical severity, frequency, escalation, suicidal thoughts, access to means, substance use, and ability to use alternatives.</w:t>
      </w:r>
    </w:p>
    <w:p>
      <w:pPr>
        <w:pStyle w:val="Heading2"/>
        <w:spacing w:before="140" w:after="80"/>
        <w:keepNext/>
      </w:pPr>
      <w:r>
        <w:rPr>
          <w:rFonts w:ascii="Arial" w:hAnsi="Arial" w:eastAsia="Arial"/>
          <w:b/>
          <w:color w:val="159C9C"/>
          <w:sz w:val="26"/>
        </w:rPr>
        <w:t>Homicide and California Duty to Protect</w:t>
      </w:r>
    </w:p>
    <w:p>
      <w:pPr>
        <w:spacing w:before="0" w:after="100" w:line="254" w:lineRule="auto"/>
      </w:pPr>
      <w:r>
        <w:rPr>
          <w:rFonts w:ascii="Arial" w:hAnsi="Arial" w:eastAsia="Arial"/>
          <w:b w:val="0"/>
          <w:i w:val="0"/>
          <w:color w:val="1F2937"/>
          <w:sz w:val="20"/>
        </w:rPr>
        <w:t>California Civil Code section 43.92 addresses a psychotherapist’s duty to protect when a patient communicates a serious threat of physical violence against a reasonably identifiable victim or victims. The statute provides protection from monetary liability when reasonable efforts are made to communicate the threat to the victim or victims and to law enforcement. Clinical action may also include emergency evaluation, consultation, documentation, and other steps required by the facts and setting.</w:t>
      </w:r>
    </w:p>
    <w:tbl>
      <w:tblPr>
        <w:tblW w:type="auto" w:w="0"/>
        <w:jc w:val="center"/>
        <w:tblLook w:firstColumn="1" w:firstRow="1" w:lastColumn="0" w:lastRow="0" w:noHBand="0" w:noVBand="1" w:val="04A0"/>
      </w:tblPr>
      <w:tblGrid>
        <w:gridCol w:w="10310"/>
      </w:tblGrid>
      <w:tr>
        <w:trPr>
          <w:cantSplit/>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EXAM DISTINCTION</w:t>
            </w:r>
          </w:p>
          <w:p>
            <w:pPr>
              <w:spacing w:after="20" w:line="250" w:lineRule="auto"/>
            </w:pPr>
            <w:r>
              <w:rPr>
                <w:rFonts w:ascii="Arial" w:hAnsi="Arial" w:eastAsia="Arial"/>
                <w:color w:val="1F2937"/>
                <w:sz w:val="20"/>
              </w:rPr>
              <w:t>Anger, fantasy, vague hostility, and a serious communicated threat are not interchangeable. Assess specificity, intent, target, means, preparation, history, psychosis, intoxication, and immediacy before deciding which duty or crisis response is activated.</w:t>
            </w:r>
          </w:p>
        </w:tc>
      </w:tr>
    </w:tbl>
    <w:p>
      <w:pPr>
        <w:spacing w:after="0"/>
      </w:pPr>
    </w:p>
    <w:p>
      <w:pPr>
        <w:pStyle w:val="Heading2"/>
        <w:spacing w:before="140" w:after="80"/>
        <w:keepNext/>
      </w:pPr>
      <w:r>
        <w:rPr>
          <w:rFonts w:ascii="Arial" w:hAnsi="Arial" w:eastAsia="Arial"/>
          <w:b/>
          <w:color w:val="159C9C"/>
          <w:sz w:val="26"/>
        </w:rPr>
        <w:t>Lethal-Means Safety</w:t>
      </w:r>
    </w:p>
    <w:p>
      <w:pPr>
        <w:spacing w:before="0" w:after="100" w:line="254" w:lineRule="auto"/>
      </w:pPr>
      <w:r>
        <w:rPr>
          <w:rFonts w:ascii="Arial" w:hAnsi="Arial" w:eastAsia="Arial"/>
          <w:b w:val="0"/>
          <w:i w:val="0"/>
          <w:color w:val="1F2937"/>
          <w:sz w:val="20"/>
        </w:rPr>
        <w:t>Lethal-means counseling is a collaborative effort to reduce access during periods of elevated risk. The plan should be specific, feasible, temporary when appropriate, and verified. It may involve trusted supports, secure storage, off-site storage consistent with law, medication quantity changes coordinated with prescribers, or removal from an unsafe environment. A vague promise to “stay safe” is not enough.</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525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Strong Plan</w:t>
            </w:r>
          </w:p>
        </w:tc>
        <w:tc>
          <w:tcPr>
            <w:tcW w:type="dxa" w:w="525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Weak Plan</w:t>
            </w:r>
          </w:p>
        </w:tc>
      </w:tr>
      <w:tr>
        <w:trPr>
          <w:cantSplit/>
        </w:trPr>
        <w:tc>
          <w:tcPr>
            <w:tcW w:type="dxa" w:w="52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Names the exact means and current location.</w:t>
            </w:r>
          </w:p>
        </w:tc>
        <w:tc>
          <w:tcPr>
            <w:tcW w:type="dxa" w:w="52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Says only “avoid weapons.”</w:t>
            </w:r>
          </w:p>
        </w:tc>
      </w:tr>
      <w:tr>
        <w:trPr>
          <w:cantSplit/>
        </w:trPr>
        <w:tc>
          <w:tcPr>
            <w:tcW w:type="dxa" w:w="52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Identifies who will act, when, and how access will be reduced.</w:t>
            </w:r>
          </w:p>
        </w:tc>
        <w:tc>
          <w:tcPr>
            <w:tcW w:type="dxa" w:w="52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Relies on the client’s promise without a concrete step.</w:t>
            </w:r>
          </w:p>
        </w:tc>
      </w:tr>
      <w:tr>
        <w:trPr>
          <w:cantSplit/>
        </w:trPr>
        <w:tc>
          <w:tcPr>
            <w:tcW w:type="dxa" w:w="52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Checks legal, relational, and practical barriers.</w:t>
            </w:r>
          </w:p>
        </w:tc>
        <w:tc>
          <w:tcPr>
            <w:tcW w:type="dxa" w:w="525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Assumes a support person is willing and able.</w:t>
            </w:r>
          </w:p>
        </w:tc>
      </w:tr>
      <w:tr>
        <w:trPr>
          <w:cantSplit/>
        </w:trPr>
        <w:tc>
          <w:tcPr>
            <w:tcW w:type="dxa" w:w="52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Includes reassessment and a backup plan.</w:t>
            </w:r>
          </w:p>
        </w:tc>
        <w:tc>
          <w:tcPr>
            <w:tcW w:type="dxa" w:w="525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Treats one conversation as permanent protection.</w:t>
            </w:r>
          </w:p>
        </w:tc>
      </w:tr>
    </w:tbl>
    <w:p>
      <w:pPr>
        <w:spacing w:after="0"/>
      </w:pPr>
    </w:p>
    <w:p>
      <w:pPr>
        <w:pStyle w:val="Heading2"/>
        <w:spacing w:before="140" w:after="80"/>
        <w:keepNext/>
      </w:pPr>
      <w:r>
        <w:rPr>
          <w:rFonts w:ascii="Arial" w:hAnsi="Arial" w:eastAsia="Arial"/>
          <w:b/>
          <w:color w:val="159C9C"/>
          <w:sz w:val="26"/>
        </w:rPr>
        <w:t>Clinical Resource Toolkit: Risk Formulation Worksheet</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8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Student Notes</w:t>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Current ideation, target, or command</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Intent, desire, deterrents, and reasons for living</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Plan, preparation, rehearsal, or recent behavior</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Current access to means or target</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Acute modifiers: substance, psychosis, mania, insomnia, loss, agitation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Protective factors and their actual availability</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Reliability, capacity, willingness, and follow-up feasibility</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Disposition rationale and reassessment point</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p>
      <w:pPr>
        <w:pStyle w:val="Heading2"/>
        <w:spacing w:before="140" w:after="80"/>
        <w:keepNext/>
      </w:pPr>
      <w:r>
        <w:rPr>
          <w:rFonts w:ascii="Arial" w:hAnsi="Arial" w:eastAsia="Arial"/>
          <w:b/>
          <w:color w:val="159C9C"/>
          <w:sz w:val="26"/>
        </w:rPr>
        <w:t>Chapter 2 Summary</w:t>
      </w:r>
    </w:p>
    <w:p>
      <w:pPr>
        <w:pStyle w:val="ListBullet"/>
        <w:spacing w:after="50" w:line="250" w:lineRule="auto"/>
        <w:keepLines/>
      </w:pPr>
      <w:r>
        <w:rPr>
          <w:rFonts w:ascii="Arial" w:hAnsi="Arial" w:eastAsia="Arial"/>
          <w:color w:val="1F2937"/>
          <w:sz w:val="20"/>
        </w:rPr>
        <w:t>A positive screen requires further assessment; a score does not choose the level of care.</w:t>
      </w:r>
    </w:p>
    <w:p>
      <w:pPr>
        <w:pStyle w:val="ListBullet"/>
        <w:spacing w:after="50" w:line="250" w:lineRule="auto"/>
        <w:keepLines/>
      </w:pPr>
      <w:r>
        <w:rPr>
          <w:rFonts w:ascii="Arial" w:hAnsi="Arial" w:eastAsia="Arial"/>
          <w:color w:val="1F2937"/>
          <w:sz w:val="20"/>
        </w:rPr>
        <w:t>Assess ideation, intent, plan, preparation, behavior, access, modifiers, and protective factors as a pattern.</w:t>
      </w:r>
    </w:p>
    <w:p>
      <w:pPr>
        <w:pStyle w:val="ListBullet"/>
        <w:spacing w:after="50" w:line="250" w:lineRule="auto"/>
        <w:keepLines/>
      </w:pPr>
      <w:r>
        <w:rPr>
          <w:rFonts w:ascii="Arial" w:hAnsi="Arial" w:eastAsia="Arial"/>
          <w:color w:val="1F2937"/>
          <w:sz w:val="20"/>
        </w:rPr>
        <w:t>Nonsuicidal self-injury and suicidal behavior require distinct but overlapping assessment.</w:t>
      </w:r>
    </w:p>
    <w:p>
      <w:pPr>
        <w:pStyle w:val="ListBullet"/>
        <w:spacing w:after="50" w:line="250" w:lineRule="auto"/>
        <w:keepLines/>
      </w:pPr>
      <w:r>
        <w:rPr>
          <w:rFonts w:ascii="Arial" w:hAnsi="Arial" w:eastAsia="Arial"/>
          <w:color w:val="1F2937"/>
          <w:sz w:val="20"/>
        </w:rPr>
        <w:t>Serious threats toward identifiable victims require careful California duty-to-protect analysis and timely action.</w:t>
      </w:r>
    </w:p>
    <w:p>
      <w:pPr>
        <w:pStyle w:val="ListBullet"/>
        <w:spacing w:after="50" w:line="250" w:lineRule="auto"/>
        <w:keepLines/>
      </w:pPr>
      <w:r>
        <w:rPr>
          <w:rFonts w:ascii="Arial" w:hAnsi="Arial" w:eastAsia="Arial"/>
          <w:color w:val="1F2937"/>
          <w:sz w:val="20"/>
        </w:rPr>
        <w:t>Lethal-means safety must be concrete, collaborative, feasible, and verified.</w:t>
      </w:r>
    </w:p>
    <w:p>
      <w:r>
        <w:br w:type="page"/>
      </w:r>
    </w:p>
    <w:tbl>
      <w:tblPr>
        <w:tblW w:type="auto" w:w="0"/>
        <w:jc w:val="center"/>
        <w:tblLayout w:type="fixed"/>
        <w:tblLook w:firstColumn="1" w:firstRow="1" w:lastColumn="0" w:lastRow="0" w:noHBand="0" w:noVBand="1" w:val="04A0"/>
      </w:tblPr>
      <w:tblGrid>
        <w:gridCol w:w="5155"/>
        <w:gridCol w:w="5155"/>
      </w:tblGrid>
      <w:t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3</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Abuse, Violence, Exploitation, and Mandated Duties</w:t>
            </w:r>
          </w:p>
        </w:tc>
      </w:tr>
    </w:tbl>
    <w:p>
      <w:pPr>
        <w:spacing w:before="100" w:after="180"/>
      </w:pPr>
      <w:r>
        <w:rPr>
          <w:rFonts w:ascii="Arial" w:hAnsi="Arial" w:eastAsia="Arial"/>
          <w:i/>
          <w:color w:val="4E5B6B"/>
          <w:sz w:val="21"/>
        </w:rPr>
        <w:t>Protect first, identify the governing duty, report at the legal threshold, and continue clinical care.</w:t>
      </w:r>
    </w:p>
    <w:p>
      <w:pPr>
        <w:pStyle w:val="Heading2"/>
        <w:spacing w:before="140" w:after="80"/>
        <w:keepNext/>
      </w:pPr>
      <w:r>
        <w:rPr>
          <w:rFonts w:ascii="Arial" w:hAnsi="Arial" w:eastAsia="Arial"/>
          <w:b/>
          <w:color w:val="159C9C"/>
          <w:sz w:val="26"/>
        </w:rPr>
        <w:t>The DUTY Decision Map</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23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Step</w:t>
            </w:r>
          </w:p>
        </w:tc>
        <w:tc>
          <w:tcPr>
            <w:tcW w:type="dxa" w:w="82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Decision</w:t>
            </w:r>
          </w:p>
        </w:tc>
      </w:tr>
      <w:tr>
        <w:trPr>
          <w:cantSplit/>
        </w:trPr>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 - Determine the protected category</w:t>
            </w:r>
          </w:p>
        </w:tc>
        <w:tc>
          <w:tcPr>
            <w:tcW w:type="dxa" w:w="82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Child; elder; dependent adult; identifiable threatened victim; client or other person in immediate danger; or another legally defined category.</w:t>
            </w:r>
          </w:p>
        </w:tc>
      </w:tr>
      <w:tr>
        <w:trPr>
          <w:cantSplit/>
        </w:trPr>
        <w:tc>
          <w:tcPr>
            <w:tcW w:type="dxa" w:w="22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U - Urgency and immediate safety</w:t>
            </w:r>
          </w:p>
        </w:tc>
        <w:tc>
          <w:tcPr>
            <w:tcW w:type="dxa" w:w="82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Address active injury, current perpetrator access, medical needs, weapons, safe shelter, emergency transport, and child or vulnerable-adult location.</w:t>
            </w:r>
          </w:p>
        </w:tc>
      </w:tr>
      <w:tr>
        <w:trPr>
          <w:cantSplit/>
        </w:trPr>
        <w:tc>
          <w:tcPr>
            <w:tcW w:type="dxa" w:w="22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 - Threshold and timing</w:t>
            </w:r>
          </w:p>
        </w:tc>
        <w:tc>
          <w:tcPr>
            <w:tcW w:type="dxa" w:w="82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Apply the correct legal standard—such as reasonable suspicion, known/suspected abuse, or serious communicated threat—without demanding proof.</w:t>
            </w:r>
          </w:p>
        </w:tc>
      </w:tr>
      <w:tr>
        <w:trPr>
          <w:cantSplit/>
        </w:trPr>
        <w:tc>
          <w:tcPr>
            <w:tcW w:type="dxa" w:w="22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Y - Yield the required action</w:t>
            </w:r>
          </w:p>
        </w:tc>
        <w:tc>
          <w:tcPr>
            <w:tcW w:type="dxa" w:w="82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Make the report or protective communication to the correct recipient, share what is legally required, document, consult as appropriate, and continue support.</w:t>
            </w:r>
          </w:p>
        </w:tc>
      </w:tr>
    </w:tbl>
    <w:p>
      <w:pPr>
        <w:spacing w:after="0"/>
      </w:pPr>
    </w:p>
    <w:p>
      <w:pPr>
        <w:pStyle w:val="Heading2"/>
        <w:spacing w:before="140" w:after="80"/>
        <w:keepNext/>
      </w:pPr>
      <w:r>
        <w:rPr>
          <w:rFonts w:ascii="Arial" w:hAnsi="Arial" w:eastAsia="Arial"/>
          <w:b/>
          <w:color w:val="159C9C"/>
          <w:sz w:val="26"/>
        </w:rPr>
        <w:t>Child Abuse and Neglect</w:t>
      </w:r>
    </w:p>
    <w:p>
      <w:pPr>
        <w:spacing w:before="0" w:after="100" w:line="254" w:lineRule="auto"/>
      </w:pPr>
      <w:r>
        <w:rPr>
          <w:rFonts w:ascii="Arial" w:hAnsi="Arial" w:eastAsia="Arial"/>
          <w:b w:val="0"/>
          <w:i w:val="0"/>
          <w:color w:val="1F2937"/>
          <w:sz w:val="20"/>
        </w:rPr>
        <w:t>Under California Penal Code section 11166, a mandated reporter must report when, in a professional capacity or within the scope of employment, the reporter knows or reasonably suspects that a child has been abused or neglected. The initial report is made by telephone immediately or as soon as practicably possible, followed by a written, faxed, or electronically transmitted report within 36 hours. Reasonable suspicion does not require certainty, proof, or a specific medical indication.</w:t>
      </w:r>
    </w:p>
    <w:tbl>
      <w:tblPr>
        <w:tblW w:type="auto" w:w="0"/>
        <w:jc w:val="center"/>
        <w:tblLook w:firstColumn="1" w:firstRow="1" w:lastColumn="0" w:lastRow="0" w:noHBand="0" w:noVBand="1" w:val="04A0"/>
      </w:tblPr>
      <w:tblGrid>
        <w:gridCol w:w="10310"/>
      </w:tblGrid>
      <w:tr>
        <w:trPr>
          <w:cantSplit/>
        </w:trPr>
        <w:tc>
          <w:tcPr>
            <w:tcW w:type="dxa" w:w="10310"/>
            <w:shd w:fill="FCE8E6"/>
            <w:tcBorders>
              <w:top w:val="single" w:sz="10" w:color="B75D53"/>
              <w:left w:val="single" w:sz="10" w:color="B75D53"/>
              <w:bottom w:val="single" w:sz="10" w:color="B75D53"/>
              <w:right w:val="single" w:sz="10" w:color="B75D53"/>
            </w:tcBorders>
            <w:tcMar>
              <w:top w:w="110" w:type="dxa"/>
              <w:start w:w="140" w:type="dxa"/>
              <w:bottom w:w="110" w:type="dxa"/>
              <w:end w:w="140" w:type="dxa"/>
            </w:tcMar>
          </w:tcPr>
          <w:p>
            <w:pPr>
              <w:spacing w:after="60"/>
            </w:pPr>
            <w:r>
              <w:rPr>
                <w:rFonts w:ascii="Arial" w:hAnsi="Arial" w:eastAsia="Arial"/>
                <w:b/>
                <w:color w:val="17365D"/>
                <w:sz w:val="21"/>
              </w:rPr>
              <w:t>COMMON TRAP</w:t>
            </w:r>
          </w:p>
          <w:p>
            <w:pPr>
              <w:spacing w:after="20" w:line="250" w:lineRule="auto"/>
            </w:pPr>
            <w:r>
              <w:rPr>
                <w:rFonts w:ascii="Arial" w:hAnsi="Arial" w:eastAsia="Arial"/>
                <w:color w:val="1F2937"/>
                <w:sz w:val="20"/>
              </w:rPr>
              <w:t>Do not investigate, confront the alleged perpetrator, require the child to repeat details unnecessarily, or wait for supervision before meeting an individual reporting duty. Consultation may support the clinician, but it does not replace a required report.</w:t>
            </w:r>
          </w:p>
        </w:tc>
      </w:tr>
    </w:tbl>
    <w:p>
      <w:pPr>
        <w:spacing w:after="0"/>
      </w:pPr>
    </w:p>
    <w:p>
      <w:pPr>
        <w:pStyle w:val="Heading2"/>
        <w:spacing w:before="140" w:after="80"/>
        <w:keepNext/>
      </w:pPr>
      <w:r>
        <w:rPr>
          <w:rFonts w:ascii="Arial" w:hAnsi="Arial" w:eastAsia="Arial"/>
          <w:b/>
          <w:color w:val="159C9C"/>
          <w:sz w:val="26"/>
        </w:rPr>
        <w:t>Elder and Dependent-Adult Abuse</w:t>
      </w:r>
    </w:p>
    <w:p>
      <w:pPr>
        <w:spacing w:before="0" w:after="100" w:line="254" w:lineRule="auto"/>
      </w:pPr>
      <w:r>
        <w:rPr>
          <w:rFonts w:ascii="Arial" w:hAnsi="Arial" w:eastAsia="Arial"/>
          <w:b w:val="0"/>
          <w:i w:val="0"/>
          <w:color w:val="1F2937"/>
          <w:sz w:val="20"/>
        </w:rPr>
        <w:t>California Welfare and Institutions Code section 15630 identifies mandated reporters and reporting duties for known, suspected, or alleged physical abuse, abandonment, abduction, isolation, financial abuse, or neglect of an elder or dependent adult. Reports are generally made immediately or as soon as practicably possible; when made by telephone, a written or authorized internet report generally follows within two working days. The correct destination depends on the setting and type of facility.</w:t>
      </w:r>
    </w:p>
    <w:p>
      <w:pPr>
        <w:pStyle w:val="Heading2"/>
        <w:spacing w:before="140" w:after="80"/>
        <w:keepNext/>
      </w:pPr>
      <w:r>
        <w:rPr>
          <w:rFonts w:ascii="Arial" w:hAnsi="Arial" w:eastAsia="Arial"/>
          <w:b/>
          <w:color w:val="159C9C"/>
          <w:sz w:val="26"/>
        </w:rPr>
        <w:t>Adult Intimate-Partner Violence, Sexual Violence, and Exploitation</w:t>
      </w:r>
    </w:p>
    <w:p>
      <w:pPr>
        <w:spacing w:before="0" w:after="100" w:line="254" w:lineRule="auto"/>
      </w:pPr>
      <w:r>
        <w:rPr>
          <w:rFonts w:ascii="Arial" w:hAnsi="Arial" w:eastAsia="Arial"/>
          <w:b w:val="0"/>
          <w:i w:val="0"/>
          <w:color w:val="1F2937"/>
          <w:sz w:val="20"/>
        </w:rPr>
        <w:t>Do not assume that every disclosure by a competent adult automatically creates the same mandated-reporting duty. First assess immediate danger, injuries and medical needs, children or vulnerable adults who may be exposed, coercion, trafficking or exploitation, target-specific threats, capacity, and the client’s choices. Apply any relevant law, employer policy, and professional duty while avoiding unnecessary disclosure. Safety planning should account for surveillance, financial control, immigration concerns, disability, language, housing, pets, technology, and retaliation risk.</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02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Clinical Priority</w:t>
            </w:r>
          </w:p>
        </w:tc>
        <w:tc>
          <w:tcPr>
            <w:tcW w:type="dxa" w:w="748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Examples</w:t>
            </w:r>
          </w:p>
        </w:tc>
      </w:tr>
      <w:tr>
        <w:trPr>
          <w:cantSplit/>
        </w:trPr>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Immediate safety</w:t>
            </w:r>
          </w:p>
        </w:tc>
        <w:tc>
          <w:tcPr>
            <w:tcW w:type="dxa" w:w="74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Current perpetrator access, strangulation history, weapons, stalking, escalating threats, safe communication, emergency shelter.</w:t>
            </w:r>
          </w:p>
        </w:tc>
      </w:tr>
      <w:tr>
        <w:trPr>
          <w:cantSplit/>
        </w:trPr>
        <w:tc>
          <w:tcPr>
            <w:tcW w:type="dxa" w:w="302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Protected persons</w:t>
            </w:r>
          </w:p>
        </w:tc>
        <w:tc>
          <w:tcPr>
            <w:tcW w:type="dxa" w:w="74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Children, elders, dependent adults, or identifiable threatened victims.</w:t>
            </w:r>
          </w:p>
        </w:tc>
      </w:tr>
      <w:tr>
        <w:trPr>
          <w:cantSplit/>
        </w:trPr>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Client autonomy</w:t>
            </w:r>
          </w:p>
        </w:tc>
        <w:tc>
          <w:tcPr>
            <w:tcW w:type="dxa" w:w="74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Offer choices and resources when the law does not require overriding the competent adult’s decision.</w:t>
            </w:r>
          </w:p>
        </w:tc>
      </w:tr>
      <w:tr>
        <w:trPr>
          <w:cantSplit/>
        </w:trPr>
        <w:tc>
          <w:tcPr>
            <w:tcW w:type="dxa" w:w="302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Minimum necessary disclosure</w:t>
            </w:r>
          </w:p>
        </w:tc>
        <w:tc>
          <w:tcPr>
            <w:tcW w:type="dxa" w:w="74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Share information required for the report or protective action; do not disclose unrelated therapy content.</w:t>
            </w:r>
          </w:p>
        </w:tc>
      </w:tr>
      <w:tr>
        <w:trPr>
          <w:cantSplit/>
        </w:trPr>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Continuity after reporting</w:t>
            </w:r>
          </w:p>
        </w:tc>
        <w:tc>
          <w:tcPr>
            <w:tcW w:type="dxa" w:w="74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Explain the process, anticipate reactions, repair alliance when possible, and update the treatment and safety plan.</w:t>
            </w:r>
          </w:p>
        </w:tc>
      </w:tr>
    </w:tbl>
    <w:p>
      <w:pPr>
        <w:spacing w:after="0"/>
      </w:pPr>
    </w:p>
    <w:p>
      <w:pPr>
        <w:pStyle w:val="Heading2"/>
        <w:spacing w:before="140" w:after="80"/>
        <w:keepNext/>
      </w:pPr>
      <w:r>
        <w:rPr>
          <w:rFonts w:ascii="Arial" w:hAnsi="Arial" w:eastAsia="Arial"/>
          <w:b/>
          <w:color w:val="159C9C"/>
          <w:sz w:val="26"/>
        </w:rPr>
        <w:t>Clinical Resource Toolkit: Mandated-Duty Worksheet</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8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Student Notes</w:t>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Protected person or identifiable victim</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Observed facts, client statements, and source of information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Legal threshold that may apply</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Immediate safety or medical action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Reporting/protective recipient and required timing</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Consultation or supervisor involvement</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Minimum necessary disclosure</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Client communication and continuity plan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p>
      <w:pPr>
        <w:pStyle w:val="Heading2"/>
        <w:spacing w:before="140" w:after="80"/>
        <w:keepNext/>
      </w:pPr>
      <w:r>
        <w:rPr>
          <w:rFonts w:ascii="Arial" w:hAnsi="Arial" w:eastAsia="Arial"/>
          <w:b/>
          <w:color w:val="159C9C"/>
          <w:sz w:val="26"/>
        </w:rPr>
        <w:t>Chapter 3 Summary</w:t>
      </w:r>
    </w:p>
    <w:p>
      <w:pPr>
        <w:pStyle w:val="ListBullet"/>
        <w:spacing w:after="50" w:line="250" w:lineRule="auto"/>
        <w:keepLines/>
      </w:pPr>
      <w:r>
        <w:rPr>
          <w:rFonts w:ascii="Arial" w:hAnsi="Arial" w:eastAsia="Arial"/>
          <w:color w:val="1F2937"/>
          <w:sz w:val="20"/>
        </w:rPr>
        <w:t>Identify the governing duty before acting; different categories use different thresholds and recipients.</w:t>
      </w:r>
    </w:p>
    <w:p>
      <w:pPr>
        <w:pStyle w:val="ListBullet"/>
        <w:spacing w:after="50" w:line="250" w:lineRule="auto"/>
        <w:keepLines/>
      </w:pPr>
      <w:r>
        <w:rPr>
          <w:rFonts w:ascii="Arial" w:hAnsi="Arial" w:eastAsia="Arial"/>
          <w:color w:val="1F2937"/>
          <w:sz w:val="20"/>
        </w:rPr>
        <w:t>Reasonable suspicion is not proof, and mandated reporters do not conduct the official investigation.</w:t>
      </w:r>
    </w:p>
    <w:p>
      <w:pPr>
        <w:pStyle w:val="ListBullet"/>
        <w:spacing w:after="50" w:line="250" w:lineRule="auto"/>
        <w:keepLines/>
      </w:pPr>
      <w:r>
        <w:rPr>
          <w:rFonts w:ascii="Arial" w:hAnsi="Arial" w:eastAsia="Arial"/>
          <w:color w:val="1F2937"/>
          <w:sz w:val="20"/>
        </w:rPr>
        <w:t>Child-abuse reporting duties are individual and cannot be transferred to a supervisor.</w:t>
      </w:r>
    </w:p>
    <w:p>
      <w:pPr>
        <w:pStyle w:val="ListBullet"/>
        <w:spacing w:after="50" w:line="250" w:lineRule="auto"/>
        <w:keepLines/>
      </w:pPr>
      <w:r>
        <w:rPr>
          <w:rFonts w:ascii="Arial" w:hAnsi="Arial" w:eastAsia="Arial"/>
          <w:color w:val="1F2937"/>
          <w:sz w:val="20"/>
        </w:rPr>
        <w:t>Adult violence disclosures require safety assessment and careful legal analysis rather than automatic assumptions.</w:t>
      </w:r>
    </w:p>
    <w:p>
      <w:pPr>
        <w:pStyle w:val="ListBullet"/>
        <w:spacing w:after="50" w:line="250" w:lineRule="auto"/>
        <w:keepLines/>
      </w:pPr>
      <w:r>
        <w:rPr>
          <w:rFonts w:ascii="Arial" w:hAnsi="Arial" w:eastAsia="Arial"/>
          <w:color w:val="1F2937"/>
          <w:sz w:val="20"/>
        </w:rPr>
        <w:t>Reporting is not the end of treatment; prepare for alliance, retaliation, housing, and follow-up needs.</w:t>
      </w:r>
    </w:p>
    <w:p>
      <w:r>
        <w:br w:type="page"/>
      </w:r>
    </w:p>
    <w:tbl>
      <w:tblPr>
        <w:tblW w:type="auto" w:w="0"/>
        <w:jc w:val="center"/>
        <w:tblLayout w:type="fixed"/>
        <w:tblLook w:firstColumn="1" w:firstRow="1" w:lastColumn="0" w:lastRow="0" w:noHBand="0" w:noVBand="1" w:val="04A0"/>
      </w:tblPr>
      <w:tblGrid>
        <w:gridCol w:w="5155"/>
        <w:gridCol w:w="5155"/>
      </w:tblGrid>
      <w:t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4</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Trauma, Psychosis, Mania, Substance, and Medical Urgency</w:t>
            </w:r>
          </w:p>
        </w:tc>
      </w:tr>
    </w:tbl>
    <w:p>
      <w:pPr>
        <w:spacing w:before="100" w:after="180"/>
      </w:pPr>
      <w:r>
        <w:rPr>
          <w:rFonts w:ascii="Arial" w:hAnsi="Arial" w:eastAsia="Arial"/>
          <w:i/>
          <w:color w:val="4E5B6B"/>
          <w:sz w:val="21"/>
        </w:rPr>
        <w:t>Do not let a familiar psychiatric explanation hide an acute medical or substance-related danger.</w:t>
      </w:r>
    </w:p>
    <w:p>
      <w:pPr>
        <w:pStyle w:val="Heading2"/>
        <w:spacing w:before="140" w:after="80"/>
        <w:keepNext/>
      </w:pPr>
      <w:r>
        <w:rPr>
          <w:rFonts w:ascii="Arial" w:hAnsi="Arial" w:eastAsia="Arial"/>
          <w:b/>
          <w:color w:val="159C9C"/>
          <w:sz w:val="26"/>
        </w:rPr>
        <w:t>Trauma-Informed Crisis Assessment</w:t>
      </w:r>
    </w:p>
    <w:p>
      <w:pPr>
        <w:spacing w:before="0" w:after="100" w:line="254" w:lineRule="auto"/>
      </w:pPr>
      <w:r>
        <w:rPr>
          <w:rFonts w:ascii="Arial" w:hAnsi="Arial" w:eastAsia="Arial"/>
          <w:b w:val="0"/>
          <w:i w:val="0"/>
          <w:color w:val="1F2937"/>
          <w:sz w:val="20"/>
        </w:rPr>
        <w:t>Trauma-informed care emphasizes safety, transparency, collaboration, choice, empowerment, peer and community support, and responsiveness to culture, history, and gender. In an exam case, trauma history may explain distress, but it should not be used to dismiss new confusion, intoxication, psychosis, mania, injury, withdrawal, or medical instability.</w:t>
      </w:r>
    </w:p>
    <w:p>
      <w:pPr>
        <w:pStyle w:val="Heading2"/>
        <w:spacing w:before="140" w:after="80"/>
        <w:keepNext/>
      </w:pPr>
      <w:r>
        <w:rPr>
          <w:rFonts w:ascii="Arial" w:hAnsi="Arial" w:eastAsia="Arial"/>
          <w:b/>
          <w:color w:val="159C9C"/>
          <w:sz w:val="26"/>
        </w:rPr>
        <w:t>The ACUTE Differential Check</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38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Cue</w:t>
            </w:r>
          </w:p>
        </w:tc>
        <w:tc>
          <w:tcPr>
            <w:tcW w:type="dxa" w:w="712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Urgency Question</w:t>
            </w:r>
          </w:p>
        </w:tc>
      </w:tr>
      <w:tr>
        <w:trPr>
          <w:cantSplit/>
        </w:trPr>
        <w:tc>
          <w:tcPr>
            <w:tcW w:type="dxa" w:w="33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 - Altered awareness or consciousness</w:t>
            </w:r>
          </w:p>
        </w:tc>
        <w:tc>
          <w:tcPr>
            <w:tcW w:type="dxa" w:w="71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there new disorientation, fluctuating attention, fainting, inability to stay awake, seizure, or severe dissociation that cannot be confidently distinguished?</w:t>
            </w:r>
          </w:p>
        </w:tc>
      </w:tr>
      <w:tr>
        <w:trPr>
          <w:cantSplit/>
        </w:trPr>
        <w:tc>
          <w:tcPr>
            <w:tcW w:type="dxa" w:w="338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 - Cognitive or neurological change</w:t>
            </w:r>
          </w:p>
        </w:tc>
        <w:tc>
          <w:tcPr>
            <w:tcW w:type="dxa" w:w="712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there sudden confusion, weakness, speech change, head injury, severe headache, memory gap, or markedly changed behavior?</w:t>
            </w:r>
          </w:p>
        </w:tc>
      </w:tr>
      <w:tr>
        <w:trPr>
          <w:cantSplit/>
        </w:trPr>
        <w:tc>
          <w:tcPr>
            <w:tcW w:type="dxa" w:w="33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U - Unstable behavior or inability to care</w:t>
            </w:r>
          </w:p>
        </w:tc>
        <w:tc>
          <w:tcPr>
            <w:tcW w:type="dxa" w:w="71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the person unable to maintain basic safety, shelter, food, medical care, or behavioral control?</w:t>
            </w:r>
          </w:p>
        </w:tc>
      </w:tr>
      <w:tr>
        <w:trPr>
          <w:cantSplit/>
        </w:trPr>
        <w:tc>
          <w:tcPr>
            <w:tcW w:type="dxa" w:w="338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 - Toxicity, intoxication, or withdrawal</w:t>
            </w:r>
          </w:p>
        </w:tc>
        <w:tc>
          <w:tcPr>
            <w:tcW w:type="dxa" w:w="712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Could medication, alcohol, sedative, stimulant, opioid, or other substance effects explain or worsen the presentation?</w:t>
            </w:r>
          </w:p>
        </w:tc>
      </w:tr>
      <w:tr>
        <w:trPr>
          <w:cantSplit/>
        </w:trPr>
        <w:tc>
          <w:tcPr>
            <w:tcW w:type="dxa" w:w="338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 - Escalating psychosis, mania, or exposure</w:t>
            </w:r>
          </w:p>
        </w:tc>
        <w:tc>
          <w:tcPr>
            <w:tcW w:type="dxa" w:w="71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Are there command hallucinations, severe insomnia, grandiosity, impulsivity, aggression, exploitation, environmental exposure, or rapidly worsening function?</w:t>
            </w:r>
          </w:p>
        </w:tc>
      </w:tr>
    </w:tbl>
    <w:p>
      <w:pPr>
        <w:spacing w:after="0"/>
      </w:pPr>
    </w:p>
    <w:p>
      <w:pPr>
        <w:pStyle w:val="Heading2"/>
        <w:spacing w:before="140" w:after="80"/>
        <w:keepNext/>
      </w:pPr>
      <w:r>
        <w:rPr>
          <w:rFonts w:ascii="Arial" w:hAnsi="Arial" w:eastAsia="Arial"/>
          <w:b/>
          <w:color w:val="159C9C"/>
          <w:sz w:val="26"/>
        </w:rPr>
        <w:t>Psychosis and Command Hallucinations</w:t>
      </w:r>
    </w:p>
    <w:p>
      <w:pPr>
        <w:spacing w:before="0" w:after="100" w:line="254" w:lineRule="auto"/>
      </w:pPr>
      <w:r>
        <w:rPr>
          <w:rFonts w:ascii="Arial" w:hAnsi="Arial" w:eastAsia="Arial"/>
          <w:b w:val="0"/>
          <w:i w:val="0"/>
          <w:color w:val="1F2937"/>
          <w:sz w:val="20"/>
        </w:rPr>
        <w:t>Do not assume that hallucinations automatically require hospitalization or that a calm appearance means safety. Clarify content, frequency, distress, perceived power, ability and willingness to resist, intent, access to targets or means, substance and medical contributors, sleep, history of acting on commands, supports, and functional change.</w:t>
      </w:r>
    </w:p>
    <w:p>
      <w:pPr>
        <w:pStyle w:val="Heading2"/>
        <w:spacing w:before="140" w:after="80"/>
        <w:keepNext/>
      </w:pPr>
      <w:r>
        <w:rPr>
          <w:rFonts w:ascii="Arial" w:hAnsi="Arial" w:eastAsia="Arial"/>
          <w:b/>
          <w:color w:val="159C9C"/>
          <w:sz w:val="26"/>
        </w:rPr>
        <w:t>Mania and Severe Activation</w:t>
      </w:r>
    </w:p>
    <w:p>
      <w:pPr>
        <w:spacing w:before="0" w:after="100" w:line="254" w:lineRule="auto"/>
      </w:pPr>
      <w:r>
        <w:rPr>
          <w:rFonts w:ascii="Arial" w:hAnsi="Arial" w:eastAsia="Arial"/>
          <w:b w:val="0"/>
          <w:i w:val="0"/>
          <w:color w:val="1F2937"/>
          <w:sz w:val="20"/>
        </w:rPr>
        <w:t>Assess reduced need for sleep, increased energy, pressured speech, racing thoughts, grandiosity, impulsive spending or travel, sexual risk, aggression, psychosis, medication changes, substances, medical causes, and ability to care for self. The level-of-care decision depends on danger, grave disability, judgment, supports, willingness, and feasibility—not the diagnostic label alone.</w:t>
      </w:r>
    </w:p>
    <w:p>
      <w:pPr>
        <w:pStyle w:val="Heading2"/>
        <w:spacing w:before="140" w:after="80"/>
        <w:keepNext/>
      </w:pPr>
      <w:r>
        <w:rPr>
          <w:rFonts w:ascii="Arial" w:hAnsi="Arial" w:eastAsia="Arial"/>
          <w:b/>
          <w:color w:val="159C9C"/>
          <w:sz w:val="26"/>
        </w:rPr>
        <w:t>Substance and Medical Urgency</w:t>
      </w:r>
    </w:p>
    <w:p>
      <w:pPr>
        <w:spacing w:before="0" w:after="100" w:line="254" w:lineRule="auto"/>
      </w:pPr>
      <w:r>
        <w:rPr>
          <w:rFonts w:ascii="Arial" w:hAnsi="Arial" w:eastAsia="Arial"/>
          <w:b w:val="0"/>
          <w:i w:val="0"/>
          <w:color w:val="1F2937"/>
          <w:sz w:val="20"/>
        </w:rPr>
        <w:t>Crisis presentations may reflect intoxication, withdrawal, overdose, medication interaction, infection, metabolic disturbance, head injury, pregnancy-related emergency, pain, or other medical conditions. New confusion, altered consciousness, severe autonomic symptoms, seizure, injury, overdose, or rapidly changing cognition generally moves medical evaluation ahead of routine psychotherapy assessment. Follow emergency protocols and do not ask the client to drive when unsafe.</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CTA EXAM TIP</w:t>
            </w:r>
          </w:p>
          <w:p>
            <w:pPr>
              <w:spacing w:after="20" w:line="250" w:lineRule="auto"/>
            </w:pPr>
            <w:r>
              <w:rPr>
                <w:rFonts w:ascii="Arial" w:hAnsi="Arial" w:eastAsia="Arial"/>
                <w:color w:val="1F2937"/>
                <w:sz w:val="20"/>
              </w:rPr>
              <w:t>When the case contains both psychiatric distress and an acute medical or neurological warning sign, the best next step often addresses medical safety first while maintaining behavioral-health support.</w:t>
            </w:r>
          </w:p>
        </w:tc>
      </w:tr>
    </w:tbl>
    <w:p>
      <w:pPr>
        <w:spacing w:after="0"/>
      </w:pPr>
    </w:p>
    <w:p>
      <w:pPr>
        <w:pStyle w:val="Heading2"/>
        <w:spacing w:before="140" w:after="80"/>
        <w:keepNext/>
      </w:pPr>
      <w:r>
        <w:rPr>
          <w:rFonts w:ascii="Arial" w:hAnsi="Arial" w:eastAsia="Arial"/>
          <w:b/>
          <w:color w:val="159C9C"/>
          <w:sz w:val="26"/>
        </w:rPr>
        <w:t>Clinical Resource Toolkit: Acute Differential Grid</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259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Observed or Reported Cue</w:t>
            </w:r>
          </w:p>
        </w:tc>
        <w:tc>
          <w:tcPr>
            <w:tcW w:type="dxa" w:w="266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Possible Explanations</w:t>
            </w:r>
          </w:p>
        </w:tc>
        <w:tc>
          <w:tcPr>
            <w:tcW w:type="dxa" w:w="32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Discriminating Questions</w:t>
            </w:r>
          </w:p>
        </w:tc>
        <w:tc>
          <w:tcPr>
            <w:tcW w:type="dxa" w:w="201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Immediate Action</w:t>
            </w:r>
          </w:p>
        </w:tc>
      </w:tr>
      <w:tr>
        <w:trPr>
          <w:cantSplit/>
        </w:trPr>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26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201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r>
      <w:tr>
        <w:trPr>
          <w:cantSplit/>
        </w:trPr>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26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201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r>
      <w:tr>
        <w:trPr>
          <w:cantSplit/>
        </w:trPr>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26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201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r>
      <w:tr>
        <w:trPr>
          <w:cantSplit/>
        </w:trPr>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26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c>
          <w:tcPr>
            <w:tcW w:type="dxa" w:w="201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r>
          </w:p>
        </w:tc>
      </w:tr>
    </w:tbl>
    <w:p>
      <w:pPr>
        <w:spacing w:after="0"/>
      </w:pPr>
    </w:p>
    <w:p>
      <w:pPr>
        <w:pStyle w:val="Heading2"/>
        <w:spacing w:before="140" w:after="80"/>
        <w:keepNext/>
      </w:pPr>
      <w:r>
        <w:rPr>
          <w:rFonts w:ascii="Arial" w:hAnsi="Arial" w:eastAsia="Arial"/>
          <w:b/>
          <w:color w:val="159C9C"/>
          <w:sz w:val="26"/>
        </w:rPr>
        <w:t>Chapter 4 Summary</w:t>
      </w:r>
    </w:p>
    <w:p>
      <w:pPr>
        <w:pStyle w:val="ListBullet"/>
        <w:spacing w:after="50" w:line="250" w:lineRule="auto"/>
        <w:keepLines/>
      </w:pPr>
      <w:r>
        <w:rPr>
          <w:rFonts w:ascii="Arial" w:hAnsi="Arial" w:eastAsia="Arial"/>
          <w:color w:val="1F2937"/>
          <w:sz w:val="20"/>
        </w:rPr>
        <w:t>Trauma-informed care supports safety and choice but does not minimize acute risk.</w:t>
      </w:r>
    </w:p>
    <w:p>
      <w:pPr>
        <w:pStyle w:val="ListBullet"/>
        <w:spacing w:after="50" w:line="250" w:lineRule="auto"/>
        <w:keepLines/>
      </w:pPr>
      <w:r>
        <w:rPr>
          <w:rFonts w:ascii="Arial" w:hAnsi="Arial" w:eastAsia="Arial"/>
          <w:color w:val="1F2937"/>
          <w:sz w:val="20"/>
        </w:rPr>
        <w:t>Psychosis and mania require assessment of behavior, judgment, means, supports, function, medical causes, and substance effects.</w:t>
      </w:r>
    </w:p>
    <w:p>
      <w:pPr>
        <w:pStyle w:val="ListBullet"/>
        <w:spacing w:after="50" w:line="250" w:lineRule="auto"/>
        <w:keepLines/>
      </w:pPr>
      <w:r>
        <w:rPr>
          <w:rFonts w:ascii="Arial" w:hAnsi="Arial" w:eastAsia="Arial"/>
          <w:color w:val="1F2937"/>
          <w:sz w:val="20"/>
        </w:rPr>
        <w:t>New cognitive, neurological, consciousness, injury, overdose, or withdrawal cues may require urgent medical evaluation.</w:t>
      </w:r>
    </w:p>
    <w:p>
      <w:pPr>
        <w:pStyle w:val="ListBullet"/>
        <w:spacing w:after="50" w:line="250" w:lineRule="auto"/>
        <w:keepLines/>
      </w:pPr>
      <w:r>
        <w:rPr>
          <w:rFonts w:ascii="Arial" w:hAnsi="Arial" w:eastAsia="Arial"/>
          <w:color w:val="1F2937"/>
          <w:sz w:val="20"/>
        </w:rPr>
        <w:t>The exam rewards differential urgency: identify the explanation that cannot safely be postponed.</w:t>
      </w:r>
    </w:p>
    <w:p>
      <w:r>
        <w:br w:type="page"/>
      </w:r>
    </w:p>
    <w:tbl>
      <w:tblPr>
        <w:tblW w:type="auto" w:w="0"/>
        <w:jc w:val="center"/>
        <w:tblLayout w:type="fixed"/>
        <w:tblLook w:firstColumn="1" w:firstRow="1" w:lastColumn="0" w:lastRow="0" w:noHBand="0" w:noVBand="1" w:val="04A0"/>
      </w:tblPr>
      <w:tblGrid>
        <w:gridCol w:w="5155"/>
        <w:gridCol w:w="5155"/>
      </w:tblGrid>
      <w:tr>
        <w:tc>
          <w:tcPr>
            <w:tcW w:type="dxa" w:w="1008"/>
            <w:shd w:fill="159C9C"/>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jc w:val="center"/>
            </w:pPr>
            <w:r>
              <w:rPr>
                <w:rFonts w:ascii="Arial" w:hAnsi="Arial" w:eastAsia="Arial"/>
                <w:b/>
                <w:color w:val="FFFFFF"/>
                <w:sz w:val="36"/>
              </w:rPr>
              <w:t>5</w:t>
            </w:r>
          </w:p>
        </w:tc>
        <w:tc>
          <w:tcPr>
            <w:tcW w:type="dxa" w:w="9504"/>
            <w:shd w:fill="17365D"/>
            <w:tcMar>
              <w:top w:w="100" w:type="dxa"/>
              <w:start w:w="115" w:type="dxa"/>
              <w:bottom w:w="100" w:type="dxa"/>
              <w:end w:w="115" w:type="dxa"/>
            </w:tcMar>
            <w:tcBorders>
              <w:top w:val="single" w:sz="0" w:color="FFFFFF"/>
              <w:left w:val="single" w:sz="0" w:color="FFFFFF"/>
              <w:bottom w:val="single" w:sz="0" w:color="FFFFFF"/>
              <w:right w:val="single" w:sz="0" w:color="FFFFFF"/>
            </w:tcBorders>
          </w:tcPr>
          <w:p>
            <w:pPr>
              <w:spacing w:after="0"/>
            </w:pPr>
            <w:r>
              <w:rPr>
                <w:rFonts w:ascii="Arial" w:hAnsi="Arial" w:eastAsia="Arial"/>
                <w:b/>
                <w:color w:val="FFFFFF"/>
                <w:sz w:val="28"/>
              </w:rPr>
              <w:t>Safety Planning, Level of Care, Consultation, and Documentation</w:t>
            </w:r>
          </w:p>
        </w:tc>
      </w:tr>
    </w:tbl>
    <w:p>
      <w:pPr>
        <w:spacing w:before="100" w:after="180"/>
      </w:pPr>
      <w:r>
        <w:rPr>
          <w:rFonts w:ascii="Arial" w:hAnsi="Arial" w:eastAsia="Arial"/>
          <w:i/>
          <w:color w:val="4E5B6B"/>
          <w:sz w:val="21"/>
        </w:rPr>
        <w:t>Choose a response that can actually manage the risk, then make the handoff visible.</w:t>
      </w:r>
    </w:p>
    <w:p>
      <w:pPr>
        <w:pStyle w:val="Heading2"/>
        <w:spacing w:before="140" w:after="80"/>
        <w:keepNext/>
      </w:pPr>
      <w:r>
        <w:rPr>
          <w:rFonts w:ascii="Arial" w:hAnsi="Arial" w:eastAsia="Arial"/>
          <w:b/>
          <w:color w:val="159C9C"/>
          <w:sz w:val="26"/>
        </w:rPr>
        <w:t>Safety Planning Is Collaborative Risk Reduction</w:t>
      </w:r>
    </w:p>
    <w:p>
      <w:pPr>
        <w:spacing w:before="0" w:after="100" w:line="254" w:lineRule="auto"/>
      </w:pPr>
      <w:r>
        <w:rPr>
          <w:rFonts w:ascii="Arial" w:hAnsi="Arial" w:eastAsia="Arial"/>
          <w:b w:val="0"/>
          <w:i w:val="0"/>
          <w:color w:val="1F2937"/>
          <w:sz w:val="20"/>
        </w:rPr>
        <w:t>A safety plan is a prioritized, individualized set of actions the client can use before or during a crisis. It is developed collaboratively, written in accessible language, rehearsed, stored where it can be found, and updated when circumstances change. It does not replace emergency evaluation when the person cannot safely use the plan.</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02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Plan Element</w:t>
            </w:r>
          </w:p>
        </w:tc>
        <w:tc>
          <w:tcPr>
            <w:tcW w:type="dxa" w:w="748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Quality Check</w:t>
            </w:r>
          </w:p>
        </w:tc>
      </w:tr>
      <w:tr>
        <w:trPr>
          <w:cantSplit/>
        </w:trPr>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Personal warning signs</w:t>
            </w:r>
          </w:p>
        </w:tc>
        <w:tc>
          <w:tcPr>
            <w:tcW w:type="dxa" w:w="74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Concrete cues the client can recognize before the crisis peaks.</w:t>
            </w:r>
          </w:p>
        </w:tc>
      </w:tr>
      <w:tr>
        <w:trPr>
          <w:cantSplit/>
        </w:trPr>
        <w:tc>
          <w:tcPr>
            <w:tcW w:type="dxa" w:w="302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Internal coping actions</w:t>
            </w:r>
          </w:p>
        </w:tc>
        <w:tc>
          <w:tcPr>
            <w:tcW w:type="dxa" w:w="74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Brief actions the client can try without contacting another person.</w:t>
            </w:r>
          </w:p>
        </w:tc>
      </w:tr>
      <w:tr>
        <w:trPr>
          <w:cantSplit/>
        </w:trPr>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People or places for distraction</w:t>
            </w:r>
          </w:p>
        </w:tc>
        <w:tc>
          <w:tcPr>
            <w:tcW w:type="dxa" w:w="74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Specific and realistically available.</w:t>
            </w:r>
          </w:p>
        </w:tc>
      </w:tr>
      <w:tr>
        <w:trPr>
          <w:cantSplit/>
        </w:trPr>
        <w:tc>
          <w:tcPr>
            <w:tcW w:type="dxa" w:w="302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People who can help</w:t>
            </w:r>
          </w:p>
        </w:tc>
        <w:tc>
          <w:tcPr>
            <w:tcW w:type="dxa" w:w="74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Named supports, consent considerations, and backup contacts.</w:t>
            </w:r>
          </w:p>
        </w:tc>
      </w:tr>
      <w:tr>
        <w:trPr>
          <w:cantSplit/>
        </w:trPr>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Professionals and crisis resources</w:t>
            </w:r>
          </w:p>
        </w:tc>
        <w:tc>
          <w:tcPr>
            <w:tcW w:type="dxa" w:w="74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Counselor/clinic instructions, 988, local mobile crisis, urgent care, emergency department, or 911 as appropriate.</w:t>
            </w:r>
          </w:p>
        </w:tc>
      </w:tr>
      <w:tr>
        <w:trPr>
          <w:cantSplit/>
        </w:trPr>
        <w:tc>
          <w:tcPr>
            <w:tcW w:type="dxa" w:w="302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Lethal-means safety</w:t>
            </w:r>
          </w:p>
        </w:tc>
        <w:tc>
          <w:tcPr>
            <w:tcW w:type="dxa" w:w="74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Specific method, responsible person, timing, verification, and backup.</w:t>
            </w:r>
          </w:p>
        </w:tc>
      </w:tr>
      <w:tr>
        <w:trPr>
          <w:cantSplit/>
        </w:trPr>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Barriers and rehearsal</w:t>
            </w:r>
          </w:p>
        </w:tc>
        <w:tc>
          <w:tcPr>
            <w:tcW w:type="dxa" w:w="74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Transportation, privacy, language, disability, technology, fear, cost, and what to do if the first step fails.</w:t>
            </w:r>
          </w:p>
        </w:tc>
      </w:tr>
    </w:tbl>
    <w:p>
      <w:pPr>
        <w:spacing w:after="0"/>
      </w:pPr>
    </w:p>
    <w:p>
      <w:pPr>
        <w:pStyle w:val="Heading2"/>
        <w:spacing w:before="140" w:after="80"/>
        <w:keepNext/>
      </w:pPr>
      <w:r>
        <w:rPr>
          <w:rFonts w:ascii="Arial" w:hAnsi="Arial" w:eastAsia="Arial"/>
          <w:b/>
          <w:color w:val="159C9C"/>
          <w:sz w:val="26"/>
        </w:rPr>
        <w:t>The SAFE PATH Level-of-Care Map</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02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Step</w:t>
            </w:r>
          </w:p>
        </w:tc>
        <w:tc>
          <w:tcPr>
            <w:tcW w:type="dxa" w:w="748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Decision Question</w:t>
            </w:r>
          </w:p>
        </w:tc>
      </w:tr>
      <w:tr>
        <w:trPr>
          <w:cantSplit/>
        </w:trPr>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 - Severity and immediacy</w:t>
            </w:r>
          </w:p>
        </w:tc>
        <w:tc>
          <w:tcPr>
            <w:tcW w:type="dxa" w:w="74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How acute is the danger, medical need, psychosis, mania, withdrawal, violence, or inability to care?</w:t>
            </w:r>
          </w:p>
        </w:tc>
      </w:tr>
      <w:tr>
        <w:trPr>
          <w:cantSplit/>
        </w:trPr>
        <w:tc>
          <w:tcPr>
            <w:tcW w:type="dxa" w:w="302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 - Ability to collaborate</w:t>
            </w:r>
          </w:p>
        </w:tc>
        <w:tc>
          <w:tcPr>
            <w:tcW w:type="dxa" w:w="74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Can the client understand, participate, use a plan, and seek help if risk increases?</w:t>
            </w:r>
          </w:p>
        </w:tc>
      </w:tr>
      <w:tr>
        <w:trPr>
          <w:cantSplit/>
        </w:trPr>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 - Feasibility of supports</w:t>
            </w:r>
          </w:p>
        </w:tc>
        <w:tc>
          <w:tcPr>
            <w:tcW w:type="dxa" w:w="74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Are supervision, safe housing, transportation, means reduction, and follow-up actually available?</w:t>
            </w:r>
          </w:p>
        </w:tc>
      </w:tr>
      <w:tr>
        <w:trPr>
          <w:cantSplit/>
        </w:trPr>
        <w:tc>
          <w:tcPr>
            <w:tcW w:type="dxa" w:w="302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E - Environment</w:t>
            </w:r>
          </w:p>
        </w:tc>
        <w:tc>
          <w:tcPr>
            <w:tcW w:type="dxa" w:w="74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the setting safe from the perpetrator, target, weapon, substance, or other destabilizing factor?</w:t>
            </w:r>
          </w:p>
        </w:tc>
      </w:tr>
      <w:tr>
        <w:trPr>
          <w:cantSplit/>
        </w:trPr>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 - Protective action required</w:t>
            </w:r>
          </w:p>
        </w:tc>
        <w:tc>
          <w:tcPr>
            <w:tcW w:type="dxa" w:w="74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Is there a mandated report, duty to protect, medical response, emergency evaluation, or county crisis action?</w:t>
            </w:r>
          </w:p>
        </w:tc>
      </w:tr>
      <w:tr>
        <w:trPr>
          <w:cantSplit/>
        </w:trPr>
        <w:tc>
          <w:tcPr>
            <w:tcW w:type="dxa" w:w="302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 - Available least restrictive safe option</w:t>
            </w:r>
          </w:p>
        </w:tc>
        <w:tc>
          <w:tcPr>
            <w:tcW w:type="dxa" w:w="74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Which feasible option manages the risk without unnecessary restriction?</w:t>
            </w:r>
          </w:p>
        </w:tc>
      </w:tr>
      <w:tr>
        <w:trPr>
          <w:cantSplit/>
        </w:trPr>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 - Transfer and transition</w:t>
            </w:r>
          </w:p>
        </w:tc>
        <w:tc>
          <w:tcPr>
            <w:tcW w:type="dxa" w:w="748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Who accepts responsibility, what information is shared, and how is the handoff confirmed?</w:t>
            </w:r>
          </w:p>
        </w:tc>
      </w:tr>
      <w:tr>
        <w:trPr>
          <w:cantSplit/>
        </w:trPr>
        <w:tc>
          <w:tcPr>
            <w:tcW w:type="dxa" w:w="302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H - Handoff, follow-up, and documentation</w:t>
            </w:r>
          </w:p>
        </w:tc>
        <w:tc>
          <w:tcPr>
            <w:tcW w:type="dxa" w:w="7488"/>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What happens next, when is reassessment, and what facts support the rationale?</w:t>
            </w:r>
          </w:p>
        </w:tc>
      </w:tr>
    </w:tbl>
    <w:p>
      <w:pPr>
        <w:spacing w:after="0"/>
      </w:pPr>
    </w:p>
    <w:p>
      <w:pPr>
        <w:pStyle w:val="Heading2"/>
        <w:spacing w:before="140" w:after="80"/>
        <w:keepNext/>
      </w:pPr>
      <w:r>
        <w:rPr>
          <w:rFonts w:ascii="Arial" w:hAnsi="Arial" w:eastAsia="Arial"/>
          <w:b/>
          <w:color w:val="159C9C"/>
          <w:sz w:val="26"/>
        </w:rPr>
        <w:t>Continuum of Response</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37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Response Level</w:t>
            </w:r>
          </w:p>
        </w:tc>
        <w:tc>
          <w:tcPr>
            <w:tcW w:type="dxa" w:w="54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Typical Features</w:t>
            </w:r>
          </w:p>
        </w:tc>
        <w:tc>
          <w:tcPr>
            <w:tcW w:type="dxa" w:w="266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6"/>
              </w:rPr>
              <w:t>Do Not Use When</w:t>
            </w:r>
          </w:p>
        </w:tc>
      </w:tr>
      <w:tr>
        <w:trPr>
          <w:cantSplit/>
        </w:trPr>
        <w:tc>
          <w:tcPr>
            <w:tcW w:type="dxa" w:w="23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Routine outpatient with monitoring</w:t>
            </w:r>
          </w:p>
        </w:tc>
        <w:tc>
          <w:tcPr>
            <w:tcW w:type="dxa" w:w="54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No imminent danger; reliable participation; functioning and supports adequate; timely follow-up feasible.</w:t>
            </w:r>
          </w:p>
        </w:tc>
        <w:tc>
          <w:tcPr>
            <w:tcW w:type="dxa" w:w="26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The client cannot use the plan or risk is rapidly escalating.</w:t>
            </w:r>
          </w:p>
        </w:tc>
      </w:tr>
      <w:tr>
        <w:trPr>
          <w:cantSplit/>
        </w:trPr>
        <w:tc>
          <w:tcPr>
            <w:tcW w:type="dxa" w:w="237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Enhanced/urgent outpatient</w:t>
            </w:r>
          </w:p>
        </w:tc>
        <w:tc>
          <w:tcPr>
            <w:tcW w:type="dxa" w:w="547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Same-day consultation, increased contact, support involvement, rapid medication or medical review, means safety.</w:t>
            </w:r>
          </w:p>
        </w:tc>
        <w:tc>
          <w:tcPr>
            <w:tcW w:type="dxa" w:w="266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The environment cannot be made safe or observation is required.</w:t>
            </w:r>
          </w:p>
        </w:tc>
      </w:tr>
      <w:tr>
        <w:trPr>
          <w:cantSplit/>
        </w:trPr>
        <w:tc>
          <w:tcPr>
            <w:tcW w:type="dxa" w:w="23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988 or mobile crisis response</w:t>
            </w:r>
          </w:p>
        </w:tc>
        <w:tc>
          <w:tcPr>
            <w:tcW w:type="dxa" w:w="54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Immediate crisis counseling, triage, community response, linkage, and de-escalation when appropriate locally.</w:t>
            </w:r>
          </w:p>
        </w:tc>
        <w:tc>
          <w:tcPr>
            <w:tcW w:type="dxa" w:w="26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Active medical emergency, active violence, or response would be too slow.</w:t>
            </w:r>
          </w:p>
        </w:tc>
      </w:tr>
      <w:tr>
        <w:trPr>
          <w:cantSplit/>
        </w:trPr>
        <w:tc>
          <w:tcPr>
            <w:tcW w:type="dxa" w:w="2376"/>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Emergency department / emergency services</w:t>
            </w:r>
          </w:p>
        </w:tc>
        <w:tc>
          <w:tcPr>
            <w:tcW w:type="dxa" w:w="547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Acute medical, overdose, severe withdrawal, injury, active attempt, severe behavioral danger, or need for immediate evaluation.</w:t>
            </w:r>
          </w:p>
        </w:tc>
        <w:tc>
          <w:tcPr>
            <w:tcW w:type="dxa" w:w="2664"/>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A lower level can safely and reliably manage the situation.</w:t>
            </w:r>
          </w:p>
        </w:tc>
      </w:tr>
      <w:tr>
        <w:trPr>
          <w:cantSplit/>
        </w:trPr>
        <w:tc>
          <w:tcPr>
            <w:tcW w:type="dxa" w:w="23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Inpatient or other higher level</w:t>
            </w:r>
          </w:p>
        </w:tc>
        <w:tc>
          <w:tcPr>
            <w:tcW w:type="dxa" w:w="54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Continuous structure, observation, intensive stabilization, or treatment not feasible in the community.</w:t>
            </w:r>
          </w:p>
        </w:tc>
        <w:tc>
          <w:tcPr>
            <w:tcW w:type="dxa" w:w="266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6"/>
              </w:rPr>
              <w:t>The admission would not address the actual need or criteria are not met.</w:t>
            </w:r>
          </w:p>
        </w:tc>
      </w:tr>
    </w:tbl>
    <w:p>
      <w:pPr>
        <w:spacing w:after="0"/>
      </w:pPr>
    </w:p>
    <w:p>
      <w:pPr>
        <w:pStyle w:val="Heading2"/>
        <w:spacing w:before="140" w:after="80"/>
        <w:keepNext/>
      </w:pPr>
      <w:r>
        <w:rPr>
          <w:rFonts w:ascii="Arial" w:hAnsi="Arial" w:eastAsia="Arial"/>
          <w:b/>
          <w:color w:val="159C9C"/>
          <w:sz w:val="26"/>
        </w:rPr>
        <w:t>California 5150 and 5585.50 Orientation</w:t>
      </w:r>
    </w:p>
    <w:p>
      <w:pPr>
        <w:spacing w:before="0" w:after="100" w:line="254" w:lineRule="auto"/>
      </w:pPr>
      <w:r>
        <w:rPr>
          <w:rFonts w:ascii="Arial" w:hAnsi="Arial" w:eastAsia="Arial"/>
          <w:b w:val="0"/>
          <w:i w:val="0"/>
          <w:color w:val="1F2937"/>
          <w:sz w:val="20"/>
        </w:rPr>
        <w:t>Welfare and Institutions Code section 5150 authorizes specified professionals to take or cause an adult to be taken into custody for up to 72 hours for assessment, evaluation, crisis intervention, or placement when statutory criteria are met. Section 5585.50 addresses specified detention authority for minors when, as a result of a mental disorder, the minor is a danger to others, a danger to self, or gravely disabled and authorization for voluntary treatment is unavailable. Candidate answers should respect both clinical need and the counselor’s actual legal authority.</w:t>
      </w:r>
    </w:p>
    <w:p>
      <w:pPr>
        <w:pStyle w:val="Heading2"/>
        <w:spacing w:before="140" w:after="80"/>
        <w:keepNext/>
      </w:pPr>
      <w:r>
        <w:rPr>
          <w:rFonts w:ascii="Arial" w:hAnsi="Arial" w:eastAsia="Arial"/>
          <w:b/>
          <w:color w:val="159C9C"/>
          <w:sz w:val="26"/>
        </w:rPr>
        <w:t>Crisis Documentation: FACTS</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288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Element</w:t>
            </w:r>
          </w:p>
        </w:tc>
        <w:tc>
          <w:tcPr>
            <w:tcW w:type="dxa" w:w="763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Document</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 - Facts and sources</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Direct observations, client statements in quotation marks when useful, collateral reports, records, and time sequence.</w:t>
            </w:r>
          </w:p>
        </w:tc>
      </w:tr>
      <w:tr>
        <w:trPr>
          <w:cantSplit/>
        </w:trPr>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A - Assessment and formulation</w:t>
            </w:r>
          </w:p>
        </w:tc>
        <w:tc>
          <w:tcPr>
            <w:tcW w:type="dxa" w:w="76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Risk and protective factors, medical/substance concerns, reliability, capacity, and why the selected level of care fits.</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 - Consultation and communication</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Supervisor/consultant, crisis team, law enforcement, victim, protective agency, supports, and information disclosed.</w:t>
            </w:r>
          </w:p>
        </w:tc>
      </w:tr>
      <w:tr>
        <w:trPr>
          <w:cantSplit/>
        </w:trPr>
        <w:tc>
          <w:tcPr>
            <w:tcW w:type="dxa" w:w="2880"/>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T - Transfer and treatment actions</w:t>
            </w:r>
          </w:p>
        </w:tc>
        <w:tc>
          <w:tcPr>
            <w:tcW w:type="dxa" w:w="7632"/>
            <w:shd w:fill="F2F4F7"/>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Safety planning, means reduction, emergency transport, report confirmation, referrals, handoff, and client response.</w:t>
            </w:r>
          </w:p>
        </w:tc>
      </w:tr>
      <w:tr>
        <w:trPr>
          <w:cantSplit/>
        </w:trPr>
        <w:tc>
          <w:tcPr>
            <w:tcW w:type="dxa" w:w="288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 - Subsequent plan</w:t>
            </w:r>
          </w:p>
        </w:tc>
        <w:tc>
          <w:tcPr>
            <w:tcW w:type="dxa" w:w="763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Follow-up time, reassessment triggers, responsible person, barriers, and contingency plan.</w:t>
            </w:r>
          </w:p>
        </w:tc>
      </w:tr>
    </w:tbl>
    <w:p>
      <w:pPr>
        <w:spacing w:after="0"/>
      </w:pPr>
    </w:p>
    <w:p>
      <w:pPr>
        <w:pStyle w:val="Heading2"/>
        <w:spacing w:before="140" w:after="80"/>
        <w:keepNext/>
      </w:pPr>
      <w:r>
        <w:rPr>
          <w:rFonts w:ascii="Arial" w:hAnsi="Arial" w:eastAsia="Arial"/>
          <w:b/>
          <w:color w:val="159C9C"/>
          <w:sz w:val="26"/>
        </w:rPr>
        <w:t>Clinical Resource Toolkit: Safety and Disposition Worksheet</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8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Student Notes</w:t>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Current crisis and immediate danger</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Client ability to participate in a safety plan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Supports and environment actually available</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Legal or ethical duty activated</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Least restrictive safe option and why</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Transfer/handoff recipient and confirmation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Safety-plan actions and lethal-means step</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Follow-up, reassessment trigger, and documentation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p>
      <w:pPr>
        <w:pStyle w:val="Heading2"/>
        <w:spacing w:before="140" w:after="80"/>
        <w:keepNext/>
      </w:pPr>
      <w:r>
        <w:rPr>
          <w:rFonts w:ascii="Arial" w:hAnsi="Arial" w:eastAsia="Arial"/>
          <w:b/>
          <w:color w:val="159C9C"/>
          <w:sz w:val="26"/>
        </w:rPr>
        <w:t>Chapter 5 Summary</w:t>
      </w:r>
    </w:p>
    <w:p>
      <w:pPr>
        <w:pStyle w:val="ListBullet"/>
        <w:spacing w:after="50" w:line="250" w:lineRule="auto"/>
        <w:keepLines/>
      </w:pPr>
      <w:r>
        <w:rPr>
          <w:rFonts w:ascii="Arial" w:hAnsi="Arial" w:eastAsia="Arial"/>
          <w:color w:val="1F2937"/>
          <w:sz w:val="20"/>
        </w:rPr>
        <w:t>A safety plan is collaborative and specific; it is not a substitute for emergency evaluation when the client cannot use it safely.</w:t>
      </w:r>
    </w:p>
    <w:p>
      <w:pPr>
        <w:pStyle w:val="ListBullet"/>
        <w:spacing w:after="50" w:line="250" w:lineRule="auto"/>
        <w:keepLines/>
      </w:pPr>
      <w:r>
        <w:rPr>
          <w:rFonts w:ascii="Arial" w:hAnsi="Arial" w:eastAsia="Arial"/>
          <w:color w:val="1F2937"/>
          <w:sz w:val="20"/>
        </w:rPr>
        <w:t>Level of care depends on severity, collaboration, supports, environment, duties, and feasibility.</w:t>
      </w:r>
    </w:p>
    <w:p>
      <w:pPr>
        <w:pStyle w:val="ListBullet"/>
        <w:spacing w:after="50" w:line="250" w:lineRule="auto"/>
        <w:keepLines/>
      </w:pPr>
      <w:r>
        <w:rPr>
          <w:rFonts w:ascii="Arial" w:hAnsi="Arial" w:eastAsia="Arial"/>
          <w:color w:val="1F2937"/>
          <w:sz w:val="20"/>
        </w:rPr>
        <w:t>Use 988, mobile crisis, emergency services, medical care, and higher levels according to the actual need and local availability.</w:t>
      </w:r>
    </w:p>
    <w:p>
      <w:pPr>
        <w:pStyle w:val="ListBullet"/>
        <w:spacing w:after="50" w:line="250" w:lineRule="auto"/>
        <w:keepLines/>
      </w:pPr>
      <w:r>
        <w:rPr>
          <w:rFonts w:ascii="Arial" w:hAnsi="Arial" w:eastAsia="Arial"/>
          <w:color w:val="1F2937"/>
          <w:sz w:val="20"/>
        </w:rPr>
        <w:t>Do not claim detention authority that your role does not provide.</w:t>
      </w:r>
    </w:p>
    <w:p>
      <w:pPr>
        <w:pStyle w:val="ListBullet"/>
        <w:spacing w:after="50" w:line="250" w:lineRule="auto"/>
        <w:keepLines/>
      </w:pPr>
      <w:r>
        <w:rPr>
          <w:rFonts w:ascii="Arial" w:hAnsi="Arial" w:eastAsia="Arial"/>
          <w:color w:val="1F2937"/>
          <w:sz w:val="20"/>
        </w:rPr>
        <w:t>Documentation should show facts, formulation, consultation, actions, handoff, and follow-up.</w:t>
      </w:r>
    </w:p>
    <w:p>
      <w:pPr>
        <w:pStyle w:val="Heading1"/>
        <w:spacing w:before="100" w:after="80"/>
        <w:keepNext/>
      </w:pPr>
      <w:r>
        <w:rPr>
          <w:rFonts w:ascii="Arial" w:hAnsi="Arial" w:eastAsia="Arial"/>
          <w:b/>
          <w:color w:val="17365D"/>
          <w:sz w:val="23"/>
        </w:rPr>
        <w:t>Cumulative Three-Part Case Lab</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CASE: ELENA R.</w:t>
            </w:r>
          </w:p>
          <w:p>
            <w:pPr>
              <w:spacing w:after="20" w:line="250" w:lineRule="auto"/>
            </w:pPr>
            <w:r>
              <w:rPr>
                <w:rFonts w:ascii="Arial" w:hAnsi="Arial" w:eastAsia="Arial"/>
                <w:color w:val="1F2937"/>
                <w:sz w:val="20"/>
              </w:rPr>
              <w:t>Elena is a 36-year-old client seen in an outpatient clinic. She arrives without an appointment, appears frightened, and repeatedly checks the hallway. She says her former partner found her new address and sent photographs of a handgun. Her 9-year-old child is currently with a neighbor. Elena says, “I cannot do this anymore,” but asks the counselor not to call anyone because she fears losing housing and custody.</w:t>
            </w:r>
          </w:p>
        </w:tc>
      </w:tr>
    </w:tbl>
    <w:p>
      <w:pPr>
        <w:spacing w:after="0"/>
      </w:pPr>
    </w:p>
    <w:p>
      <w:pPr>
        <w:pStyle w:val="Heading2"/>
        <w:spacing w:before="140" w:after="80"/>
        <w:keepNext/>
      </w:pPr>
      <w:r>
        <w:rPr>
          <w:rFonts w:ascii="Arial" w:hAnsi="Arial" w:eastAsia="Arial"/>
          <w:b/>
          <w:color w:val="159C9C"/>
          <w:sz w:val="26"/>
        </w:rPr>
        <w:t>Section 1 - Immediate Engagement</w:t>
      </w:r>
    </w:p>
    <w:p>
      <w:pPr>
        <w:spacing w:before="0" w:after="100" w:line="254" w:lineRule="auto"/>
      </w:pPr>
      <w:r>
        <w:rPr>
          <w:rFonts w:ascii="Arial" w:hAnsi="Arial" w:eastAsia="Arial"/>
          <w:b w:val="0"/>
          <w:i w:val="0"/>
          <w:color w:val="1F2937"/>
          <w:sz w:val="20"/>
        </w:rPr>
        <w:t>Elena is tearful and breathing rapidly. She can answer brief questions but becomes overwhelmed when asked for a detailed relationship history. She reports that the former partner is not in the building. Clinic staff can secure the entrance and remain nearby.</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8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Student Notes</w:t>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should the counselor do in the first five minutes?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Which question cannot safely wait?</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de-escalation strategy would preserve participation?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facts are still unknown?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p>
      <w:pPr>
        <w:pStyle w:val="Heading2"/>
        <w:spacing w:before="140" w:after="80"/>
        <w:keepNext/>
      </w:pPr>
      <w:r>
        <w:rPr>
          <w:rFonts w:ascii="Arial" w:hAnsi="Arial" w:eastAsia="Arial"/>
          <w:b/>
          <w:color w:val="159C9C"/>
          <w:sz w:val="26"/>
        </w:rPr>
        <w:t>Section 2 - New Risk Information</w:t>
      </w:r>
    </w:p>
    <w:p>
      <w:pPr>
        <w:spacing w:before="0" w:after="100" w:line="254" w:lineRule="auto"/>
      </w:pPr>
      <w:r>
        <w:rPr>
          <w:rFonts w:ascii="Arial" w:hAnsi="Arial" w:eastAsia="Arial"/>
          <w:b w:val="0"/>
          <w:i w:val="0"/>
          <w:color w:val="1F2937"/>
          <w:sz w:val="20"/>
        </w:rPr>
        <w:t>Elena reports that she thought about taking “all the pills” in her bathroom the previous night. She denies taking any pills, says she does not want to die because of her child, and is unsure whether she can remain safe tonight. She also states that two weeks ago the former partner shoved the child into a wall while trying to reach Elena. The child had bruising but did not receive medical care.</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8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Student Notes</w:t>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Complete the IDEA-M assessment priorities.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Which California reporting duty may be activated and why?</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lethal-means information is required?</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Which support or emergency resource should be considered now?</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p>
      <w:pPr>
        <w:pStyle w:val="Heading2"/>
        <w:spacing w:before="140" w:after="80"/>
        <w:keepNext/>
      </w:pPr>
      <w:r>
        <w:rPr>
          <w:rFonts w:ascii="Arial" w:hAnsi="Arial" w:eastAsia="Arial"/>
          <w:b/>
          <w:color w:val="159C9C"/>
          <w:sz w:val="26"/>
        </w:rPr>
        <w:t>Section 3 - Disposition</w:t>
      </w:r>
    </w:p>
    <w:p>
      <w:pPr>
        <w:spacing w:before="0" w:after="100" w:line="254" w:lineRule="auto"/>
      </w:pPr>
      <w:r>
        <w:rPr>
          <w:rFonts w:ascii="Arial" w:hAnsi="Arial" w:eastAsia="Arial"/>
          <w:b w:val="0"/>
          <w:i w:val="0"/>
          <w:color w:val="1F2937"/>
          <w:sz w:val="20"/>
        </w:rPr>
        <w:t>Elena reveals that the pills are still accessible and that she cannot identify an adult who can stay with her. She agrees that she needs immediate help but refuses to drive because she feels dizzy and has not eaten. She is willing to speak with the county crisis team while remaining with clinic staff. The counselor confirms the child is currently safe with the neighbor and initiates the required child-abuse report.</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367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Prompt</w:t>
            </w:r>
          </w:p>
        </w:tc>
        <w:tc>
          <w:tcPr>
            <w:tcW w:type="dxa" w:w="68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Student Notes</w:t>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is the least restrictive safe disposition?</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handoff must be confirmed?</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should the counselor document?</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367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What should happen after the immediate crisis?</w:t>
            </w:r>
          </w:p>
        </w:tc>
        <w:tc>
          <w:tcPr>
            <w:tcW w:type="dxa" w:w="68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tbl>
      <w:tblPr>
        <w:tblW w:type="auto" w:w="0"/>
        <w:jc w:val="center"/>
        <w:tblLook w:firstColumn="1" w:firstRow="1" w:lastColumn="0" w:lastRow="0" w:noHBand="0" w:noVBand="1" w:val="04A0"/>
      </w:tblPr>
      <w:tblGrid>
        <w:gridCol w:w="10310"/>
      </w:tblGrid>
      <w:tr>
        <w:trPr>
          <w:cantSplit/>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F7A8C"/>
                <w:sz w:val="21"/>
              </w:rPr>
              <w:t>CASE DEBRIEF</w:t>
            </w:r>
          </w:p>
          <w:p>
            <w:pPr>
              <w:spacing w:after="20" w:line="250" w:lineRule="auto"/>
            </w:pPr>
            <w:r>
              <w:rPr>
                <w:rFonts w:ascii="Arial" w:hAnsi="Arial" w:eastAsia="Arial"/>
                <w:color w:val="1F2937"/>
                <w:sz w:val="20"/>
              </w:rPr>
              <w:t>The counselor should secure the setting, assess suicide and interpersonal danger directly, avoid an overwhelming history interview, activate the individual child-abuse reporting duty at reasonable suspicion, address pill access, and arrange an urgent crisis evaluation without asking Elena to drive. The counselor should document the facts, quotes, sources, formulation, report, consultations, handoff, and follow-up. The exact emergency pathway depends on local resources, clinic policy, and the counselor’s legal authority.</w:t>
            </w:r>
          </w:p>
        </w:tc>
      </w:tr>
    </w:tbl>
    <w:p>
      <w:pPr>
        <w:spacing w:after="0"/>
      </w:pPr>
    </w:p>
    <w:p>
      <w:pPr>
        <w:pStyle w:val="Heading1"/>
        <w:spacing w:before="100" w:after="80"/>
        <w:keepNext/>
      </w:pPr>
      <w:r>
        <w:rPr>
          <w:rFonts w:ascii="Arial" w:hAnsi="Arial" w:eastAsia="Arial"/>
          <w:b/>
          <w:color w:val="17365D"/>
          <w:sz w:val="23"/>
        </w:rPr>
        <w:t>Knowledge Check</w:t>
      </w:r>
    </w:p>
    <w:p>
      <w:pPr>
        <w:spacing w:before="0" w:after="100" w:line="254" w:lineRule="auto"/>
      </w:pPr>
      <w:r>
        <w:rPr>
          <w:rFonts w:ascii="Arial" w:hAnsi="Arial" w:eastAsia="Arial"/>
          <w:b w:val="0"/>
          <w:i w:val="0"/>
          <w:color w:val="1F2937"/>
          <w:sz w:val="20"/>
        </w:rPr>
        <w:t>Answer all 10 questions before reviewing the rationales. Record both your answer and confidence level. Each item has one best answer based on the information provided.</w:t>
      </w:r>
    </w:p>
    <w:p>
      <w:pPr>
        <w:spacing w:before="140" w:after="40"/>
        <w:keepNext/>
      </w:pPr>
      <w:r>
        <w:rPr>
          <w:rFonts w:ascii="Arial" w:hAnsi="Arial" w:eastAsia="Arial"/>
          <w:b/>
          <w:color w:val="1F7A8C"/>
          <w:sz w:val="17"/>
        </w:rPr>
        <w:t>LPCC-WB04-Q001 | Application | Easy | Primary concept: Crisis sequencing</w:t>
      </w:r>
    </w:p>
    <w:p>
      <w:pPr>
        <w:spacing w:after="60" w:line="250" w:lineRule="auto"/>
        <w:keepNext/>
      </w:pPr>
      <w:r>
        <w:rPr>
          <w:rFonts w:ascii="Arial" w:hAnsi="Arial" w:eastAsia="Arial"/>
          <w:b/>
          <w:color w:val="1F2937"/>
          <w:sz w:val="20"/>
        </w:rPr>
        <w:t>During an outpatient session, a client says, “Sometimes I wish I would not wake up.” What should the counselor do FIRST?</w:t>
      </w:r>
    </w:p>
    <w:p>
      <w:pPr>
        <w:spacing w:after="40" w:line="247" w:lineRule="auto"/>
        <w:ind w:left="216" w:hanging="216"/>
        <w:keepNext/>
      </w:pPr>
      <w:r>
        <w:rPr>
          <w:rFonts w:ascii="Arial" w:hAnsi="Arial" w:eastAsia="Arial"/>
          <w:sz w:val="20"/>
        </w:rPr>
        <w:t>A. Immediately arrange involuntary hospitalization.</w:t>
      </w:r>
    </w:p>
    <w:p>
      <w:pPr>
        <w:spacing w:after="40" w:line="247" w:lineRule="auto"/>
        <w:ind w:left="216" w:hanging="216"/>
        <w:keepNext/>
      </w:pPr>
      <w:r>
        <w:rPr>
          <w:rFonts w:ascii="Arial" w:hAnsi="Arial" w:eastAsia="Arial"/>
          <w:sz w:val="20"/>
        </w:rPr>
        <w:t>B. Ask direct questions about current suicidal thoughts, intent, plan, behavior, and access to means.</w:t>
      </w:r>
    </w:p>
    <w:p>
      <w:pPr>
        <w:spacing w:after="40" w:line="247" w:lineRule="auto"/>
        <w:ind w:left="216" w:hanging="216"/>
        <w:keepNext/>
      </w:pPr>
      <w:r>
        <w:rPr>
          <w:rFonts w:ascii="Arial" w:hAnsi="Arial" w:eastAsia="Arial"/>
          <w:sz w:val="20"/>
        </w:rPr>
        <w:t>C. Reassure the client that passive thoughts are common under stress.</w:t>
      </w:r>
    </w:p>
    <w:p>
      <w:pPr>
        <w:spacing w:after="40" w:line="247" w:lineRule="auto"/>
        <w:ind w:left="216" w:hanging="216"/>
        <w:keepNext/>
      </w:pPr>
      <w:r>
        <w:rPr>
          <w:rFonts w:ascii="Arial" w:hAnsi="Arial" w:eastAsia="Arial"/>
          <w:sz w:val="20"/>
        </w:rPr>
        <w:t>D. Begin cognitive restructuring of hopeless thoughts.</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LPCC-WB04-Q002 | Application | Easy | Primary concept: Positive suicide screen</w:t>
      </w:r>
    </w:p>
    <w:p>
      <w:pPr>
        <w:spacing w:after="60" w:line="250" w:lineRule="auto"/>
        <w:keepNext/>
      </w:pPr>
      <w:r>
        <w:rPr>
          <w:rFonts w:ascii="Arial" w:hAnsi="Arial" w:eastAsia="Arial"/>
          <w:b/>
          <w:color w:val="1F2937"/>
          <w:sz w:val="20"/>
        </w:rPr>
        <w:t>A client endorses one item on a suicide screening tool. What is the counselor’s BEST next step?</w:t>
      </w:r>
    </w:p>
    <w:p>
      <w:pPr>
        <w:spacing w:after="40" w:line="247" w:lineRule="auto"/>
        <w:ind w:left="216" w:hanging="216"/>
        <w:keepNext/>
      </w:pPr>
      <w:r>
        <w:rPr>
          <w:rFonts w:ascii="Arial" w:hAnsi="Arial" w:eastAsia="Arial"/>
          <w:sz w:val="20"/>
        </w:rPr>
        <w:t>A. Treat the positive response as proof of imminent risk.</w:t>
      </w:r>
    </w:p>
    <w:p>
      <w:pPr>
        <w:spacing w:after="40" w:line="247" w:lineRule="auto"/>
        <w:ind w:left="216" w:hanging="216"/>
        <w:keepNext/>
      </w:pPr>
      <w:r>
        <w:rPr>
          <w:rFonts w:ascii="Arial" w:hAnsi="Arial" w:eastAsia="Arial"/>
          <w:sz w:val="20"/>
        </w:rPr>
        <w:t>B. Repeat the same screen until the response changes.</w:t>
      </w:r>
    </w:p>
    <w:p>
      <w:pPr>
        <w:spacing w:after="40" w:line="247" w:lineRule="auto"/>
        <w:ind w:left="216" w:hanging="216"/>
        <w:keepNext/>
      </w:pPr>
      <w:r>
        <w:rPr>
          <w:rFonts w:ascii="Arial" w:hAnsi="Arial" w:eastAsia="Arial"/>
          <w:sz w:val="20"/>
        </w:rPr>
        <w:t>C. Conduct a focused suicide safety assessment and use the findings to guide disposition.</w:t>
      </w:r>
    </w:p>
    <w:p>
      <w:pPr>
        <w:spacing w:after="40" w:line="247" w:lineRule="auto"/>
        <w:ind w:left="216" w:hanging="216"/>
        <w:keepNext/>
      </w:pPr>
      <w:r>
        <w:rPr>
          <w:rFonts w:ascii="Arial" w:hAnsi="Arial" w:eastAsia="Arial"/>
          <w:sz w:val="20"/>
        </w:rPr>
        <w:t>D. Ask the client to sign a no-harm agreement.</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LPCC-WB04-Q003 | Application | Moderate | Primary concept: Nonsuicidal self-injury</w:t>
      </w:r>
    </w:p>
    <w:p>
      <w:pPr>
        <w:spacing w:after="60" w:line="250" w:lineRule="auto"/>
        <w:keepNext/>
      </w:pPr>
      <w:r>
        <w:rPr>
          <w:rFonts w:ascii="Arial" w:hAnsi="Arial" w:eastAsia="Arial"/>
          <w:b/>
          <w:color w:val="1F2937"/>
          <w:sz w:val="20"/>
        </w:rPr>
        <w:t>A client reports cutting to “feel something” and denies wanting to die. What should the counselor do NEXT?</w:t>
      </w:r>
    </w:p>
    <w:p>
      <w:pPr>
        <w:spacing w:after="40" w:line="247" w:lineRule="auto"/>
        <w:ind w:left="216" w:hanging="216"/>
        <w:keepNext/>
      </w:pPr>
      <w:r>
        <w:rPr>
          <w:rFonts w:ascii="Arial" w:hAnsi="Arial" w:eastAsia="Arial"/>
          <w:sz w:val="20"/>
        </w:rPr>
        <w:t>A. Accept the denial and focus only on emotion-regulation skills.</w:t>
      </w:r>
    </w:p>
    <w:p>
      <w:pPr>
        <w:spacing w:after="40" w:line="247" w:lineRule="auto"/>
        <w:ind w:left="216" w:hanging="216"/>
        <w:keepNext/>
      </w:pPr>
      <w:r>
        <w:rPr>
          <w:rFonts w:ascii="Arial" w:hAnsi="Arial" w:eastAsia="Arial"/>
          <w:sz w:val="20"/>
        </w:rPr>
        <w:t>B. Assess the function, medical severity, frequency, escalation, suicidal ideation, and access to means.</w:t>
      </w:r>
    </w:p>
    <w:p>
      <w:pPr>
        <w:spacing w:after="40" w:line="247" w:lineRule="auto"/>
        <w:ind w:left="216" w:hanging="216"/>
        <w:keepNext/>
      </w:pPr>
      <w:r>
        <w:rPr>
          <w:rFonts w:ascii="Arial" w:hAnsi="Arial" w:eastAsia="Arial"/>
          <w:sz w:val="20"/>
        </w:rPr>
        <w:t>C. Report the client to law enforcement because all self-injury is a crime.</w:t>
      </w:r>
    </w:p>
    <w:p>
      <w:pPr>
        <w:spacing w:after="40" w:line="247" w:lineRule="auto"/>
        <w:ind w:left="216" w:hanging="216"/>
        <w:keepNext/>
      </w:pPr>
      <w:r>
        <w:rPr>
          <w:rFonts w:ascii="Arial" w:hAnsi="Arial" w:eastAsia="Arial"/>
          <w:sz w:val="20"/>
        </w:rPr>
        <w:t>D. Diagnose borderline personality disorder.</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LPCC-WB04-Q004 | Integrated reasoning | Difficult | Primary concept: Duty to protect</w:t>
      </w:r>
    </w:p>
    <w:p>
      <w:pPr>
        <w:spacing w:after="60" w:line="250" w:lineRule="auto"/>
        <w:keepNext/>
      </w:pPr>
      <w:r>
        <w:rPr>
          <w:rFonts w:ascii="Arial" w:hAnsi="Arial" w:eastAsia="Arial"/>
          <w:b/>
          <w:color w:val="1F2937"/>
          <w:sz w:val="20"/>
        </w:rPr>
        <w:t>A client states, “Tomorrow I am going to shoot my former supervisor, Marcus Lee, when he leaves the office,” and reports access to a firearm. What is the counselor’s BEST response?</w:t>
      </w:r>
    </w:p>
    <w:p>
      <w:pPr>
        <w:spacing w:after="40" w:line="247" w:lineRule="auto"/>
        <w:ind w:left="216" w:hanging="216"/>
        <w:keepNext/>
      </w:pPr>
      <w:r>
        <w:rPr>
          <w:rFonts w:ascii="Arial" w:hAnsi="Arial" w:eastAsia="Arial"/>
          <w:sz w:val="20"/>
        </w:rPr>
        <w:t>A. Maintain confidentiality because the statement occurred in therapy.</w:t>
      </w:r>
    </w:p>
    <w:p>
      <w:pPr>
        <w:spacing w:after="40" w:line="247" w:lineRule="auto"/>
        <w:ind w:left="216" w:hanging="216"/>
        <w:keepNext/>
      </w:pPr>
      <w:r>
        <w:rPr>
          <w:rFonts w:ascii="Arial" w:hAnsi="Arial" w:eastAsia="Arial"/>
          <w:sz w:val="20"/>
        </w:rPr>
        <w:t>B. Explore childhood anger before deciding whether the threat is serious.</w:t>
      </w:r>
    </w:p>
    <w:p>
      <w:pPr>
        <w:spacing w:after="40" w:line="247" w:lineRule="auto"/>
        <w:ind w:left="216" w:hanging="216"/>
        <w:keepNext/>
      </w:pPr>
      <w:r>
        <w:rPr>
          <w:rFonts w:ascii="Arial" w:hAnsi="Arial" w:eastAsia="Arial"/>
          <w:sz w:val="20"/>
        </w:rPr>
        <w:t>C. Take timely protective action consistent with California duty-to-protect requirements, emergency procedures, consultation, and documentation.</w:t>
      </w:r>
    </w:p>
    <w:p>
      <w:pPr>
        <w:spacing w:after="40" w:line="247" w:lineRule="auto"/>
        <w:ind w:left="216" w:hanging="216"/>
        <w:keepNext/>
      </w:pPr>
      <w:r>
        <w:rPr>
          <w:rFonts w:ascii="Arial" w:hAnsi="Arial" w:eastAsia="Arial"/>
          <w:sz w:val="20"/>
        </w:rPr>
        <w:t>D. Wait to see whether the client repeats the threat at the next session.</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LPCC-WB04-Q005 | Application | Moderate | Primary concept: Child abuse reporting</w:t>
      </w:r>
    </w:p>
    <w:p>
      <w:pPr>
        <w:spacing w:after="60" w:line="250" w:lineRule="auto"/>
        <w:keepNext/>
      </w:pPr>
      <w:r>
        <w:rPr>
          <w:rFonts w:ascii="Arial" w:hAnsi="Arial" w:eastAsia="Arial"/>
          <w:b/>
          <w:color w:val="1F2937"/>
          <w:sz w:val="20"/>
        </w:rPr>
        <w:t>A 12-year-old tells an LPCC that a caregiver struck the child with a belt yesterday, leaving visible welts. What should the LPCC do?</w:t>
      </w:r>
    </w:p>
    <w:p>
      <w:pPr>
        <w:spacing w:after="40" w:line="247" w:lineRule="auto"/>
        <w:ind w:left="216" w:hanging="216"/>
        <w:keepNext/>
      </w:pPr>
      <w:r>
        <w:rPr>
          <w:rFonts w:ascii="Arial" w:hAnsi="Arial" w:eastAsia="Arial"/>
          <w:sz w:val="20"/>
        </w:rPr>
        <w:t>A. Investigate by interviewing the caregiver before reporting.</w:t>
      </w:r>
    </w:p>
    <w:p>
      <w:pPr>
        <w:spacing w:after="40" w:line="247" w:lineRule="auto"/>
        <w:ind w:left="216" w:hanging="216"/>
        <w:keepNext/>
      </w:pPr>
      <w:r>
        <w:rPr>
          <w:rFonts w:ascii="Arial" w:hAnsi="Arial" w:eastAsia="Arial"/>
          <w:sz w:val="20"/>
        </w:rPr>
        <w:t>B. Make the required report immediately or as soon as practicably possible and complete the written follow-up within the required period.</w:t>
      </w:r>
    </w:p>
    <w:p>
      <w:pPr>
        <w:spacing w:after="40" w:line="247" w:lineRule="auto"/>
        <w:ind w:left="216" w:hanging="216"/>
        <w:keepNext/>
      </w:pPr>
      <w:r>
        <w:rPr>
          <w:rFonts w:ascii="Arial" w:hAnsi="Arial" w:eastAsia="Arial"/>
          <w:sz w:val="20"/>
        </w:rPr>
        <w:t>C. Wait for the child to provide a written statement.</w:t>
      </w:r>
    </w:p>
    <w:p>
      <w:pPr>
        <w:spacing w:after="40" w:line="247" w:lineRule="auto"/>
        <w:ind w:left="216" w:hanging="216"/>
        <w:keepNext/>
      </w:pPr>
      <w:r>
        <w:rPr>
          <w:rFonts w:ascii="Arial" w:hAnsi="Arial" w:eastAsia="Arial"/>
          <w:sz w:val="20"/>
        </w:rPr>
        <w:t>D. Ask the supervisor to decide whether the LPCC must report.</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LPCC-WB04-Q006 | Application | Moderate | Primary concept: Adult IPV</w:t>
      </w:r>
    </w:p>
    <w:p>
      <w:pPr>
        <w:spacing w:after="60" w:line="250" w:lineRule="auto"/>
        <w:keepNext/>
      </w:pPr>
      <w:r>
        <w:rPr>
          <w:rFonts w:ascii="Arial" w:hAnsi="Arial" w:eastAsia="Arial"/>
          <w:b/>
          <w:color w:val="1F2937"/>
          <w:sz w:val="20"/>
        </w:rPr>
        <w:t>A competent adult client discloses past intimate-partner violence and asks for help making a safety plan. No child, elder, dependent adult, current serious threat, or acute injury is identified. What is the BEST response?</w:t>
      </w:r>
    </w:p>
    <w:p>
      <w:pPr>
        <w:spacing w:after="40" w:line="247" w:lineRule="auto"/>
        <w:ind w:left="216" w:hanging="216"/>
        <w:keepNext/>
      </w:pPr>
      <w:r>
        <w:rPr>
          <w:rFonts w:ascii="Arial" w:hAnsi="Arial" w:eastAsia="Arial"/>
          <w:sz w:val="20"/>
        </w:rPr>
        <w:t>A. Automatically report the disclosure to police.</w:t>
      </w:r>
    </w:p>
    <w:p>
      <w:pPr>
        <w:spacing w:after="40" w:line="247" w:lineRule="auto"/>
        <w:ind w:left="216" w:hanging="216"/>
        <w:keepNext/>
      </w:pPr>
      <w:r>
        <w:rPr>
          <w:rFonts w:ascii="Arial" w:hAnsi="Arial" w:eastAsia="Arial"/>
          <w:sz w:val="20"/>
        </w:rPr>
        <w:t>B. Assess current danger and coercion, support client choice, provide resources, and identify whether any specific legal duty is triggered.</w:t>
      </w:r>
    </w:p>
    <w:p>
      <w:pPr>
        <w:spacing w:after="40" w:line="247" w:lineRule="auto"/>
        <w:ind w:left="216" w:hanging="216"/>
        <w:keepNext/>
      </w:pPr>
      <w:r>
        <w:rPr>
          <w:rFonts w:ascii="Arial" w:hAnsi="Arial" w:eastAsia="Arial"/>
          <w:sz w:val="20"/>
        </w:rPr>
        <w:t>C. Require the client to leave the relationship today.</w:t>
      </w:r>
    </w:p>
    <w:p>
      <w:pPr>
        <w:spacing w:after="40" w:line="247" w:lineRule="auto"/>
        <w:ind w:left="216" w:hanging="216"/>
        <w:keepNext/>
      </w:pPr>
      <w:r>
        <w:rPr>
          <w:rFonts w:ascii="Arial" w:hAnsi="Arial" w:eastAsia="Arial"/>
          <w:sz w:val="20"/>
        </w:rPr>
        <w:t>D. Avoid discussing the violence unless the client files a police report.</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LPCC-WB04-Q007 | Integrated reasoning | Difficult | Primary concept: Medical urgency</w:t>
      </w:r>
    </w:p>
    <w:p>
      <w:pPr>
        <w:spacing w:after="60" w:line="250" w:lineRule="auto"/>
        <w:keepNext/>
      </w:pPr>
      <w:r>
        <w:rPr>
          <w:rFonts w:ascii="Arial" w:hAnsi="Arial" w:eastAsia="Arial"/>
          <w:b/>
          <w:color w:val="1F2937"/>
          <w:sz w:val="20"/>
        </w:rPr>
        <w:t>A client with a trauma history suddenly becomes confused, has slurred speech, and cannot remain awake. What should the counselor do FIRST?</w:t>
      </w:r>
    </w:p>
    <w:p>
      <w:pPr>
        <w:spacing w:after="40" w:line="247" w:lineRule="auto"/>
        <w:ind w:left="216" w:hanging="216"/>
        <w:keepNext/>
      </w:pPr>
      <w:r>
        <w:rPr>
          <w:rFonts w:ascii="Arial" w:hAnsi="Arial" w:eastAsia="Arial"/>
          <w:sz w:val="20"/>
        </w:rPr>
        <w:t>A. Use grounding and continue the trauma interview.</w:t>
      </w:r>
    </w:p>
    <w:p>
      <w:pPr>
        <w:spacing w:after="40" w:line="247" w:lineRule="auto"/>
        <w:ind w:left="216" w:hanging="216"/>
        <w:keepNext/>
      </w:pPr>
      <w:r>
        <w:rPr>
          <w:rFonts w:ascii="Arial" w:hAnsi="Arial" w:eastAsia="Arial"/>
          <w:sz w:val="20"/>
        </w:rPr>
        <w:t>B. Interpret the presentation as dissociation.</w:t>
      </w:r>
    </w:p>
    <w:p>
      <w:pPr>
        <w:spacing w:after="40" w:line="247" w:lineRule="auto"/>
        <w:ind w:left="216" w:hanging="216"/>
        <w:keepNext/>
      </w:pPr>
      <w:r>
        <w:rPr>
          <w:rFonts w:ascii="Arial" w:hAnsi="Arial" w:eastAsia="Arial"/>
          <w:sz w:val="20"/>
        </w:rPr>
        <w:t>C. Activate urgent medical evaluation and emergency procedures.</w:t>
      </w:r>
    </w:p>
    <w:p>
      <w:pPr>
        <w:spacing w:after="40" w:line="247" w:lineRule="auto"/>
        <w:ind w:left="216" w:hanging="216"/>
        <w:keepNext/>
      </w:pPr>
      <w:r>
        <w:rPr>
          <w:rFonts w:ascii="Arial" w:hAnsi="Arial" w:eastAsia="Arial"/>
          <w:sz w:val="20"/>
        </w:rPr>
        <w:t>D. Administer a trauma symptom inventory.</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LPCC-WB04-Q008 | Application | Moderate | Primary concept: Safety planning</w:t>
      </w:r>
    </w:p>
    <w:p>
      <w:pPr>
        <w:spacing w:after="60" w:line="250" w:lineRule="auto"/>
        <w:keepNext/>
      </w:pPr>
      <w:r>
        <w:rPr>
          <w:rFonts w:ascii="Arial" w:hAnsi="Arial" w:eastAsia="Arial"/>
          <w:b/>
          <w:color w:val="1F2937"/>
          <w:sz w:val="20"/>
        </w:rPr>
        <w:t>Which action is the STRONGEST component of a suicide safety plan?</w:t>
      </w:r>
    </w:p>
    <w:p>
      <w:pPr>
        <w:spacing w:after="40" w:line="247" w:lineRule="auto"/>
        <w:ind w:left="216" w:hanging="216"/>
        <w:keepNext/>
      </w:pPr>
      <w:r>
        <w:rPr>
          <w:rFonts w:ascii="Arial" w:hAnsi="Arial" w:eastAsia="Arial"/>
          <w:sz w:val="20"/>
        </w:rPr>
        <w:t>A. The client promises never to attempt suicide.</w:t>
      </w:r>
    </w:p>
    <w:p>
      <w:pPr>
        <w:spacing w:after="40" w:line="247" w:lineRule="auto"/>
        <w:ind w:left="216" w:hanging="216"/>
        <w:keepNext/>
      </w:pPr>
      <w:r>
        <w:rPr>
          <w:rFonts w:ascii="Arial" w:hAnsi="Arial" w:eastAsia="Arial"/>
          <w:sz w:val="20"/>
        </w:rPr>
        <w:t>B. The counselor lists generic coping skills for the client.</w:t>
      </w:r>
    </w:p>
    <w:p>
      <w:pPr>
        <w:spacing w:after="40" w:line="247" w:lineRule="auto"/>
        <w:ind w:left="216" w:hanging="216"/>
        <w:keepNext/>
      </w:pPr>
      <w:r>
        <w:rPr>
          <w:rFonts w:ascii="Arial" w:hAnsi="Arial" w:eastAsia="Arial"/>
          <w:sz w:val="20"/>
        </w:rPr>
        <w:t>C. The client and counselor identify specific warning signs, coping steps, supports, crisis contacts, and a verified lethal-means plan.</w:t>
      </w:r>
    </w:p>
    <w:p>
      <w:pPr>
        <w:spacing w:after="40" w:line="247" w:lineRule="auto"/>
        <w:ind w:left="216" w:hanging="216"/>
        <w:keepNext/>
      </w:pPr>
      <w:r>
        <w:rPr>
          <w:rFonts w:ascii="Arial" w:hAnsi="Arial" w:eastAsia="Arial"/>
          <w:sz w:val="20"/>
        </w:rPr>
        <w:t>D. The client agrees to call the counselor before any future crisis.</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LPCC-WB04-Q009 | Integrated reasoning | Difficult | Primary concept: Level of care</w:t>
      </w:r>
    </w:p>
    <w:p>
      <w:pPr>
        <w:spacing w:after="60" w:line="250" w:lineRule="auto"/>
        <w:keepNext/>
      </w:pPr>
      <w:r>
        <w:rPr>
          <w:rFonts w:ascii="Arial" w:hAnsi="Arial" w:eastAsia="Arial"/>
          <w:b/>
          <w:color w:val="1F2937"/>
          <w:sz w:val="20"/>
        </w:rPr>
        <w:t>A client reports current intent to die, a specific plan, immediate access to the method, intoxication, and inability to agree to any safety steps. What is the BEST disposition?</w:t>
      </w:r>
    </w:p>
    <w:p>
      <w:pPr>
        <w:spacing w:after="40" w:line="247" w:lineRule="auto"/>
        <w:ind w:left="216" w:hanging="216"/>
        <w:keepNext/>
      </w:pPr>
      <w:r>
        <w:rPr>
          <w:rFonts w:ascii="Arial" w:hAnsi="Arial" w:eastAsia="Arial"/>
          <w:sz w:val="20"/>
        </w:rPr>
        <w:t>A. Routine outpatient follow-up in one week.</w:t>
      </w:r>
    </w:p>
    <w:p>
      <w:pPr>
        <w:spacing w:after="40" w:line="247" w:lineRule="auto"/>
        <w:ind w:left="216" w:hanging="216"/>
        <w:keepNext/>
      </w:pPr>
      <w:r>
        <w:rPr>
          <w:rFonts w:ascii="Arial" w:hAnsi="Arial" w:eastAsia="Arial"/>
          <w:sz w:val="20"/>
        </w:rPr>
        <w:t>B. Complete a safety plan and allow the client to leave alone.</w:t>
      </w:r>
    </w:p>
    <w:p>
      <w:pPr>
        <w:spacing w:after="40" w:line="247" w:lineRule="auto"/>
        <w:ind w:left="216" w:hanging="216"/>
        <w:keepNext/>
      </w:pPr>
      <w:r>
        <w:rPr>
          <w:rFonts w:ascii="Arial" w:hAnsi="Arial" w:eastAsia="Arial"/>
          <w:sz w:val="20"/>
        </w:rPr>
        <w:t>C. Arrange immediate emergency evaluation using the available crisis or emergency pathway and maintain safety until handoff.</w:t>
      </w:r>
    </w:p>
    <w:p>
      <w:pPr>
        <w:spacing w:after="40" w:line="247" w:lineRule="auto"/>
        <w:ind w:left="216" w:hanging="216"/>
        <w:keepNext/>
      </w:pPr>
      <w:r>
        <w:rPr>
          <w:rFonts w:ascii="Arial" w:hAnsi="Arial" w:eastAsia="Arial"/>
          <w:sz w:val="20"/>
        </w:rPr>
        <w:t>D. Ask a friend to text the client later that evening.</w:t>
      </w:r>
    </w:p>
    <w:p>
      <w:pPr>
        <w:spacing w:after="60"/>
      </w:pPr>
      <w:r>
        <w:rPr>
          <w:rFonts w:ascii="Arial" w:hAnsi="Arial" w:eastAsia="Arial"/>
          <w:i/>
          <w:color w:val="4E5B6B"/>
          <w:sz w:val="18"/>
        </w:rPr>
        <w:t>My answer: ______    Confidence: 1  2  3</w:t>
      </w:r>
    </w:p>
    <w:p>
      <w:pPr>
        <w:spacing w:before="140" w:after="40"/>
        <w:keepNext/>
      </w:pPr>
      <w:r>
        <w:rPr>
          <w:rFonts w:ascii="Arial" w:hAnsi="Arial" w:eastAsia="Arial"/>
          <w:b/>
          <w:color w:val="1F7A8C"/>
          <w:sz w:val="17"/>
        </w:rPr>
        <w:t>LPCC-WB04-Q010 | Integrated reasoning | Difficult | Primary concept: Psychosis and violence risk</w:t>
      </w:r>
    </w:p>
    <w:p>
      <w:pPr>
        <w:spacing w:after="60" w:line="250" w:lineRule="auto"/>
        <w:keepNext/>
      </w:pPr>
      <w:r>
        <w:rPr>
          <w:rFonts w:ascii="Arial" w:hAnsi="Arial" w:eastAsia="Arial"/>
          <w:b/>
          <w:color w:val="1F2937"/>
          <w:sz w:val="20"/>
        </w:rPr>
        <w:t>A calm client reports a command hallucination telling him to stab a neighbor. Which information is MOST important to obtain next?</w:t>
      </w:r>
    </w:p>
    <w:p>
      <w:pPr>
        <w:spacing w:after="40" w:line="247" w:lineRule="auto"/>
        <w:ind w:left="216" w:hanging="216"/>
        <w:keepNext/>
      </w:pPr>
      <w:r>
        <w:rPr>
          <w:rFonts w:ascii="Arial" w:hAnsi="Arial" w:eastAsia="Arial"/>
          <w:sz w:val="20"/>
        </w:rPr>
        <w:t>A. Whether the client agrees that hallucinations are a symptom of illness.</w:t>
      </w:r>
    </w:p>
    <w:p>
      <w:pPr>
        <w:spacing w:after="40" w:line="247" w:lineRule="auto"/>
        <w:ind w:left="216" w:hanging="216"/>
        <w:keepNext/>
      </w:pPr>
      <w:r>
        <w:rPr>
          <w:rFonts w:ascii="Arial" w:hAnsi="Arial" w:eastAsia="Arial"/>
          <w:sz w:val="20"/>
        </w:rPr>
        <w:t>B. The command content, intent, ability to resist, access to the neighbor and weapons, history of acting on commands, and substance or medical factors.</w:t>
      </w:r>
    </w:p>
    <w:p>
      <w:pPr>
        <w:spacing w:after="40" w:line="247" w:lineRule="auto"/>
        <w:ind w:left="216" w:hanging="216"/>
        <w:keepNext/>
      </w:pPr>
      <w:r>
        <w:rPr>
          <w:rFonts w:ascii="Arial" w:hAnsi="Arial" w:eastAsia="Arial"/>
          <w:sz w:val="20"/>
        </w:rPr>
        <w:t>C. The client’s preferred counseling theory.</w:t>
      </w:r>
    </w:p>
    <w:p>
      <w:pPr>
        <w:spacing w:after="40" w:line="247" w:lineRule="auto"/>
        <w:ind w:left="216" w:hanging="216"/>
        <w:keepNext/>
      </w:pPr>
      <w:r>
        <w:rPr>
          <w:rFonts w:ascii="Arial" w:hAnsi="Arial" w:eastAsia="Arial"/>
          <w:sz w:val="20"/>
        </w:rPr>
        <w:t>D. Whether the neighbor has ever been rude to the client.</w:t>
      </w:r>
    </w:p>
    <w:p>
      <w:pPr>
        <w:spacing w:after="60"/>
      </w:pPr>
      <w:r>
        <w:rPr>
          <w:rFonts w:ascii="Arial" w:hAnsi="Arial" w:eastAsia="Arial"/>
          <w:i/>
          <w:color w:val="4E5B6B"/>
          <w:sz w:val="18"/>
        </w:rPr>
        <w:t>My answer: ______    Confidence: 1  2  3</w:t>
      </w:r>
    </w:p>
    <w:p>
      <w:pPr>
        <w:pStyle w:val="Heading2"/>
        <w:spacing w:before="140" w:after="80"/>
        <w:keepNext/>
      </w:pPr>
      <w:r>
        <w:rPr>
          <w:rFonts w:ascii="Arial" w:hAnsi="Arial" w:eastAsia="Arial"/>
          <w:b/>
          <w:color w:val="159C9C"/>
          <w:sz w:val="26"/>
        </w:rPr>
        <w:t>Knowledge Check Answer Record</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172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Question</w:t>
            </w:r>
          </w:p>
        </w:tc>
        <w:tc>
          <w:tcPr>
            <w:tcW w:type="dxa" w:w="2592"/>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My Answer</w:t>
            </w:r>
          </w:p>
        </w:tc>
        <w:tc>
          <w:tcPr>
            <w:tcW w:type="dxa" w:w="316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Confidence 1-3</w:t>
            </w:r>
          </w:p>
        </w:tc>
        <w:tc>
          <w:tcPr>
            <w:tcW w:type="dxa" w:w="302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Correct?</w:t>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w:t>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2</w:t>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3</w:t>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4</w:t>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5</w:t>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6</w:t>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7</w:t>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8</w:t>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9</w:t>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r>
        <w:trPr>
          <w:cantSplit/>
        </w:trPr>
        <w:tc>
          <w:tcPr>
            <w:tcW w:type="dxa" w:w="172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10</w:t>
            </w:r>
          </w:p>
        </w:tc>
        <w:tc>
          <w:tcPr>
            <w:tcW w:type="dxa" w:w="2592"/>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c>
          <w:tcPr>
            <w:tcW w:type="dxa" w:w="302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r>
          </w:p>
        </w:tc>
      </w:tr>
    </w:tbl>
    <w:p>
      <w:pPr>
        <w:spacing w:after="0"/>
      </w:pPr>
    </w:p>
    <w:p>
      <w:pPr>
        <w:pStyle w:val="Heading1"/>
        <w:spacing w:before="100" w:after="80"/>
        <w:keepNext/>
      </w:pPr>
      <w:r>
        <w:rPr>
          <w:rFonts w:ascii="Arial" w:hAnsi="Arial" w:eastAsia="Arial"/>
          <w:b/>
          <w:color w:val="17365D"/>
          <w:sz w:val="23"/>
        </w:rPr>
        <w:t>Answers and Detailed Rationales</w:t>
      </w:r>
    </w:p>
    <w:p>
      <w:pPr>
        <w:pStyle w:val="Heading2"/>
        <w:spacing w:before="140" w:after="60"/>
        <w:keepNext/>
      </w:pPr>
      <w:r>
        <w:rPr>
          <w:rFonts w:ascii="Arial" w:hAnsi="Arial" w:eastAsia="Arial"/>
          <w:b/>
          <w:color w:val="17365D"/>
          <w:sz w:val="23"/>
        </w:rPr>
        <w:t>Question 1 (LPCC-WB04-Q001)</w:t>
      </w:r>
    </w:p>
    <w:p>
      <w:pPr>
        <w:spacing w:after="60"/>
        <w:keepNext/>
      </w:pPr>
      <w:r>
        <w:rPr>
          <w:rFonts w:ascii="Arial" w:hAnsi="Arial" w:eastAsia="Arial"/>
          <w:b/>
          <w:color w:val="1F7A8C"/>
          <w:sz w:val="20"/>
        </w:rPr>
        <w:t>Correct Answer: B</w:t>
      </w:r>
    </w:p>
    <w:p>
      <w:pPr>
        <w:spacing w:after="40"/>
        <w:ind w:left="173" w:hanging="173"/>
        <w:keepNext/>
      </w:pPr>
      <w:r>
        <w:rPr>
          <w:rFonts w:ascii="Arial" w:hAnsi="Arial" w:eastAsia="Arial"/>
          <w:b/>
          <w:color w:val="1F2937"/>
          <w:sz w:val="20"/>
        </w:rPr>
        <w:t xml:space="preserve">A. </w:t>
      </w:r>
      <w:r>
        <w:rPr>
          <w:rFonts w:ascii="Arial" w:hAnsi="Arial" w:eastAsia="Arial"/>
          <w:sz w:val="20"/>
        </w:rPr>
        <w:t>Incorrect. Hospitalization may become necessary, but the available facts do not yet establish acuity or inability to use a less restrictive safe option.</w:t>
      </w:r>
    </w:p>
    <w:p>
      <w:pPr>
        <w:spacing w:after="40"/>
        <w:ind w:left="173" w:hanging="173"/>
        <w:keepNext/>
      </w:pPr>
      <w:r>
        <w:rPr>
          <w:rFonts w:ascii="Arial" w:hAnsi="Arial" w:eastAsia="Arial"/>
          <w:b/>
          <w:color w:val="17365D"/>
          <w:sz w:val="20"/>
        </w:rPr>
        <w:t xml:space="preserve">B. </w:t>
      </w:r>
      <w:r>
        <w:rPr>
          <w:rFonts w:ascii="Arial" w:hAnsi="Arial" w:eastAsia="Arial"/>
          <w:sz w:val="20"/>
        </w:rPr>
        <w:t>Correct. The statement requires direct assessment of current suicidal thinking, intent, plan, behavior, and means before selecting the response.</w:t>
      </w:r>
    </w:p>
    <w:p>
      <w:pPr>
        <w:spacing w:after="40"/>
        <w:ind w:left="173" w:hanging="173"/>
        <w:keepNext/>
      </w:pPr>
      <w:r>
        <w:rPr>
          <w:rFonts w:ascii="Arial" w:hAnsi="Arial" w:eastAsia="Arial"/>
          <w:b/>
          <w:color w:val="1F2937"/>
          <w:sz w:val="20"/>
        </w:rPr>
        <w:t xml:space="preserve">C. </w:t>
      </w:r>
      <w:r>
        <w:rPr>
          <w:rFonts w:ascii="Arial" w:hAnsi="Arial" w:eastAsia="Arial"/>
          <w:sz w:val="20"/>
        </w:rPr>
        <w:t>Incorrect. Normalizing before assessment can minimize a safety cue and discourage disclosure.</w:t>
      </w:r>
    </w:p>
    <w:p>
      <w:pPr>
        <w:spacing w:after="40"/>
        <w:ind w:left="173" w:hanging="173"/>
        <w:keepNext/>
      </w:pPr>
      <w:r>
        <w:rPr>
          <w:rFonts w:ascii="Arial" w:hAnsi="Arial" w:eastAsia="Arial"/>
          <w:b/>
          <w:color w:val="1F2937"/>
          <w:sz w:val="20"/>
        </w:rPr>
        <w:t xml:space="preserve">D. </w:t>
      </w:r>
      <w:r>
        <w:rPr>
          <w:rFonts w:ascii="Arial" w:hAnsi="Arial" w:eastAsia="Arial"/>
          <w:sz w:val="20"/>
        </w:rPr>
        <w:t>Incorrect. Cognitive work comes after the counselor clarifies immediate risk.</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a client introduces a suicide cue, assess directly before reassuring, treating, or choosing disposition.</w:t>
            </w:r>
          </w:p>
        </w:tc>
      </w:tr>
    </w:tbl>
    <w:p>
      <w:pPr>
        <w:spacing w:after="0"/>
      </w:pPr>
    </w:p>
    <w:p>
      <w:pPr>
        <w:pStyle w:val="Heading2"/>
        <w:spacing w:before="140" w:after="60"/>
        <w:keepNext/>
      </w:pPr>
      <w:r>
        <w:rPr>
          <w:rFonts w:ascii="Arial" w:hAnsi="Arial" w:eastAsia="Arial"/>
          <w:b/>
          <w:color w:val="17365D"/>
          <w:sz w:val="23"/>
        </w:rPr>
        <w:t>Question 2 (LPCC-WB04-Q002)</w:t>
      </w:r>
    </w:p>
    <w:p>
      <w:pPr>
        <w:spacing w:after="60"/>
        <w:keepNext/>
      </w:pPr>
      <w:r>
        <w:rPr>
          <w:rFonts w:ascii="Arial" w:hAnsi="Arial" w:eastAsia="Arial"/>
          <w:b/>
          <w:color w:val="1F7A8C"/>
          <w:sz w:val="20"/>
        </w:rPr>
        <w:t>Correct Answer: C</w:t>
      </w:r>
    </w:p>
    <w:p>
      <w:pPr>
        <w:spacing w:after="40"/>
        <w:ind w:left="173" w:hanging="173"/>
        <w:keepNext/>
      </w:pPr>
      <w:r>
        <w:rPr>
          <w:rFonts w:ascii="Arial" w:hAnsi="Arial" w:eastAsia="Arial"/>
          <w:b/>
          <w:color w:val="1F2937"/>
          <w:sz w:val="20"/>
        </w:rPr>
        <w:t xml:space="preserve">A. </w:t>
      </w:r>
      <w:r>
        <w:rPr>
          <w:rFonts w:ascii="Arial" w:hAnsi="Arial" w:eastAsia="Arial"/>
          <w:sz w:val="20"/>
        </w:rPr>
        <w:t>Incorrect. A screen identifies the need for further assessment; it does not prove imminent danger.</w:t>
      </w:r>
    </w:p>
    <w:p>
      <w:pPr>
        <w:spacing w:after="40"/>
        <w:ind w:left="173" w:hanging="173"/>
        <w:keepNext/>
      </w:pPr>
      <w:r>
        <w:rPr>
          <w:rFonts w:ascii="Arial" w:hAnsi="Arial" w:eastAsia="Arial"/>
          <w:b/>
          <w:color w:val="1F2937"/>
          <w:sz w:val="20"/>
        </w:rPr>
        <w:t xml:space="preserve">B. </w:t>
      </w:r>
      <w:r>
        <w:rPr>
          <w:rFonts w:ascii="Arial" w:hAnsi="Arial" w:eastAsia="Arial"/>
          <w:sz w:val="20"/>
        </w:rPr>
        <w:t>Incorrect. Repeating a screen does not replace a focused safety assessment.</w:t>
      </w:r>
    </w:p>
    <w:p>
      <w:pPr>
        <w:spacing w:after="40"/>
        <w:ind w:left="173" w:hanging="173"/>
        <w:keepNext/>
      </w:pPr>
      <w:r>
        <w:rPr>
          <w:rFonts w:ascii="Arial" w:hAnsi="Arial" w:eastAsia="Arial"/>
          <w:b/>
          <w:color w:val="17365D"/>
          <w:sz w:val="20"/>
        </w:rPr>
        <w:t xml:space="preserve">C. </w:t>
      </w:r>
      <w:r>
        <w:rPr>
          <w:rFonts w:ascii="Arial" w:hAnsi="Arial" w:eastAsia="Arial"/>
          <w:sz w:val="20"/>
        </w:rPr>
        <w:t>Correct. A positive response should lead to a trained clinician’s further assessment and disposition decision.</w:t>
      </w:r>
    </w:p>
    <w:p>
      <w:pPr>
        <w:spacing w:after="40"/>
        <w:ind w:left="173" w:hanging="173"/>
        <w:keepNext/>
      </w:pPr>
      <w:r>
        <w:rPr>
          <w:rFonts w:ascii="Arial" w:hAnsi="Arial" w:eastAsia="Arial"/>
          <w:b/>
          <w:color w:val="1F2937"/>
          <w:sz w:val="20"/>
        </w:rPr>
        <w:t xml:space="preserve">D. </w:t>
      </w:r>
      <w:r>
        <w:rPr>
          <w:rFonts w:ascii="Arial" w:hAnsi="Arial" w:eastAsia="Arial"/>
          <w:sz w:val="20"/>
        </w:rPr>
        <w:t>Incorrect. A no-harm agreement is not a risk assessment or safety plan.</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Screening asks who needs more assessment. Disposition follows the assessment and formulation.</w:t>
            </w:r>
          </w:p>
        </w:tc>
      </w:tr>
    </w:tbl>
    <w:p>
      <w:pPr>
        <w:spacing w:after="0"/>
      </w:pPr>
    </w:p>
    <w:p>
      <w:pPr>
        <w:pStyle w:val="Heading2"/>
        <w:spacing w:before="140" w:after="60"/>
        <w:keepNext/>
      </w:pPr>
      <w:r>
        <w:rPr>
          <w:rFonts w:ascii="Arial" w:hAnsi="Arial" w:eastAsia="Arial"/>
          <w:b/>
          <w:color w:val="17365D"/>
          <w:sz w:val="23"/>
        </w:rPr>
        <w:t>Question 3 (LPCC-WB04-Q003)</w:t>
      </w:r>
    </w:p>
    <w:p>
      <w:pPr>
        <w:spacing w:after="60"/>
        <w:keepNext/>
      </w:pPr>
      <w:r>
        <w:rPr>
          <w:rFonts w:ascii="Arial" w:hAnsi="Arial" w:eastAsia="Arial"/>
          <w:b/>
          <w:color w:val="1F7A8C"/>
          <w:sz w:val="20"/>
        </w:rPr>
        <w:t>Correct Answer: B</w:t>
      </w:r>
    </w:p>
    <w:p>
      <w:pPr>
        <w:spacing w:after="40"/>
        <w:ind w:left="173" w:hanging="173"/>
        <w:keepNext/>
      </w:pPr>
      <w:r>
        <w:rPr>
          <w:rFonts w:ascii="Arial" w:hAnsi="Arial" w:eastAsia="Arial"/>
          <w:b/>
          <w:color w:val="1F2937"/>
          <w:sz w:val="20"/>
        </w:rPr>
        <w:t xml:space="preserve">A. </w:t>
      </w:r>
      <w:r>
        <w:rPr>
          <w:rFonts w:ascii="Arial" w:hAnsi="Arial" w:eastAsia="Arial"/>
          <w:sz w:val="20"/>
        </w:rPr>
        <w:t>Incorrect. Denied intent does not eliminate suicide risk or medical concerns, and the function and pattern remain clinically important.</w:t>
      </w:r>
    </w:p>
    <w:p>
      <w:pPr>
        <w:spacing w:after="40"/>
        <w:ind w:left="173" w:hanging="173"/>
        <w:keepNext/>
      </w:pPr>
      <w:r>
        <w:rPr>
          <w:rFonts w:ascii="Arial" w:hAnsi="Arial" w:eastAsia="Arial"/>
          <w:b/>
          <w:color w:val="17365D"/>
          <w:sz w:val="20"/>
        </w:rPr>
        <w:t xml:space="preserve">B. </w:t>
      </w:r>
      <w:r>
        <w:rPr>
          <w:rFonts w:ascii="Arial" w:hAnsi="Arial" w:eastAsia="Arial"/>
          <w:sz w:val="20"/>
        </w:rPr>
        <w:t>Correct. The counselor distinguishes NSSI from suicidal behavior while assessing overlap, severity, escalation, and safety.</w:t>
      </w:r>
    </w:p>
    <w:p>
      <w:pPr>
        <w:spacing w:after="40"/>
        <w:ind w:left="173" w:hanging="173"/>
        <w:keepNext/>
      </w:pPr>
      <w:r>
        <w:rPr>
          <w:rFonts w:ascii="Arial" w:hAnsi="Arial" w:eastAsia="Arial"/>
          <w:b/>
          <w:color w:val="1F2937"/>
          <w:sz w:val="20"/>
        </w:rPr>
        <w:t xml:space="preserve">C. </w:t>
      </w:r>
      <w:r>
        <w:rPr>
          <w:rFonts w:ascii="Arial" w:hAnsi="Arial" w:eastAsia="Arial"/>
          <w:sz w:val="20"/>
        </w:rPr>
        <w:t>Incorrect. Nonsuicidal self-injury is not automatically a law-enforcement matter.</w:t>
      </w:r>
    </w:p>
    <w:p>
      <w:pPr>
        <w:spacing w:after="40"/>
        <w:ind w:left="173" w:hanging="173"/>
        <w:keepNext/>
      </w:pPr>
      <w:r>
        <w:rPr>
          <w:rFonts w:ascii="Arial" w:hAnsi="Arial" w:eastAsia="Arial"/>
          <w:b/>
          <w:color w:val="1F2937"/>
          <w:sz w:val="20"/>
        </w:rPr>
        <w:t xml:space="preserve">D. </w:t>
      </w:r>
      <w:r>
        <w:rPr>
          <w:rFonts w:ascii="Arial" w:hAnsi="Arial" w:eastAsia="Arial"/>
          <w:sz w:val="20"/>
        </w:rPr>
        <w:t>Incorrect. One behavior does not establish a personality-disorder diagnosis.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Do not equate NSSI with a suicide attempt, but never treat the distinction as permission to skip suicide assessment.</w:t>
            </w:r>
          </w:p>
        </w:tc>
      </w:tr>
    </w:tbl>
    <w:p>
      <w:pPr>
        <w:spacing w:after="0"/>
      </w:pPr>
    </w:p>
    <w:p>
      <w:pPr>
        <w:pStyle w:val="Heading2"/>
        <w:spacing w:before="140" w:after="60"/>
        <w:keepNext/>
      </w:pPr>
      <w:r>
        <w:rPr>
          <w:rFonts w:ascii="Arial" w:hAnsi="Arial" w:eastAsia="Arial"/>
          <w:b/>
          <w:color w:val="17365D"/>
          <w:sz w:val="23"/>
        </w:rPr>
        <w:t>Question 4 (LPCC-WB04-Q004)</w:t>
      </w:r>
    </w:p>
    <w:p>
      <w:pPr>
        <w:spacing w:after="60"/>
        <w:keepNext/>
      </w:pPr>
      <w:r>
        <w:rPr>
          <w:rFonts w:ascii="Arial" w:hAnsi="Arial" w:eastAsia="Arial"/>
          <w:b/>
          <w:color w:val="1F7A8C"/>
          <w:sz w:val="20"/>
        </w:rPr>
        <w:t>Correct Answer: C</w:t>
      </w:r>
    </w:p>
    <w:p>
      <w:pPr>
        <w:spacing w:after="40"/>
        <w:ind w:left="173" w:hanging="173"/>
        <w:keepNext/>
      </w:pPr>
      <w:r>
        <w:rPr>
          <w:rFonts w:ascii="Arial" w:hAnsi="Arial" w:eastAsia="Arial"/>
          <w:b/>
          <w:color w:val="1F2937"/>
          <w:sz w:val="20"/>
        </w:rPr>
        <w:t xml:space="preserve">A. </w:t>
      </w:r>
      <w:r>
        <w:rPr>
          <w:rFonts w:ascii="Arial" w:hAnsi="Arial" w:eastAsia="Arial"/>
          <w:sz w:val="20"/>
        </w:rPr>
        <w:t>Incorrect. The statement contains a serious, specific threat toward a reasonably identifiable victim with reported firearm access.</w:t>
      </w:r>
    </w:p>
    <w:p>
      <w:pPr>
        <w:spacing w:after="40"/>
        <w:ind w:left="173" w:hanging="173"/>
        <w:keepNext/>
      </w:pPr>
      <w:r>
        <w:rPr>
          <w:rFonts w:ascii="Arial" w:hAnsi="Arial" w:eastAsia="Arial"/>
          <w:b/>
          <w:color w:val="1F2937"/>
          <w:sz w:val="20"/>
        </w:rPr>
        <w:t xml:space="preserve">B. </w:t>
      </w:r>
      <w:r>
        <w:rPr>
          <w:rFonts w:ascii="Arial" w:hAnsi="Arial" w:eastAsia="Arial"/>
          <w:sz w:val="20"/>
        </w:rPr>
        <w:t>Incorrect. Additional history may be relevant later, but it must not delay protective action.</w:t>
      </w:r>
    </w:p>
    <w:p>
      <w:pPr>
        <w:spacing w:after="40"/>
        <w:ind w:left="173" w:hanging="173"/>
        <w:keepNext/>
      </w:pPr>
      <w:r>
        <w:rPr>
          <w:rFonts w:ascii="Arial" w:hAnsi="Arial" w:eastAsia="Arial"/>
          <w:b/>
          <w:color w:val="17365D"/>
          <w:sz w:val="20"/>
        </w:rPr>
        <w:t xml:space="preserve">C. </w:t>
      </w:r>
      <w:r>
        <w:rPr>
          <w:rFonts w:ascii="Arial" w:hAnsi="Arial" w:eastAsia="Arial"/>
          <w:sz w:val="20"/>
        </w:rPr>
        <w:t>Correct. The facts call for timely protective action, emergency risk management, consultation, and documentation under California requirements.</w:t>
      </w:r>
    </w:p>
    <w:p>
      <w:pPr>
        <w:spacing w:after="40"/>
        <w:ind w:left="173" w:hanging="173"/>
        <w:keepNext/>
      </w:pPr>
      <w:r>
        <w:rPr>
          <w:rFonts w:ascii="Arial" w:hAnsi="Arial" w:eastAsia="Arial"/>
          <w:b/>
          <w:color w:val="1F2937"/>
          <w:sz w:val="20"/>
        </w:rPr>
        <w:t xml:space="preserve">D. </w:t>
      </w:r>
      <w:r>
        <w:rPr>
          <w:rFonts w:ascii="Arial" w:hAnsi="Arial" w:eastAsia="Arial"/>
          <w:sz w:val="20"/>
        </w:rPr>
        <w:t>Incorrect. Waiting would leave the identified victim and public at foreseeable risk.</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Specific target + serious physical threat + access/preparation moves the question from exploration to protective action.</w:t>
            </w:r>
          </w:p>
        </w:tc>
      </w:tr>
    </w:tbl>
    <w:p>
      <w:pPr>
        <w:spacing w:after="0"/>
      </w:pPr>
    </w:p>
    <w:p>
      <w:pPr>
        <w:pStyle w:val="Heading2"/>
        <w:spacing w:before="140" w:after="60"/>
        <w:keepNext/>
      </w:pPr>
      <w:r>
        <w:rPr>
          <w:rFonts w:ascii="Arial" w:hAnsi="Arial" w:eastAsia="Arial"/>
          <w:b/>
          <w:color w:val="17365D"/>
          <w:sz w:val="23"/>
        </w:rPr>
        <w:t>Question 5 (LPCC-WB04-Q005)</w:t>
      </w:r>
    </w:p>
    <w:p>
      <w:pPr>
        <w:spacing w:after="60"/>
        <w:keepNext/>
      </w:pPr>
      <w:r>
        <w:rPr>
          <w:rFonts w:ascii="Arial" w:hAnsi="Arial" w:eastAsia="Arial"/>
          <w:b/>
          <w:color w:val="1F7A8C"/>
          <w:sz w:val="20"/>
        </w:rPr>
        <w:t>Correct Answer: B</w:t>
      </w:r>
    </w:p>
    <w:p>
      <w:pPr>
        <w:spacing w:after="40"/>
        <w:ind w:left="173" w:hanging="173"/>
        <w:keepNext/>
      </w:pPr>
      <w:r>
        <w:rPr>
          <w:rFonts w:ascii="Arial" w:hAnsi="Arial" w:eastAsia="Arial"/>
          <w:b/>
          <w:color w:val="1F2937"/>
          <w:sz w:val="20"/>
        </w:rPr>
        <w:t xml:space="preserve">A. </w:t>
      </w:r>
      <w:r>
        <w:rPr>
          <w:rFonts w:ascii="Arial" w:hAnsi="Arial" w:eastAsia="Arial"/>
          <w:sz w:val="20"/>
        </w:rPr>
        <w:t>Incorrect. The clinician does not investigate or confront before making a required report.</w:t>
      </w:r>
    </w:p>
    <w:p>
      <w:pPr>
        <w:spacing w:after="40"/>
        <w:ind w:left="173" w:hanging="173"/>
        <w:keepNext/>
      </w:pPr>
      <w:r>
        <w:rPr>
          <w:rFonts w:ascii="Arial" w:hAnsi="Arial" w:eastAsia="Arial"/>
          <w:b/>
          <w:color w:val="17365D"/>
          <w:sz w:val="20"/>
        </w:rPr>
        <w:t xml:space="preserve">B. </w:t>
      </w:r>
      <w:r>
        <w:rPr>
          <w:rFonts w:ascii="Arial" w:hAnsi="Arial" w:eastAsia="Arial"/>
          <w:sz w:val="20"/>
        </w:rPr>
        <w:t>Correct. Visible injury and the child’s statement meet a reasonable-suspicion threshold; the report and written follow-up should occur within statutory timing.</w:t>
      </w:r>
    </w:p>
    <w:p>
      <w:pPr>
        <w:spacing w:after="40"/>
        <w:ind w:left="173" w:hanging="173"/>
        <w:keepNext/>
      </w:pPr>
      <w:r>
        <w:rPr>
          <w:rFonts w:ascii="Arial" w:hAnsi="Arial" w:eastAsia="Arial"/>
          <w:b/>
          <w:color w:val="1F2937"/>
          <w:sz w:val="20"/>
        </w:rPr>
        <w:t xml:space="preserve">C. </w:t>
      </w:r>
      <w:r>
        <w:rPr>
          <w:rFonts w:ascii="Arial" w:hAnsi="Arial" w:eastAsia="Arial"/>
          <w:sz w:val="20"/>
        </w:rPr>
        <w:t>Incorrect. A child’s written statement is not required before reporting.</w:t>
      </w:r>
    </w:p>
    <w:p>
      <w:pPr>
        <w:spacing w:after="40"/>
        <w:ind w:left="173" w:hanging="173"/>
        <w:keepNext/>
      </w:pPr>
      <w:r>
        <w:rPr>
          <w:rFonts w:ascii="Arial" w:hAnsi="Arial" w:eastAsia="Arial"/>
          <w:b/>
          <w:color w:val="1F2937"/>
          <w:sz w:val="20"/>
        </w:rPr>
        <w:t xml:space="preserve">D. </w:t>
      </w:r>
      <w:r>
        <w:rPr>
          <w:rFonts w:ascii="Arial" w:hAnsi="Arial" w:eastAsia="Arial"/>
          <w:sz w:val="20"/>
        </w:rPr>
        <w:t>Incorrect. The reporting duty is individual; supervision does not transfer it.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Reasonable suspicion triggers reporting. Proof and supervisor permission are not prerequisites.</w:t>
            </w:r>
          </w:p>
        </w:tc>
      </w:tr>
    </w:tbl>
    <w:p>
      <w:pPr>
        <w:spacing w:after="0"/>
      </w:pPr>
    </w:p>
    <w:p>
      <w:pPr>
        <w:pStyle w:val="Heading2"/>
        <w:spacing w:before="140" w:after="60"/>
        <w:keepNext/>
      </w:pPr>
      <w:r>
        <w:rPr>
          <w:rFonts w:ascii="Arial" w:hAnsi="Arial" w:eastAsia="Arial"/>
          <w:b/>
          <w:color w:val="17365D"/>
          <w:sz w:val="23"/>
        </w:rPr>
        <w:t>Question 6 (LPCC-WB04-Q006)</w:t>
      </w:r>
    </w:p>
    <w:p>
      <w:pPr>
        <w:spacing w:after="60"/>
        <w:keepNext/>
      </w:pPr>
      <w:r>
        <w:rPr>
          <w:rFonts w:ascii="Arial" w:hAnsi="Arial" w:eastAsia="Arial"/>
          <w:b/>
          <w:color w:val="1F7A8C"/>
          <w:sz w:val="20"/>
        </w:rPr>
        <w:t>Correct Answer: B</w:t>
      </w:r>
    </w:p>
    <w:p>
      <w:pPr>
        <w:spacing w:after="40"/>
        <w:ind w:left="173" w:hanging="173"/>
        <w:keepNext/>
      </w:pPr>
      <w:r>
        <w:rPr>
          <w:rFonts w:ascii="Arial" w:hAnsi="Arial" w:eastAsia="Arial"/>
          <w:b/>
          <w:color w:val="1F2937"/>
          <w:sz w:val="20"/>
        </w:rPr>
        <w:t xml:space="preserve">A. </w:t>
      </w:r>
      <w:r>
        <w:rPr>
          <w:rFonts w:ascii="Arial" w:hAnsi="Arial" w:eastAsia="Arial"/>
          <w:sz w:val="20"/>
        </w:rPr>
        <w:t>Incorrect. A past IPV disclosure by a competent adult does not automatically create the same reporting duty as child or elder abuse.</w:t>
      </w:r>
    </w:p>
    <w:p>
      <w:pPr>
        <w:spacing w:after="40"/>
        <w:ind w:left="173" w:hanging="173"/>
        <w:keepNext/>
      </w:pPr>
      <w:r>
        <w:rPr>
          <w:rFonts w:ascii="Arial" w:hAnsi="Arial" w:eastAsia="Arial"/>
          <w:b/>
          <w:color w:val="17365D"/>
          <w:sz w:val="20"/>
        </w:rPr>
        <w:t xml:space="preserve">B. </w:t>
      </w:r>
      <w:r>
        <w:rPr>
          <w:rFonts w:ascii="Arial" w:hAnsi="Arial" w:eastAsia="Arial"/>
          <w:sz w:val="20"/>
        </w:rPr>
        <w:t>Correct. The counselor assesses current danger and applicable duties while supporting autonomy, resources, and a tailored safety plan.</w:t>
      </w:r>
    </w:p>
    <w:p>
      <w:pPr>
        <w:spacing w:after="40"/>
        <w:ind w:left="173" w:hanging="173"/>
        <w:keepNext/>
      </w:pPr>
      <w:r>
        <w:rPr>
          <w:rFonts w:ascii="Arial" w:hAnsi="Arial" w:eastAsia="Arial"/>
          <w:b/>
          <w:color w:val="1F2937"/>
          <w:sz w:val="20"/>
        </w:rPr>
        <w:t xml:space="preserve">C. </w:t>
      </w:r>
      <w:r>
        <w:rPr>
          <w:rFonts w:ascii="Arial" w:hAnsi="Arial" w:eastAsia="Arial"/>
          <w:sz w:val="20"/>
        </w:rPr>
        <w:t>Incorrect. Directing the client to leave can increase danger and disregards autonomy and feasibility.</w:t>
      </w:r>
    </w:p>
    <w:p>
      <w:pPr>
        <w:spacing w:after="40"/>
        <w:ind w:left="173" w:hanging="173"/>
        <w:keepNext/>
      </w:pPr>
      <w:r>
        <w:rPr>
          <w:rFonts w:ascii="Arial" w:hAnsi="Arial" w:eastAsia="Arial"/>
          <w:b/>
          <w:color w:val="1F2937"/>
          <w:sz w:val="20"/>
        </w:rPr>
        <w:t xml:space="preserve">D. </w:t>
      </w:r>
      <w:r>
        <w:rPr>
          <w:rFonts w:ascii="Arial" w:hAnsi="Arial" w:eastAsia="Arial"/>
          <w:sz w:val="20"/>
        </w:rPr>
        <w:t>Incorrect. Clinical support does not depend on a police report.</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Identify the specific protected category or duty; do not invent a universal adult-IPV reporting rule.</w:t>
            </w:r>
          </w:p>
        </w:tc>
      </w:tr>
    </w:tbl>
    <w:p>
      <w:pPr>
        <w:spacing w:after="0"/>
      </w:pPr>
    </w:p>
    <w:p>
      <w:pPr>
        <w:pStyle w:val="Heading2"/>
        <w:spacing w:before="140" w:after="60"/>
        <w:keepNext/>
      </w:pPr>
      <w:r>
        <w:rPr>
          <w:rFonts w:ascii="Arial" w:hAnsi="Arial" w:eastAsia="Arial"/>
          <w:b/>
          <w:color w:val="17365D"/>
          <w:sz w:val="23"/>
        </w:rPr>
        <w:t>Question 7 (LPCC-WB04-Q007)</w:t>
      </w:r>
    </w:p>
    <w:p>
      <w:pPr>
        <w:spacing w:after="60"/>
        <w:keepNext/>
      </w:pPr>
      <w:r>
        <w:rPr>
          <w:rFonts w:ascii="Arial" w:hAnsi="Arial" w:eastAsia="Arial"/>
          <w:b/>
          <w:color w:val="1F7A8C"/>
          <w:sz w:val="20"/>
        </w:rPr>
        <w:t>Correct Answer: C</w:t>
      </w:r>
    </w:p>
    <w:p>
      <w:pPr>
        <w:spacing w:after="40"/>
        <w:ind w:left="173" w:hanging="173"/>
        <w:keepNext/>
      </w:pPr>
      <w:r>
        <w:rPr>
          <w:rFonts w:ascii="Arial" w:hAnsi="Arial" w:eastAsia="Arial"/>
          <w:b/>
          <w:color w:val="1F2937"/>
          <w:sz w:val="20"/>
        </w:rPr>
        <w:t xml:space="preserve">A. </w:t>
      </w:r>
      <w:r>
        <w:rPr>
          <w:rFonts w:ascii="Arial" w:hAnsi="Arial" w:eastAsia="Arial"/>
          <w:sz w:val="20"/>
        </w:rPr>
        <w:t>Incorrect. Grounding is not sufficient for new slurred speech, confusion, and reduced consciousness.</w:t>
      </w:r>
    </w:p>
    <w:p>
      <w:pPr>
        <w:spacing w:after="40"/>
        <w:ind w:left="173" w:hanging="173"/>
        <w:keepNext/>
      </w:pPr>
      <w:r>
        <w:rPr>
          <w:rFonts w:ascii="Arial" w:hAnsi="Arial" w:eastAsia="Arial"/>
          <w:b/>
          <w:color w:val="1F2937"/>
          <w:sz w:val="20"/>
        </w:rPr>
        <w:t xml:space="preserve">B. </w:t>
      </w:r>
      <w:r>
        <w:rPr>
          <w:rFonts w:ascii="Arial" w:hAnsi="Arial" w:eastAsia="Arial"/>
          <w:sz w:val="20"/>
        </w:rPr>
        <w:t>Incorrect. Trauma history does not justify assuming dissociation when acute medical signs are present.</w:t>
      </w:r>
    </w:p>
    <w:p>
      <w:pPr>
        <w:spacing w:after="40"/>
        <w:ind w:left="173" w:hanging="173"/>
        <w:keepNext/>
      </w:pPr>
      <w:r>
        <w:rPr>
          <w:rFonts w:ascii="Arial" w:hAnsi="Arial" w:eastAsia="Arial"/>
          <w:b/>
          <w:color w:val="17365D"/>
          <w:sz w:val="20"/>
        </w:rPr>
        <w:t xml:space="preserve">C. </w:t>
      </w:r>
      <w:r>
        <w:rPr>
          <w:rFonts w:ascii="Arial" w:hAnsi="Arial" w:eastAsia="Arial"/>
          <w:sz w:val="20"/>
        </w:rPr>
        <w:t>Correct. The presentation requires urgent medical evaluation and emergency procedures.</w:t>
      </w:r>
    </w:p>
    <w:p>
      <w:pPr>
        <w:spacing w:after="40"/>
        <w:ind w:left="173" w:hanging="173"/>
        <w:keepNext/>
      </w:pPr>
      <w:r>
        <w:rPr>
          <w:rFonts w:ascii="Arial" w:hAnsi="Arial" w:eastAsia="Arial"/>
          <w:b/>
          <w:color w:val="1F2937"/>
          <w:sz w:val="20"/>
        </w:rPr>
        <w:t xml:space="preserve">D. </w:t>
      </w:r>
      <w:r>
        <w:rPr>
          <w:rFonts w:ascii="Arial" w:hAnsi="Arial" w:eastAsia="Arial"/>
          <w:sz w:val="20"/>
        </w:rPr>
        <w:t>Incorrect. A symptom inventory would delay care and cannot rule out medical emergency.</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New neurological or consciousness changes outrank routine psychiatric assessment.</w:t>
            </w:r>
          </w:p>
        </w:tc>
      </w:tr>
    </w:tbl>
    <w:p>
      <w:pPr>
        <w:spacing w:after="0"/>
      </w:pPr>
    </w:p>
    <w:p>
      <w:pPr>
        <w:pStyle w:val="Heading2"/>
        <w:spacing w:before="140" w:after="60"/>
        <w:keepNext/>
      </w:pPr>
      <w:r>
        <w:rPr>
          <w:rFonts w:ascii="Arial" w:hAnsi="Arial" w:eastAsia="Arial"/>
          <w:b/>
          <w:color w:val="17365D"/>
          <w:sz w:val="23"/>
        </w:rPr>
        <w:t>Question 8 (LPCC-WB04-Q008)</w:t>
      </w:r>
    </w:p>
    <w:p>
      <w:pPr>
        <w:spacing w:after="60"/>
        <w:keepNext/>
      </w:pPr>
      <w:r>
        <w:rPr>
          <w:rFonts w:ascii="Arial" w:hAnsi="Arial" w:eastAsia="Arial"/>
          <w:b/>
          <w:color w:val="1F7A8C"/>
          <w:sz w:val="20"/>
        </w:rPr>
        <w:t>Correct Answer: C</w:t>
      </w:r>
    </w:p>
    <w:p>
      <w:pPr>
        <w:spacing w:after="40"/>
        <w:ind w:left="173" w:hanging="173"/>
        <w:keepNext/>
      </w:pPr>
      <w:r>
        <w:rPr>
          <w:rFonts w:ascii="Arial" w:hAnsi="Arial" w:eastAsia="Arial"/>
          <w:b/>
          <w:color w:val="1F2937"/>
          <w:sz w:val="20"/>
        </w:rPr>
        <w:t xml:space="preserve">A. </w:t>
      </w:r>
      <w:r>
        <w:rPr>
          <w:rFonts w:ascii="Arial" w:hAnsi="Arial" w:eastAsia="Arial"/>
          <w:sz w:val="20"/>
        </w:rPr>
        <w:t>Incorrect. A promise is not a reliable intervention and does not address access or coping.</w:t>
      </w:r>
    </w:p>
    <w:p>
      <w:pPr>
        <w:spacing w:after="40"/>
        <w:ind w:left="173" w:hanging="173"/>
        <w:keepNext/>
      </w:pPr>
      <w:r>
        <w:rPr>
          <w:rFonts w:ascii="Arial" w:hAnsi="Arial" w:eastAsia="Arial"/>
          <w:b/>
          <w:color w:val="1F2937"/>
          <w:sz w:val="20"/>
        </w:rPr>
        <w:t xml:space="preserve">B. </w:t>
      </w:r>
      <w:r>
        <w:rPr>
          <w:rFonts w:ascii="Arial" w:hAnsi="Arial" w:eastAsia="Arial"/>
          <w:sz w:val="20"/>
        </w:rPr>
        <w:t>Incorrect. Generic counselor-generated skills may not be usable during the client’s crisis.</w:t>
      </w:r>
    </w:p>
    <w:p>
      <w:pPr>
        <w:spacing w:after="40"/>
        <w:ind w:left="173" w:hanging="173"/>
        <w:keepNext/>
      </w:pPr>
      <w:r>
        <w:rPr>
          <w:rFonts w:ascii="Arial" w:hAnsi="Arial" w:eastAsia="Arial"/>
          <w:b/>
          <w:color w:val="17365D"/>
          <w:sz w:val="20"/>
        </w:rPr>
        <w:t xml:space="preserve">C. </w:t>
      </w:r>
      <w:r>
        <w:rPr>
          <w:rFonts w:ascii="Arial" w:hAnsi="Arial" w:eastAsia="Arial"/>
          <w:sz w:val="20"/>
        </w:rPr>
        <w:t>Correct. A strong plan is individualized, collaborative, sequential, resource-linked, and includes concrete means safety.</w:t>
      </w:r>
    </w:p>
    <w:p>
      <w:pPr>
        <w:spacing w:after="40"/>
        <w:ind w:left="173" w:hanging="173"/>
        <w:keepNext/>
      </w:pPr>
      <w:r>
        <w:rPr>
          <w:rFonts w:ascii="Arial" w:hAnsi="Arial" w:eastAsia="Arial"/>
          <w:b/>
          <w:color w:val="1F2937"/>
          <w:sz w:val="20"/>
        </w:rPr>
        <w:t xml:space="preserve">D. </w:t>
      </w:r>
      <w:r>
        <w:rPr>
          <w:rFonts w:ascii="Arial" w:hAnsi="Arial" w:eastAsia="Arial"/>
          <w:sz w:val="20"/>
        </w:rPr>
        <w:t>Incorrect. The counselor may not be available, and the plan needs multiple accessible steps.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 safety plan is a rehearsed action sequence, not a promise or a single phone number.</w:t>
            </w:r>
          </w:p>
        </w:tc>
      </w:tr>
    </w:tbl>
    <w:p>
      <w:pPr>
        <w:spacing w:after="0"/>
      </w:pPr>
    </w:p>
    <w:p>
      <w:pPr>
        <w:pStyle w:val="Heading2"/>
        <w:spacing w:before="140" w:after="60"/>
        <w:keepNext/>
      </w:pPr>
      <w:r>
        <w:rPr>
          <w:rFonts w:ascii="Arial" w:hAnsi="Arial" w:eastAsia="Arial"/>
          <w:b/>
          <w:color w:val="17365D"/>
          <w:sz w:val="23"/>
        </w:rPr>
        <w:t>Question 9 (LPCC-WB04-Q009)</w:t>
      </w:r>
    </w:p>
    <w:p>
      <w:pPr>
        <w:spacing w:after="60"/>
        <w:keepNext/>
      </w:pPr>
      <w:r>
        <w:rPr>
          <w:rFonts w:ascii="Arial" w:hAnsi="Arial" w:eastAsia="Arial"/>
          <w:b/>
          <w:color w:val="1F7A8C"/>
          <w:sz w:val="20"/>
        </w:rPr>
        <w:t>Correct Answer: C</w:t>
      </w:r>
    </w:p>
    <w:p>
      <w:pPr>
        <w:spacing w:after="40"/>
        <w:ind w:left="173" w:hanging="173"/>
        <w:keepNext/>
      </w:pPr>
      <w:r>
        <w:rPr>
          <w:rFonts w:ascii="Arial" w:hAnsi="Arial" w:eastAsia="Arial"/>
          <w:b/>
          <w:color w:val="1F2937"/>
          <w:sz w:val="20"/>
        </w:rPr>
        <w:t xml:space="preserve">A. </w:t>
      </w:r>
      <w:r>
        <w:rPr>
          <w:rFonts w:ascii="Arial" w:hAnsi="Arial" w:eastAsia="Arial"/>
          <w:sz w:val="20"/>
        </w:rPr>
        <w:t>Incorrect. Current intent, plan, access, intoxication, and inability to collaborate are incompatible with routine follow-up.</w:t>
      </w:r>
    </w:p>
    <w:p>
      <w:pPr>
        <w:spacing w:after="40"/>
        <w:ind w:left="173" w:hanging="173"/>
        <w:keepNext/>
      </w:pPr>
      <w:r>
        <w:rPr>
          <w:rFonts w:ascii="Arial" w:hAnsi="Arial" w:eastAsia="Arial"/>
          <w:b/>
          <w:color w:val="1F2937"/>
          <w:sz w:val="20"/>
        </w:rPr>
        <w:t xml:space="preserve">B. </w:t>
      </w:r>
      <w:r>
        <w:rPr>
          <w:rFonts w:ascii="Arial" w:hAnsi="Arial" w:eastAsia="Arial"/>
          <w:sz w:val="20"/>
        </w:rPr>
        <w:t>Incorrect. The client cannot safely use a plan and should not leave without a completed handoff.</w:t>
      </w:r>
    </w:p>
    <w:p>
      <w:pPr>
        <w:spacing w:after="40"/>
        <w:ind w:left="173" w:hanging="173"/>
        <w:keepNext/>
      </w:pPr>
      <w:r>
        <w:rPr>
          <w:rFonts w:ascii="Arial" w:hAnsi="Arial" w:eastAsia="Arial"/>
          <w:b/>
          <w:color w:val="17365D"/>
          <w:sz w:val="20"/>
        </w:rPr>
        <w:t xml:space="preserve">C. </w:t>
      </w:r>
      <w:r>
        <w:rPr>
          <w:rFonts w:ascii="Arial" w:hAnsi="Arial" w:eastAsia="Arial"/>
          <w:sz w:val="20"/>
        </w:rPr>
        <w:t>Correct. Immediate emergency evaluation and maintained safety until transfer match the acute risk pattern.</w:t>
      </w:r>
    </w:p>
    <w:p>
      <w:pPr>
        <w:spacing w:after="40"/>
        <w:ind w:left="173" w:hanging="173"/>
        <w:keepNext/>
      </w:pPr>
      <w:r>
        <w:rPr>
          <w:rFonts w:ascii="Arial" w:hAnsi="Arial" w:eastAsia="Arial"/>
          <w:b/>
          <w:color w:val="1F2937"/>
          <w:sz w:val="20"/>
        </w:rPr>
        <w:t xml:space="preserve">D. </w:t>
      </w:r>
      <w:r>
        <w:rPr>
          <w:rFonts w:ascii="Arial" w:hAnsi="Arial" w:eastAsia="Arial"/>
          <w:sz w:val="20"/>
        </w:rPr>
        <w:t>Incorrect. Informal monitoring is insufficient for the stated acuity.</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risk is imminent and collaboration is impaired, move from outpatient planning to immediate emergency evaluation and confirmed handoff.</w:t>
            </w:r>
          </w:p>
        </w:tc>
      </w:tr>
    </w:tbl>
    <w:p>
      <w:pPr>
        <w:spacing w:after="0"/>
      </w:pPr>
    </w:p>
    <w:p>
      <w:pPr>
        <w:pStyle w:val="Heading2"/>
        <w:spacing w:before="140" w:after="60"/>
        <w:keepNext/>
      </w:pPr>
      <w:r>
        <w:rPr>
          <w:rFonts w:ascii="Arial" w:hAnsi="Arial" w:eastAsia="Arial"/>
          <w:b/>
          <w:color w:val="17365D"/>
          <w:sz w:val="23"/>
        </w:rPr>
        <w:t>Question 10 (LPCC-WB04-Q010)</w:t>
      </w:r>
    </w:p>
    <w:p>
      <w:pPr>
        <w:spacing w:after="60"/>
        <w:keepNext/>
      </w:pPr>
      <w:r>
        <w:rPr>
          <w:rFonts w:ascii="Arial" w:hAnsi="Arial" w:eastAsia="Arial"/>
          <w:b/>
          <w:color w:val="1F7A8C"/>
          <w:sz w:val="20"/>
        </w:rPr>
        <w:t>Correct Answer: B</w:t>
      </w:r>
    </w:p>
    <w:p>
      <w:pPr>
        <w:spacing w:after="40"/>
        <w:ind w:left="173" w:hanging="173"/>
        <w:keepNext/>
      </w:pPr>
      <w:r>
        <w:rPr>
          <w:rFonts w:ascii="Arial" w:hAnsi="Arial" w:eastAsia="Arial"/>
          <w:b/>
          <w:color w:val="1F2937"/>
          <w:sz w:val="20"/>
        </w:rPr>
        <w:t xml:space="preserve">A. </w:t>
      </w:r>
      <w:r>
        <w:rPr>
          <w:rFonts w:ascii="Arial" w:hAnsi="Arial" w:eastAsia="Arial"/>
          <w:sz w:val="20"/>
        </w:rPr>
        <w:t>Incorrect. Insight may be useful but does not answer whether the command is likely to be acted upon.</w:t>
      </w:r>
    </w:p>
    <w:p>
      <w:pPr>
        <w:spacing w:after="40"/>
        <w:ind w:left="173" w:hanging="173"/>
        <w:keepNext/>
      </w:pPr>
      <w:r>
        <w:rPr>
          <w:rFonts w:ascii="Arial" w:hAnsi="Arial" w:eastAsia="Arial"/>
          <w:b/>
          <w:color w:val="17365D"/>
          <w:sz w:val="20"/>
        </w:rPr>
        <w:t xml:space="preserve">B. </w:t>
      </w:r>
      <w:r>
        <w:rPr>
          <w:rFonts w:ascii="Arial" w:hAnsi="Arial" w:eastAsia="Arial"/>
          <w:sz w:val="20"/>
        </w:rPr>
        <w:t>Correct. These facts discriminate current danger, controllability, access, history, and possible substance or medical contributors.</w:t>
      </w:r>
    </w:p>
    <w:p>
      <w:pPr>
        <w:spacing w:after="40"/>
        <w:ind w:left="173" w:hanging="173"/>
        <w:keepNext/>
      </w:pPr>
      <w:r>
        <w:rPr>
          <w:rFonts w:ascii="Arial" w:hAnsi="Arial" w:eastAsia="Arial"/>
          <w:b/>
          <w:color w:val="1F2937"/>
          <w:sz w:val="20"/>
        </w:rPr>
        <w:t xml:space="preserve">C. </w:t>
      </w:r>
      <w:r>
        <w:rPr>
          <w:rFonts w:ascii="Arial" w:hAnsi="Arial" w:eastAsia="Arial"/>
          <w:sz w:val="20"/>
        </w:rPr>
        <w:t>Incorrect. Theory preference is not the priority during a violence-risk assessment.</w:t>
      </w:r>
    </w:p>
    <w:p>
      <w:pPr>
        <w:spacing w:after="40"/>
        <w:ind w:left="173" w:hanging="173"/>
        <w:keepNext/>
      </w:pPr>
      <w:r>
        <w:rPr>
          <w:rFonts w:ascii="Arial" w:hAnsi="Arial" w:eastAsia="Arial"/>
          <w:b/>
          <w:color w:val="1F2937"/>
          <w:sz w:val="20"/>
        </w:rPr>
        <w:t xml:space="preserve">D. </w:t>
      </w:r>
      <w:r>
        <w:rPr>
          <w:rFonts w:ascii="Arial" w:hAnsi="Arial" w:eastAsia="Arial"/>
          <w:sz w:val="20"/>
        </w:rPr>
        <w:t>Incorrect. Relationship context alone is far less important than intent, control, access, history, and modifiers.</w:t>
      </w:r>
    </w:p>
    <w:tbl>
      <w:tblPr>
        <w:tblW w:type="auto" w:w="0"/>
        <w:jc w:val="center"/>
        <w:tblLook w:firstColumn="1" w:firstRow="1" w:lastColumn="0" w:lastRow="0" w:noHBand="0" w:noVBand="1" w:val="04A0"/>
      </w:tblPr>
      <w:tblGrid>
        <w:gridCol w:w="10310"/>
      </w:tblGrid>
      <w:tr>
        <w:trPr>
          <w:cantSplit/>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Calm presentation does not cancel command-hallucination risk. Assess the command, capacity to resist, access, history, and modifiers.</w:t>
            </w:r>
          </w:p>
        </w:tc>
      </w:tr>
    </w:tbl>
    <w:p>
      <w:pPr>
        <w:spacing w:after="0"/>
      </w:pPr>
    </w:p>
    <w:p>
      <w:pPr>
        <w:pStyle w:val="Heading1"/>
        <w:spacing w:before="100" w:after="80"/>
        <w:keepNext/>
      </w:pPr>
      <w:r>
        <w:rPr>
          <w:rFonts w:ascii="Arial" w:hAnsi="Arial" w:eastAsia="Arial"/>
          <w:b/>
          <w:color w:val="17365D"/>
          <w:sz w:val="23"/>
        </w:rPr>
        <w:t>Study Planning and Checkpoint 1 Readiness</w:t>
      </w:r>
    </w:p>
    <w:p>
      <w:pPr>
        <w:pStyle w:val="Heading2"/>
        <w:spacing w:before="140" w:after="80"/>
        <w:keepNext/>
      </w:pPr>
      <w:r>
        <w:rPr>
          <w:rFonts w:ascii="Arial" w:hAnsi="Arial" w:eastAsia="Arial"/>
          <w:b/>
          <w:color w:val="159C9C"/>
          <w:sz w:val="26"/>
        </w:rPr>
        <w:t>My Workbook 4 Results</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453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Metric</w:t>
            </w:r>
          </w:p>
        </w:tc>
        <w:tc>
          <w:tcPr>
            <w:tcW w:type="dxa" w:w="5976"/>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Result</w:t>
            </w:r>
          </w:p>
        </w:tc>
      </w:tr>
      <w:tr>
        <w:trPr>
          <w:cantSplit/>
        </w:trPr>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Knowledge Check Score</w:t>
            </w:r>
          </w:p>
        </w:tc>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10</w:t>
            </w:r>
          </w:p>
        </w:tc>
      </w:tr>
      <w:tr>
        <w:trPr>
          <w:cantSplit/>
        </w:trPr>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Low-Confidence Correct Answers</w:t>
            </w:r>
          </w:p>
        </w:tc>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w:t>
            </w:r>
          </w:p>
        </w:tc>
      </w:tr>
      <w:tr>
        <w:trPr>
          <w:cantSplit/>
        </w:trPr>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High-Confidence Incorrect Answers</w:t>
            </w:r>
          </w:p>
        </w:tc>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w:t>
            </w:r>
          </w:p>
        </w:tc>
      </w:tr>
      <w:tr>
        <w:trPr>
          <w:cantSplit/>
        </w:trPr>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Primary Error Pattern</w:t>
            </w:r>
          </w:p>
        </w:tc>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________________________________________</w:t>
            </w:r>
          </w:p>
        </w:tc>
      </w:tr>
      <w:tr>
        <w:trPr>
          <w:cantSplit/>
        </w:trPr>
        <w:tc>
          <w:tcPr>
            <w:tcW w:type="dxa" w:w="453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Priority Chapter to Review</w:t>
            </w:r>
          </w:p>
        </w:tc>
        <w:tc>
          <w:tcPr>
            <w:tcW w:type="dxa" w:w="5976"/>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________________________________________</w:t>
            </w:r>
          </w:p>
        </w:tc>
      </w:tr>
    </w:tbl>
    <w:p>
      <w:pPr>
        <w:spacing w:after="0"/>
      </w:pPr>
    </w:p>
    <w:p>
      <w:pPr>
        <w:pStyle w:val="Heading2"/>
        <w:spacing w:before="140" w:after="80"/>
        <w:keepNext/>
      </w:pPr>
      <w:r>
        <w:rPr>
          <w:rFonts w:ascii="Arial" w:hAnsi="Arial" w:eastAsia="Arial"/>
          <w:b/>
          <w:color w:val="159C9C"/>
          <w:sz w:val="26"/>
        </w:rPr>
        <w:t>My Corrected Crisis Rules</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3168"/>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Error or Uncertainty</w:t>
            </w:r>
          </w:p>
        </w:tc>
        <w:tc>
          <w:tcPr>
            <w:tcW w:type="dxa" w:w="4104"/>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Corrected Decision Rule</w:t>
            </w:r>
          </w:p>
        </w:tc>
        <w:tc>
          <w:tcPr>
            <w:tcW w:type="dxa" w:w="3240"/>
            <w:shd w:fill="17365D"/>
            <w:tcMar>
              <w:top w:w="90" w:type="dxa"/>
              <w:start w:w="95" w:type="dxa"/>
              <w:bottom w:w="90" w:type="dxa"/>
              <w:end w:w="95"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How I Will Practice It</w:t>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3168"/>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4104"/>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3240"/>
            <w:tcMar>
              <w:top w:w="85" w:type="dxa"/>
              <w:start w:w="95" w:type="dxa"/>
              <w:bottom w:w="85" w:type="dxa"/>
              <w:end w:w="95"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bl>
    <w:p>
      <w:pPr>
        <w:spacing w:after="0"/>
      </w:pPr>
    </w:p>
    <w:p>
      <w:pPr>
        <w:pStyle w:val="Heading2"/>
        <w:spacing w:before="140" w:after="80"/>
        <w:keepNext/>
      </w:pPr>
      <w:r>
        <w:rPr>
          <w:rFonts w:ascii="Arial" w:hAnsi="Arial" w:eastAsia="Arial"/>
          <w:b/>
          <w:color w:val="159C9C"/>
          <w:sz w:val="26"/>
        </w:rPr>
        <w:t>Workbook 4 Completion Check</w:t>
      </w:r>
    </w:p>
    <w:p>
      <w:pPr>
        <w:spacing w:after="40"/>
      </w:pPr>
      <w:r>
        <w:rPr>
          <w:rFonts w:ascii="Arial" w:hAnsi="Arial" w:eastAsia="Arial"/>
          <w:sz w:val="20"/>
        </w:rPr>
        <w:t>☐ I can use STABLE to sequence immediate safety, de-escalation, focused assessment, collaboration, and handoff.</w:t>
      </w:r>
    </w:p>
    <w:p>
      <w:pPr>
        <w:spacing w:after="40"/>
      </w:pPr>
      <w:r>
        <w:rPr>
          <w:rFonts w:ascii="Arial" w:hAnsi="Arial" w:eastAsia="Arial"/>
          <w:sz w:val="20"/>
        </w:rPr>
        <w:t>☐ I can distinguish screening, suicide-risk assessment, formulation, safety planning, and disposition.</w:t>
      </w:r>
    </w:p>
    <w:p>
      <w:pPr>
        <w:spacing w:after="40"/>
      </w:pPr>
      <w:r>
        <w:rPr>
          <w:rFonts w:ascii="Arial" w:hAnsi="Arial" w:eastAsia="Arial"/>
          <w:sz w:val="20"/>
        </w:rPr>
        <w:t>☐ I can assess NSSI without assuming either no suicide risk or automatic suicidal intent.</w:t>
      </w:r>
    </w:p>
    <w:p>
      <w:pPr>
        <w:spacing w:after="40"/>
      </w:pPr>
      <w:r>
        <w:rPr>
          <w:rFonts w:ascii="Arial" w:hAnsi="Arial" w:eastAsia="Arial"/>
          <w:sz w:val="20"/>
        </w:rPr>
        <w:t>☐ I can recognize a California duty-to-protect scenario and avoid delaying protective action.</w:t>
      </w:r>
    </w:p>
    <w:p>
      <w:pPr>
        <w:spacing w:after="40"/>
      </w:pPr>
      <w:r>
        <w:rPr>
          <w:rFonts w:ascii="Arial" w:hAnsi="Arial" w:eastAsia="Arial"/>
          <w:sz w:val="20"/>
        </w:rPr>
        <w:t>☐ I can apply child and elder/dependent-adult reporting concepts without investigating before reporting.</w:t>
      </w:r>
    </w:p>
    <w:p>
      <w:pPr>
        <w:spacing w:after="40"/>
      </w:pPr>
      <w:r>
        <w:rPr>
          <w:rFonts w:ascii="Arial" w:hAnsi="Arial" w:eastAsia="Arial"/>
          <w:sz w:val="20"/>
        </w:rPr>
        <w:t>☐ I can recognize medical, substance, psychosis, and mania cues that change urgency.</w:t>
      </w:r>
    </w:p>
    <w:p>
      <w:pPr>
        <w:spacing w:after="40"/>
      </w:pPr>
      <w:r>
        <w:rPr>
          <w:rFonts w:ascii="Arial" w:hAnsi="Arial" w:eastAsia="Arial"/>
          <w:sz w:val="20"/>
        </w:rPr>
        <w:t>☐ I can build a concrete safety and lethal-means plan and know when it is insufficient.</w:t>
      </w:r>
    </w:p>
    <w:p>
      <w:pPr>
        <w:spacing w:after="40"/>
      </w:pPr>
      <w:r>
        <w:rPr>
          <w:rFonts w:ascii="Arial" w:hAnsi="Arial" w:eastAsia="Arial"/>
          <w:sz w:val="20"/>
        </w:rPr>
        <w:t>☐ I can justify the least restrictive safe level of care and confirm the handoff.</w:t>
      </w:r>
    </w:p>
    <w:p>
      <w:pPr>
        <w:spacing w:after="40"/>
      </w:pPr>
      <w:r>
        <w:rPr>
          <w:rFonts w:ascii="Arial" w:hAnsi="Arial" w:eastAsia="Arial"/>
          <w:sz w:val="20"/>
        </w:rPr>
        <w:t>☐ I completed the Elena case lab and the five printable tools.</w:t>
      </w:r>
    </w:p>
    <w:p>
      <w:pPr>
        <w:spacing w:after="40"/>
      </w:pPr>
      <w:r>
        <w:rPr>
          <w:rFonts w:ascii="Arial" w:hAnsi="Arial" w:eastAsia="Arial"/>
          <w:sz w:val="20"/>
        </w:rPr>
        <w:t>☐ I am ready to complete the separate Workbook 4 practice bank under closed-book conditions.</w:t>
      </w:r>
    </w:p>
    <w:p>
      <w:pPr>
        <w:pStyle w:val="Heading2"/>
        <w:spacing w:before="140" w:after="80"/>
        <w:keepNext/>
      </w:pPr>
      <w:r>
        <w:rPr>
          <w:rFonts w:ascii="Arial" w:hAnsi="Arial" w:eastAsia="Arial"/>
          <w:b/>
          <w:color w:val="159C9C"/>
          <w:sz w:val="26"/>
        </w:rPr>
        <w:t>Checkpoint 1 Preview</w:t>
      </w:r>
    </w:p>
    <w:p>
      <w:pPr>
        <w:spacing w:before="0" w:after="100" w:line="254" w:lineRule="auto"/>
      </w:pPr>
      <w:r>
        <w:rPr>
          <w:rFonts w:ascii="Arial" w:hAnsi="Arial" w:eastAsia="Arial"/>
          <w:b w:val="0"/>
          <w:i w:val="0"/>
          <w:color w:val="1F2937"/>
          <w:sz w:val="20"/>
        </w:rPr>
        <w:t>After Workbook 4, the CTA program’s first cumulative checkpoint integrates Workbook 1 case reasoning, Workbook 2 identity and scope, Workbook 3 intake and assessment, and Workbook 4 crisis and level-of-care decisions. The planned checkpoint contains three original cases and approximately 36-39 questions. Use your error log before attempting the checkpoint; do not rely on rereading alone.</w:t>
      </w:r>
    </w:p>
    <w:p>
      <w:pPr>
        <w:pStyle w:val="Heading2"/>
        <w:spacing w:before="140" w:after="80"/>
        <w:keepNext/>
      </w:pPr>
      <w:r>
        <w:rPr>
          <w:rFonts w:ascii="Arial" w:hAnsi="Arial" w:eastAsia="Arial"/>
          <w:b/>
          <w:color w:val="159C9C"/>
          <w:sz w:val="26"/>
        </w:rPr>
        <w:t>Next Controlled Action</w:t>
      </w:r>
    </w:p>
    <w:p>
      <w:pPr>
        <w:spacing w:before="0" w:after="100" w:line="254" w:lineRule="auto"/>
      </w:pPr>
      <w:r>
        <w:rPr>
          <w:rFonts w:ascii="Arial" w:hAnsi="Arial" w:eastAsia="Arial"/>
          <w:b w:val="0"/>
          <w:i w:val="0"/>
          <w:color w:val="1F2937"/>
          <w:sz w:val="20"/>
        </w:rPr>
        <w:t>Complete the matching CTA LPCC Workbook 4 17-question practice bank. Review the separate rationale form only after submitting your answers and confidence ratings. Remediate any safety, duty, medical-urgency, or level-of-care error before moving into diagnosis and differential diagnosis.</w:t>
      </w:r>
    </w:p>
    <w:p>
      <w:pPr>
        <w:spacing w:after="40"/>
      </w:pPr>
      <w:r>
        <w:rPr>
          <w:rFonts w:ascii="Arial" w:hAnsi="Arial" w:eastAsia="Arial"/>
          <w:sz w:val="20"/>
        </w:rPr>
        <w:t>☐ Move to Workbook 5 only after I can explain my crisis sequence and disposition rationale in my own words.</w:t>
      </w:r>
    </w:p>
    <w:p>
      <w:pPr>
        <w:pStyle w:val="Heading2"/>
        <w:spacing w:before="140" w:after="80"/>
        <w:keepNext/>
      </w:pPr>
      <w:r>
        <w:rPr>
          <w:rFonts w:ascii="Arial" w:hAnsi="Arial" w:eastAsia="Arial"/>
          <w:b/>
          <w:color w:val="159C9C"/>
          <w:sz w:val="26"/>
        </w:rPr>
        <w:t>Official Sources and Currency Note</w:t>
      </w:r>
    </w:p>
    <w:p>
      <w:pPr>
        <w:spacing w:before="0" w:after="100" w:line="254" w:lineRule="auto"/>
      </w:pPr>
      <w:r>
        <w:rPr>
          <w:rFonts w:ascii="Arial" w:hAnsi="Arial" w:eastAsia="Arial"/>
          <w:b w:val="0"/>
          <w:i w:val="0"/>
          <w:color w:val="1F2937"/>
          <w:sz w:val="20"/>
        </w:rPr>
        <w:t>Content was verified against official and authoritative sources available in July 2026. Laws, county implementation, Board guidance, examination specifications, crisis resources, and instrument guidance may change. Candidates should confirm the requirements that apply to their test date, work setting, county, and role. Named instruments are examples; use current manuals, permissions, population guidance, and training requirements.</w:t>
      </w:r>
    </w:p>
    <w:p>
      <w:pPr>
        <w:spacing w:after="40"/>
      </w:pPr>
      <w:r>
        <w:rPr>
          <w:rFonts w:ascii="Arial" w:hAnsi="Arial" w:eastAsia="Arial"/>
          <w:b/>
          <w:color w:val="17365D"/>
          <w:sz w:val="19"/>
        </w:rPr>
        <w:t xml:space="preserve">California BBS LPCC Clinical Examination: </w:t>
      </w:r>
      <w:hyperlink r:id="rId12">
        <w:r>
          <w:rPr>
            <w:rFonts w:ascii="Arial" w:hAnsi="Arial"/>
            <w:color w:val="159C9C"/>
            <w:u w:val="single"/>
          </w:rPr>
          <w:t>Open official source</w:t>
        </w:r>
      </w:hyperlink>
      <w:r>
        <w:rPr>
          <w:rFonts w:ascii="Arial" w:hAnsi="Arial" w:eastAsia="Arial"/>
          <w:color w:val="1F2937"/>
          <w:sz w:val="19"/>
        </w:rPr>
        <w:t xml:space="preserve"> - California eligibility and NCMHCE administration information.</w:t>
      </w:r>
    </w:p>
    <w:p>
      <w:pPr>
        <w:spacing w:after="40"/>
      </w:pPr>
      <w:r>
        <w:rPr>
          <w:rFonts w:ascii="Arial" w:hAnsi="Arial" w:eastAsia="Arial"/>
          <w:b/>
          <w:color w:val="17365D"/>
          <w:sz w:val="19"/>
        </w:rPr>
        <w:t xml:space="preserve">NBCC NCMHCE Content Outline: </w:t>
      </w:r>
      <w:hyperlink r:id="rId13">
        <w:r>
          <w:rPr>
            <w:rFonts w:ascii="Arial" w:hAnsi="Arial"/>
            <w:color w:val="159C9C"/>
            <w:u w:val="single"/>
          </w:rPr>
          <w:t>Open official source</w:t>
        </w:r>
      </w:hyperlink>
      <w:r>
        <w:rPr>
          <w:rFonts w:ascii="Arial" w:hAnsi="Arial" w:eastAsia="Arial"/>
          <w:color w:val="1F2937"/>
          <w:sz w:val="19"/>
        </w:rPr>
        <w:t xml:space="preserve"> - Current crisis, risk, trauma, safety-planning, intervention, and level-of-care tasks.</w:t>
      </w:r>
    </w:p>
    <w:p>
      <w:pPr>
        <w:spacing w:after="40"/>
      </w:pPr>
      <w:r>
        <w:rPr>
          <w:rFonts w:ascii="Arial" w:hAnsi="Arial" w:eastAsia="Arial"/>
          <w:b/>
          <w:color w:val="17365D"/>
          <w:sz w:val="19"/>
        </w:rPr>
        <w:t xml:space="preserve">NBCC NCMHCE 2027 Examination Specifications: </w:t>
      </w:r>
      <w:hyperlink r:id="rId14">
        <w:r>
          <w:rPr>
            <w:rFonts w:ascii="Arial" w:hAnsi="Arial"/>
            <w:color w:val="159C9C"/>
            <w:u w:val="single"/>
          </w:rPr>
          <w:t>Open official source</w:t>
        </w:r>
      </w:hyperlink>
      <w:r>
        <w:rPr>
          <w:rFonts w:ascii="Arial" w:hAnsi="Arial" w:eastAsia="Arial"/>
          <w:color w:val="1F2937"/>
          <w:sz w:val="19"/>
        </w:rPr>
        <w:t xml:space="preserve"> - Effective July 1, 2027; revised task and domain structure.</w:t>
      </w:r>
    </w:p>
    <w:p>
      <w:pPr>
        <w:spacing w:after="40"/>
      </w:pPr>
      <w:r>
        <w:rPr>
          <w:rFonts w:ascii="Arial" w:hAnsi="Arial" w:eastAsia="Arial"/>
          <w:b/>
          <w:color w:val="17365D"/>
          <w:sz w:val="19"/>
        </w:rPr>
        <w:t xml:space="preserve">California Civil Code § 43.92: </w:t>
      </w:r>
      <w:hyperlink r:id="rId15">
        <w:r>
          <w:rPr>
            <w:rFonts w:ascii="Arial" w:hAnsi="Arial"/>
            <w:color w:val="159C9C"/>
            <w:u w:val="single"/>
          </w:rPr>
          <w:t>Open official source</w:t>
        </w:r>
      </w:hyperlink>
      <w:r>
        <w:rPr>
          <w:rFonts w:ascii="Arial" w:hAnsi="Arial" w:eastAsia="Arial"/>
          <w:color w:val="1F2937"/>
          <w:sz w:val="19"/>
        </w:rPr>
        <w:t xml:space="preserve"> - Psychotherapist duty to protect involving serious threats toward reasonably identifiable victims.</w:t>
      </w:r>
    </w:p>
    <w:p>
      <w:pPr>
        <w:spacing w:after="40"/>
      </w:pPr>
      <w:r>
        <w:rPr>
          <w:rFonts w:ascii="Arial" w:hAnsi="Arial" w:eastAsia="Arial"/>
          <w:b/>
          <w:color w:val="17365D"/>
          <w:sz w:val="19"/>
        </w:rPr>
        <w:t xml:space="preserve">California Penal Code § 11166: </w:t>
      </w:r>
      <w:hyperlink r:id="rId16">
        <w:r>
          <w:rPr>
            <w:rFonts w:ascii="Arial" w:hAnsi="Arial"/>
            <w:color w:val="159C9C"/>
            <w:u w:val="single"/>
          </w:rPr>
          <w:t>Open official source</w:t>
        </w:r>
      </w:hyperlink>
      <w:r>
        <w:rPr>
          <w:rFonts w:ascii="Arial" w:hAnsi="Arial" w:eastAsia="Arial"/>
          <w:color w:val="1F2937"/>
          <w:sz w:val="19"/>
        </w:rPr>
        <w:t xml:space="preserve"> - Child-abuse reasonable suspicion, individual duty, and reporting timing.</w:t>
      </w:r>
    </w:p>
    <w:p>
      <w:pPr>
        <w:spacing w:after="40"/>
      </w:pPr>
      <w:r>
        <w:rPr>
          <w:rFonts w:ascii="Arial" w:hAnsi="Arial" w:eastAsia="Arial"/>
          <w:b/>
          <w:color w:val="17365D"/>
          <w:sz w:val="19"/>
        </w:rPr>
        <w:t xml:space="preserve">California Welfare and Institutions Code § 15630: </w:t>
      </w:r>
      <w:hyperlink r:id="rId17">
        <w:r>
          <w:rPr>
            <w:rFonts w:ascii="Arial" w:hAnsi="Arial"/>
            <w:color w:val="159C9C"/>
            <w:u w:val="single"/>
          </w:rPr>
          <w:t>Open official source</w:t>
        </w:r>
      </w:hyperlink>
      <w:r>
        <w:rPr>
          <w:rFonts w:ascii="Arial" w:hAnsi="Arial" w:eastAsia="Arial"/>
          <w:color w:val="1F2937"/>
          <w:sz w:val="19"/>
        </w:rPr>
        <w:t xml:space="preserve"> - Elder and dependent-adult mandated-reporting duties and timing.</w:t>
      </w:r>
    </w:p>
    <w:p>
      <w:pPr>
        <w:spacing w:after="40"/>
      </w:pPr>
      <w:r>
        <w:rPr>
          <w:rFonts w:ascii="Arial" w:hAnsi="Arial" w:eastAsia="Arial"/>
          <w:b/>
          <w:color w:val="17365D"/>
          <w:sz w:val="19"/>
        </w:rPr>
        <w:t xml:space="preserve">California Welfare and Institutions Code § 5150: </w:t>
      </w:r>
      <w:hyperlink r:id="rId18">
        <w:r>
          <w:rPr>
            <w:rFonts w:ascii="Arial" w:hAnsi="Arial"/>
            <w:color w:val="159C9C"/>
            <w:u w:val="single"/>
          </w:rPr>
          <w:t>Open official source</w:t>
        </w:r>
      </w:hyperlink>
      <w:r>
        <w:rPr>
          <w:rFonts w:ascii="Arial" w:hAnsi="Arial" w:eastAsia="Arial"/>
          <w:color w:val="1F2937"/>
          <w:sz w:val="19"/>
        </w:rPr>
        <w:t xml:space="preserve"> - Adult 72-hour detention authority, statutory criteria, and designated roles.</w:t>
      </w:r>
    </w:p>
    <w:p>
      <w:pPr>
        <w:spacing w:after="40"/>
      </w:pPr>
      <w:r>
        <w:rPr>
          <w:rFonts w:ascii="Arial" w:hAnsi="Arial" w:eastAsia="Arial"/>
          <w:b/>
          <w:color w:val="17365D"/>
          <w:sz w:val="19"/>
        </w:rPr>
        <w:t xml:space="preserve">California Welfare and Institutions Code § 5585.50: </w:t>
      </w:r>
      <w:hyperlink r:id="rId19">
        <w:r>
          <w:rPr>
            <w:rFonts w:ascii="Arial" w:hAnsi="Arial"/>
            <w:color w:val="159C9C"/>
            <w:u w:val="single"/>
          </w:rPr>
          <w:t>Open official source</w:t>
        </w:r>
      </w:hyperlink>
      <w:r>
        <w:rPr>
          <w:rFonts w:ascii="Arial" w:hAnsi="Arial" w:eastAsia="Arial"/>
          <w:color w:val="1F2937"/>
          <w:sz w:val="19"/>
        </w:rPr>
        <w:t xml:space="preserve"> - Specified 72-hour evaluation and treatment authority for minors.</w:t>
      </w:r>
    </w:p>
    <w:p>
      <w:pPr>
        <w:spacing w:after="40"/>
      </w:pPr>
      <w:r>
        <w:rPr>
          <w:rFonts w:ascii="Arial" w:hAnsi="Arial" w:eastAsia="Arial"/>
          <w:b/>
          <w:color w:val="17365D"/>
          <w:sz w:val="19"/>
        </w:rPr>
        <w:t xml:space="preserve">SAMHSA National Behavioral Health Crisis Care Guidance: </w:t>
      </w:r>
      <w:hyperlink r:id="rId20">
        <w:r>
          <w:rPr>
            <w:rFonts w:ascii="Arial" w:hAnsi="Arial"/>
            <w:color w:val="159C9C"/>
            <w:u w:val="single"/>
          </w:rPr>
          <w:t>Open official source</w:t>
        </w:r>
      </w:hyperlink>
      <w:r>
        <w:rPr>
          <w:rFonts w:ascii="Arial" w:hAnsi="Arial" w:eastAsia="Arial"/>
          <w:color w:val="1F2937"/>
          <w:sz w:val="19"/>
        </w:rPr>
        <w:t xml:space="preserve"> - 2025 crisis-system framework: someone to contact, someone to respond, and a safe place for help.</w:t>
      </w:r>
    </w:p>
    <w:p>
      <w:pPr>
        <w:spacing w:after="40"/>
      </w:pPr>
      <w:r>
        <w:rPr>
          <w:rFonts w:ascii="Arial" w:hAnsi="Arial" w:eastAsia="Arial"/>
          <w:b/>
          <w:color w:val="17365D"/>
          <w:sz w:val="19"/>
        </w:rPr>
        <w:t xml:space="preserve">988 Suicide &amp; Crisis Lifeline: </w:t>
      </w:r>
      <w:hyperlink r:id="rId21">
        <w:r>
          <w:rPr>
            <w:rFonts w:ascii="Arial" w:hAnsi="Arial"/>
            <w:color w:val="159C9C"/>
            <w:u w:val="single"/>
          </w:rPr>
          <w:t>Open official source</w:t>
        </w:r>
      </w:hyperlink>
      <w:r>
        <w:rPr>
          <w:rFonts w:ascii="Arial" w:hAnsi="Arial" w:eastAsia="Arial"/>
          <w:color w:val="1F2937"/>
          <w:sz w:val="19"/>
        </w:rPr>
        <w:t xml:space="preserve"> - 24/7 call, text, and chat crisis support in the United States and territories.</w:t>
      </w:r>
    </w:p>
    <w:p>
      <w:pPr>
        <w:spacing w:after="40"/>
      </w:pPr>
      <w:r>
        <w:rPr>
          <w:rFonts w:ascii="Arial" w:hAnsi="Arial" w:eastAsia="Arial"/>
          <w:b/>
          <w:color w:val="17365D"/>
          <w:sz w:val="19"/>
        </w:rPr>
        <w:t xml:space="preserve">NIMH Ask Suicide-Screening Questions Toolkit: </w:t>
      </w:r>
      <w:hyperlink r:id="rId22">
        <w:r>
          <w:rPr>
            <w:rFonts w:ascii="Arial" w:hAnsi="Arial"/>
            <w:color w:val="159C9C"/>
            <w:u w:val="single"/>
          </w:rPr>
          <w:t>Open official source</w:t>
        </w:r>
      </w:hyperlink>
      <w:r>
        <w:rPr>
          <w:rFonts w:ascii="Arial" w:hAnsi="Arial" w:eastAsia="Arial"/>
          <w:color w:val="1F2937"/>
          <w:sz w:val="19"/>
        </w:rPr>
        <w:t xml:space="preserve"> - Validated brief screening resources and pathways from positive screen to further assessment and disposition.</w:t>
      </w:r>
    </w:p>
    <w:p>
      <w:pPr>
        <w:spacing w:after="40"/>
      </w:pPr>
      <w:r>
        <w:rPr>
          <w:rFonts w:ascii="Arial" w:hAnsi="Arial" w:eastAsia="Arial"/>
          <w:b/>
          <w:color w:val="17365D"/>
          <w:sz w:val="19"/>
        </w:rPr>
        <w:t xml:space="preserve">Columbia Lighthouse Project C-SSRS Resources: </w:t>
      </w:r>
      <w:hyperlink r:id="rId23">
        <w:r>
          <w:rPr>
            <w:rFonts w:ascii="Arial" w:hAnsi="Arial"/>
            <w:color w:val="159C9C"/>
            <w:u w:val="single"/>
          </w:rPr>
          <w:t>Open official source</w:t>
        </w:r>
      </w:hyperlink>
      <w:r>
        <w:rPr>
          <w:rFonts w:ascii="Arial" w:hAnsi="Arial" w:eastAsia="Arial"/>
          <w:color w:val="1F2937"/>
          <w:sz w:val="19"/>
        </w:rPr>
        <w:t xml:space="preserve"> - Suicidal ideation and behavior screening/assessment resources; use according to current tool guidance and training.</w:t>
      </w:r>
    </w:p>
    <w:p>
      <w:pPr>
        <w:spacing w:after="40"/>
      </w:pPr>
      <w:r>
        <w:rPr>
          <w:rFonts w:ascii="Arial" w:hAnsi="Arial" w:eastAsia="Arial"/>
          <w:b/>
          <w:color w:val="17365D"/>
          <w:sz w:val="19"/>
        </w:rPr>
        <w:t xml:space="preserve">VA Safety Planning Information: </w:t>
      </w:r>
      <w:hyperlink r:id="rId24">
        <w:r>
          <w:rPr>
            <w:rFonts w:ascii="Arial" w:hAnsi="Arial"/>
            <w:color w:val="159C9C"/>
            <w:u w:val="single"/>
          </w:rPr>
          <w:t>Open official source</w:t>
        </w:r>
      </w:hyperlink>
      <w:r>
        <w:rPr>
          <w:rFonts w:ascii="Arial" w:hAnsi="Arial" w:eastAsia="Arial"/>
          <w:color w:val="1F2937"/>
          <w:sz w:val="19"/>
        </w:rPr>
        <w:t xml:space="preserve"> - Collaborative safety planning and prioritized coping/support actions.</w:t>
      </w:r>
    </w:p>
    <w:tbl>
      <w:tblPr>
        <w:tblW w:type="auto" w:w="0"/>
        <w:jc w:val="center"/>
        <w:tblLook w:firstColumn="1" w:firstRow="1" w:lastColumn="0" w:lastRow="0" w:noHBand="0" w:noVBand="1" w:val="04A0"/>
      </w:tblPr>
      <w:tblGrid>
        <w:gridCol w:w="10310"/>
      </w:tblGrid>
      <w:tr>
        <w:trPr>
          <w:cantSplit/>
        </w:trPr>
        <w:tc>
          <w:tcPr>
            <w:tcW w:type="dxa" w:w="10310"/>
            <w:shd w:fill="EAF0F7"/>
            <w:tcBorders>
              <w:top w:val="single" w:sz="10" w:color="17365D"/>
              <w:left w:val="single" w:sz="10" w:color="17365D"/>
              <w:bottom w:val="single" w:sz="10" w:color="17365D"/>
              <w:right w:val="single" w:sz="10" w:color="17365D"/>
            </w:tcBorders>
            <w:tcMar>
              <w:top w:w="110" w:type="dxa"/>
              <w:start w:w="140" w:type="dxa"/>
              <w:bottom w:w="110" w:type="dxa"/>
              <w:end w:w="140" w:type="dxa"/>
            </w:tcMar>
          </w:tcPr>
          <w:p>
            <w:pPr>
              <w:spacing w:after="60"/>
            </w:pPr>
            <w:r>
              <w:rPr>
                <w:rFonts w:ascii="Arial" w:hAnsi="Arial" w:eastAsia="Arial"/>
                <w:b/>
                <w:color w:val="17365D"/>
                <w:sz w:val="21"/>
              </w:rPr>
              <w:t>NEXT WORKBOOK</w:t>
            </w:r>
          </w:p>
          <w:p>
            <w:pPr>
              <w:spacing w:after="20" w:line="250" w:lineRule="auto"/>
            </w:pPr>
            <w:r>
              <w:rPr>
                <w:rFonts w:ascii="Arial" w:hAnsi="Arial" w:eastAsia="Arial"/>
                <w:color w:val="1F2937"/>
                <w:sz w:val="20"/>
              </w:rPr>
              <w:t>Workbook 5 - Diagnosis and Differential Diagnosis I: Mood, Anxiety, Trauma, OCD, and Psychotic Disorders</w:t>
            </w:r>
          </w:p>
        </w:tc>
      </w:tr>
    </w:tbl>
    <w:p>
      <w:pPr>
        <w:spacing w:after="0"/>
      </w:pPr>
    </w:p>
    <w:sectPr w:rsidR="00FC693F" w:rsidRPr="0006063C" w:rsidSect="00034616">
      <w:headerReference w:type="default" r:id="rId9"/>
      <w:footerReference w:type="default" r:id="rId10"/>
      <w:headerReference w:type="first" r:id="rId2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4E5B6B"/>
        <w:sz w:val="17"/>
      </w:rPr>
      <w:t xml:space="preserve">Clinical Training Academy - LPCC Student Workbook v1.0  |  Page </w:t>
    </w:r>
    <w:r>
      <w:rPr>
        <w:rFonts w:ascii="Arial" w:hAnsi="Arial" w:eastAsia="Arial"/>
        <w:color w:val="4E5B6B"/>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spacing w:after="0"/>
            <w:jc w:val="right"/>
          </w:pPr>
          <w:r>
            <w:rPr>
              <w:rFonts w:ascii="Arial" w:hAnsi="Arial" w:eastAsia="Arial"/>
              <w:b/>
              <w:color w:val="17365D"/>
              <w:sz w:val="16"/>
            </w:rPr>
            <w:t>CTA LPCC Workbook 4 - Crisis, Trauma, Abuse, Violence, and Level of Care</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www.bbs.ca.gov/exams/lpcc.html" TargetMode="External"/><Relationship Id="rId13" Type="http://schemas.openxmlformats.org/officeDocument/2006/relationships/hyperlink" Target="https://www.nbcc.org/assets/exam/ncmhce_content_outline.pdf" TargetMode="External"/><Relationship Id="rId14" Type="http://schemas.openxmlformats.org/officeDocument/2006/relationships/hyperlink" Target="https://www.nbcc.org/assets/exam/NCMHCE_exam_spec_2027.pdf" TargetMode="External"/><Relationship Id="rId15" Type="http://schemas.openxmlformats.org/officeDocument/2006/relationships/hyperlink" Target="https://leginfo.legislature.ca.gov/faces/codes_displaySection.xhtml?lawCode=CIV&amp;sectionNum=43.92" TargetMode="External"/><Relationship Id="rId16" Type="http://schemas.openxmlformats.org/officeDocument/2006/relationships/hyperlink" Target="https://leginfo.legislature.ca.gov/faces/codes_displaySection.xhtml?lawCode=PEN&amp;sectionNum=11166" TargetMode="External"/><Relationship Id="rId17" Type="http://schemas.openxmlformats.org/officeDocument/2006/relationships/hyperlink" Target="https://leginfo.legislature.ca.gov/faces/codes_displaySection.xhtml?lawCode=WIC&amp;sectionNum=15630" TargetMode="External"/><Relationship Id="rId18" Type="http://schemas.openxmlformats.org/officeDocument/2006/relationships/hyperlink" Target="https://leginfo.legislature.ca.gov/faces/codes_displaySection.xhtml?lawCode=WIC&amp;sectionNum=5150" TargetMode="External"/><Relationship Id="rId19" Type="http://schemas.openxmlformats.org/officeDocument/2006/relationships/hyperlink" Target="https://leginfo.legislature.ca.gov/faces/codes_displaySection.xhtml?lawCode=WIC&amp;sectionNum=5585.50." TargetMode="External"/><Relationship Id="rId20" Type="http://schemas.openxmlformats.org/officeDocument/2006/relationships/hyperlink" Target="https://www.samhsa.gov/mental-health/national-behavioral-health-crisis-care" TargetMode="External"/><Relationship Id="rId21" Type="http://schemas.openxmlformats.org/officeDocument/2006/relationships/hyperlink" Target="https://988lifeline.org/" TargetMode="External"/><Relationship Id="rId22" Type="http://schemas.openxmlformats.org/officeDocument/2006/relationships/hyperlink" Target="https://www.nimh.nih.gov/research/research-conducted-at-nimh/asq-toolkit-materials" TargetMode="External"/><Relationship Id="rId23" Type="http://schemas.openxmlformats.org/officeDocument/2006/relationships/hyperlink" Target="https://cssrs.columbia.edu/" TargetMode="External"/><Relationship Id="rId24" Type="http://schemas.openxmlformats.org/officeDocument/2006/relationships/hyperlink" Target="https://www.mentalhealth.va.gov/get-help/treatment/ebt.asp" TargetMode="External"/><Relationship Id="rId25"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4: Crisis, Trauma, Abuse, Violence, and Level-of-Care Decisions</dc:title>
  <dc:subject>California LPCC NCMHCE examination preparation</dc:subject>
  <dc:creator>Clinical Training Academy</dc:creator>
  <cp:keywords>LPCC, NCMHCE, crisis, suicide, violence, abuse, trauma, safety planning, level of care, 5150</cp:keywords>
  <dc:description>generated by python-docx</dc:description>
  <cp:lastModifiedBy/>
  <cp:revision>1</cp:revision>
  <dcterms:created xsi:type="dcterms:W3CDTF">2013-12-23T23:15:00Z</dcterms:created>
  <dcterms:modified xsi:type="dcterms:W3CDTF">2013-12-23T23:15:00Z</dcterms:modified>
  <cp:category/>
</cp:coreProperties>
</file>