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40"/>
        <w:jc w:val="center"/>
      </w:pPr>
      <w:r>
        <w:rPr>
          <w:rFonts w:ascii="Arial" w:hAnsi="Arial" w:eastAsia="Arial"/>
        </w:rPr>
        <w:drawing>
          <wp:inline xmlns:a="http://schemas.openxmlformats.org/drawingml/2006/main" xmlns:pic="http://schemas.openxmlformats.org/drawingml/2006/picture">
            <wp:extent cx="1325880" cy="958408"/>
            <wp:docPr id="1" name="Picture 1" descr="Clinical Training and Supervision Academy logo" title="Clinical Training and Supervision Academy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25880" cy="958408"/>
                    </a:xfrm>
                    <a:prstGeom prst="rect"/>
                  </pic:spPr>
                </pic:pic>
              </a:graphicData>
            </a:graphic>
          </wp:inline>
        </w:drawing>
      </w:r>
    </w:p>
    <w:p>
      <w:pPr>
        <w:widowControl/>
        <w:spacing w:before="0" w:after="80"/>
        <w:jc w:val="center"/>
      </w:pPr>
      <w:r>
        <w:rPr>
          <w:rFonts w:ascii="Arial" w:hAnsi="Arial" w:eastAsia="Arial"/>
          <w:b/>
          <w:color w:val="159C9C"/>
          <w:sz w:val="17"/>
        </w:rPr>
        <w:t>LPCC NCMHCE EXAM PREPARATION PROGRAM</w:t>
      </w:r>
    </w:p>
    <w:p>
      <w:pPr>
        <w:widowControl/>
        <w:spacing w:before="0" w:after="80"/>
        <w:jc w:val="center"/>
      </w:pPr>
      <w:r>
        <w:rPr>
          <w:rFonts w:ascii="Arial" w:hAnsi="Arial" w:eastAsia="Arial"/>
          <w:b/>
          <w:color w:val="17365D"/>
          <w:sz w:val="22"/>
        </w:rPr>
        <w:t>Student Workbook</w:t>
      </w:r>
    </w:p>
    <w:p>
      <w:pPr>
        <w:widowControl/>
        <w:spacing w:before="0" w:after="40"/>
        <w:jc w:val="center"/>
      </w:pPr>
      <w:r>
        <w:rPr>
          <w:rFonts w:ascii="Arial" w:hAnsi="Arial" w:eastAsia="Arial"/>
          <w:b/>
          <w:color w:val="17365D"/>
          <w:sz w:val="34"/>
        </w:rPr>
        <w:t>CTA LPCC Workbook 7</w:t>
      </w:r>
    </w:p>
    <w:p>
      <w:pPr>
        <w:widowControl/>
        <w:spacing w:before="0" w:after="100"/>
        <w:jc w:val="center"/>
      </w:pPr>
      <w:r>
        <w:rPr>
          <w:rFonts w:ascii="Arial" w:hAnsi="Arial" w:eastAsia="Arial"/>
          <w:b/>
          <w:color w:val="159C9C"/>
          <w:sz w:val="24"/>
        </w:rPr>
        <w:t>Case Conceptualization, Treatment Planning, Measurement, Progress, and Termination</w:t>
      </w:r>
    </w:p>
    <w:p>
      <w:pPr>
        <w:widowControl/>
        <w:spacing w:before="0" w:after="100"/>
        <w:jc w:val="center"/>
      </w:pPr>
      <w:r>
        <w:rPr>
          <w:rFonts w:ascii="Arial" w:hAnsi="Arial" w:eastAsia="Arial"/>
          <w:i/>
          <w:color w:val="4B5563"/>
          <w:sz w:val="19"/>
        </w:rPr>
        <w:t>How to turn assessment data into a focused, collaborative, measurable, and revisable course of care</w:t>
      </w:r>
    </w:p>
    <w:p>
      <w:pPr>
        <w:widowControl/>
        <w:spacing w:before="0" w:after="140"/>
        <w:jc w:val="center"/>
      </w:pPr>
      <w:r>
        <w:rPr>
          <w:rFonts w:ascii="Arial" w:hAnsi="Arial" w:eastAsia="Arial"/>
          <w:color w:val="4B5563"/>
          <w:sz w:val="17"/>
        </w:rPr>
        <w:t>Version 1.0 - July 2026</w:t>
      </w:r>
    </w:p>
    <w:tbl>
      <w:tblPr>
        <w:tblW w:type="auto" w:w="0"/>
        <w:jc w:val="center"/>
        <w:tblLayout w:type="autofit"/>
        <w:tblLook w:firstColumn="1" w:firstRow="1" w:lastColumn="0" w:lastRow="0" w:noHBand="0" w:noVBand="1" w:val="04A0"/>
      </w:tblPr>
      <w:tblGrid>
        <w:gridCol w:w="10282"/>
      </w:tblGrid>
      <w:tr>
        <w:trPr/>
        <w:tc>
          <w:tcPr>
            <w:tcW w:type="dxa" w:w="10282"/>
            <w:shd w:fill="EEF3F8"/>
            <w:tcBorders>
              <w:top w:sz="9" w:val="single" w:color="17365D"/>
              <w:left w:sz="9" w:val="single" w:color="17365D"/>
              <w:bottom w:sz="9" w:val="single" w:color="17365D"/>
              <w:right w:sz="9" w:val="single" w:color="17365D"/>
            </w:tcBorders>
            <w:tcMar>
              <w:top w:w="80" w:type="dxa"/>
              <w:start w:w="120" w:type="dxa"/>
              <w:bottom w:w="80" w:type="dxa"/>
              <w:end w:w="120" w:type="dxa"/>
            </w:tcMar>
          </w:tcPr>
          <w:p>
            <w:pPr>
              <w:widowControl/>
              <w:spacing w:after="40"/>
            </w:pPr>
            <w:r>
              <w:rPr>
                <w:rFonts w:ascii="Arial" w:hAnsi="Arial" w:eastAsia="Arial"/>
                <w:b/>
                <w:color w:val="17365D"/>
                <w:sz w:val="17"/>
              </w:rPr>
              <w:t>STUDENT-FACING EXAM PREPARATION MATERIAL</w:t>
            </w:r>
          </w:p>
          <w:p>
            <w:pPr>
              <w:widowControl/>
              <w:spacing w:after="0"/>
            </w:pPr>
            <w:r>
              <w:rPr>
                <w:rFonts w:ascii="Arial" w:hAnsi="Arial" w:eastAsia="Arial"/>
                <w:color w:val="1F2937"/>
                <w:sz w:val="16"/>
              </w:rPr>
              <w:t>All teaching cases, worksheets, and practice questions are original CTA materials created for examination preparation. They do not reproduce secure NCMHCE items.</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CLINICAL PLANNING NOTICE</w:t>
            </w:r>
          </w:p>
          <w:p>
            <w:pPr>
              <w:widowControl/>
              <w:spacing w:after="0"/>
            </w:pPr>
            <w:r>
              <w:rPr>
                <w:rFonts w:ascii="Arial" w:hAnsi="Arial" w:eastAsia="Arial"/>
                <w:color w:val="1F2937"/>
                <w:sz w:val="16"/>
              </w:rPr>
              <w:t>This workbook teaches examination reasoning and general treatment-planning principles. It does not replace current clinical standards, supervision, consultation, agency policy, payer requirements, or individualized professional judgment.</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FFF8DF"/>
            <w:tcBorders>
              <w:top w:sz="9" w:val="single" w:color="E7C66A"/>
              <w:left w:sz="9" w:val="single" w:color="E7C66A"/>
              <w:bottom w:sz="9" w:val="single" w:color="E7C66A"/>
              <w:right w:sz="9" w:val="single" w:color="E7C66A"/>
            </w:tcBorders>
            <w:tcMar>
              <w:top w:w="80" w:type="dxa"/>
              <w:start w:w="120" w:type="dxa"/>
              <w:bottom w:w="80" w:type="dxa"/>
              <w:end w:w="120" w:type="dxa"/>
            </w:tcMar>
          </w:tcPr>
          <w:p>
            <w:pPr>
              <w:widowControl/>
              <w:spacing w:after="40"/>
            </w:pPr>
            <w:r>
              <w:rPr>
                <w:rFonts w:ascii="Arial" w:hAnsi="Arial" w:eastAsia="Arial"/>
                <w:b/>
                <w:color w:val="17365D"/>
                <w:sz w:val="17"/>
              </w:rPr>
              <w:t>NO CONTINUING-EDUCATION CREDIT</w:t>
            </w:r>
          </w:p>
          <w:p>
            <w:pPr>
              <w:widowControl/>
              <w:spacing w:after="0"/>
            </w:pPr>
            <w:r>
              <w:rPr>
                <w:rFonts w:ascii="Arial" w:hAnsi="Arial" w:eastAsia="Arial"/>
                <w:color w:val="1F2937"/>
                <w:sz w:val="16"/>
              </w:rPr>
              <w:t>This is an examination-preparation workbook. It does not award continuing-education credit and does not guarantee passage of any licensing examination.</w:t>
            </w:r>
          </w:p>
        </w:tc>
      </w:tr>
    </w:tbl>
    <w:p>
      <w:pPr>
        <w:widowControl/>
        <w:spacing w:after="0"/>
      </w:pPr>
    </w:p>
    <w:p>
      <w:pPr>
        <w:widowControl/>
      </w:pPr>
      <w:r>
        <w:rPr>
          <w:rFonts w:ascii="Arial" w:hAnsi="Arial" w:eastAsia="Arial"/>
        </w:rPr>
        <w:br w:type="page"/>
      </w:r>
    </w:p>
    <w:p>
      <w:pPr>
        <w:pStyle w:val="Heading1"/>
        <w:keepNext/>
        <w:widowControl/>
        <w:spacing w:before="0" w:after="80"/>
      </w:pPr>
      <w:r>
        <w:rPr>
          <w:rFonts w:ascii="Arial" w:hAnsi="Arial" w:eastAsia="Arial"/>
        </w:rPr>
        <w:t>How to Use This Workbook</w:t>
      </w:r>
    </w:p>
    <w:p>
      <w:pPr>
        <w:widowControl/>
        <w:spacing w:before="0" w:after="80"/>
      </w:pPr>
      <w:r>
        <w:rPr>
          <w:rFonts w:ascii="Arial" w:hAnsi="Arial" w:eastAsia="Arial"/>
          <w:sz w:val="18"/>
        </w:rPr>
        <w:t>Workbook 7 is the bridge between assessment and intervention. A diagnosis may name a clinical pattern, but the treatment plan must explain what matters now, what the client wants to change, how progress will be observed, what could interfere, and when the plan should be revised. The NCMHCE often tests whether the counselor can move from a broad case picture to the next clinically appropriate planning decision.</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105" w:type="dxa"/>
              <w:start w:w="120" w:type="dxa"/>
              <w:bottom w:w="105" w:type="dxa"/>
              <w:end w:w="120" w:type="dxa"/>
            </w:tcMar>
          </w:tcPr>
          <w:p>
            <w:pPr>
              <w:widowControl/>
              <w:spacing w:after="40"/>
            </w:pPr>
            <w:r>
              <w:rPr>
                <w:rFonts w:ascii="Arial" w:hAnsi="Arial" w:eastAsia="Arial"/>
                <w:b/>
                <w:color w:val="17365D"/>
                <w:sz w:val="18"/>
              </w:rPr>
              <w:t>BIG IDEA</w:t>
            </w:r>
          </w:p>
          <w:p>
            <w:pPr>
              <w:widowControl/>
              <w:spacing w:after="0"/>
            </w:pPr>
            <w:r>
              <w:rPr>
                <w:rFonts w:ascii="Arial" w:hAnsi="Arial" w:eastAsia="Arial"/>
                <w:color w:val="1F2937"/>
                <w:sz w:val="18"/>
              </w:rPr>
              <w:t>A strong treatment plan is not a static list of therapist activities. It is a shared clinical map that connects the client’s priorities, assessment evidence, measurable change, intervention fit, and a clear review process.</w:t>
            </w:r>
          </w:p>
        </w:tc>
      </w:tr>
    </w:tbl>
    <w:p>
      <w:pPr>
        <w:widowControl/>
        <w:spacing w:after="0"/>
      </w:pPr>
    </w:p>
    <w:p>
      <w:pPr>
        <w:pStyle w:val="Heading2"/>
        <w:keepNext/>
        <w:widowControl/>
        <w:spacing w:before="0" w:after="80"/>
      </w:pPr>
      <w:r>
        <w:rPr>
          <w:rFonts w:ascii="Arial" w:hAnsi="Arial" w:eastAsia="Arial"/>
        </w:rPr>
        <w:t>Learning Objectives</w:t>
      </w:r>
    </w:p>
    <w:p>
      <w:pPr>
        <w:pStyle w:val="ListBullet"/>
        <w:keepLines/>
        <w:widowControl/>
        <w:spacing w:after="30"/>
      </w:pPr>
      <w:r>
        <w:rPr>
          <w:rFonts w:ascii="Arial" w:hAnsi="Arial" w:eastAsia="Arial"/>
          <w:color w:val="1F2937"/>
          <w:sz w:val="18"/>
        </w:rPr>
        <w:t>Develop a concise case conceptualization that integrates presenting concerns, functioning, safety, strengths, culture, context, maintaining factors, and evidence gaps without overclaiming certainty.</w:t>
      </w:r>
    </w:p>
    <w:p>
      <w:pPr>
        <w:pStyle w:val="ListBullet"/>
        <w:keepLines/>
        <w:widowControl/>
        <w:spacing w:after="30"/>
      </w:pPr>
      <w:r>
        <w:rPr>
          <w:rFonts w:ascii="Arial" w:hAnsi="Arial" w:eastAsia="Arial"/>
          <w:color w:val="1F2937"/>
          <w:sz w:val="18"/>
        </w:rPr>
        <w:t>Prioritize problems and collaboratively translate client language into meaningful goals and measurable objectives.</w:t>
      </w:r>
    </w:p>
    <w:p>
      <w:pPr>
        <w:pStyle w:val="ListBullet"/>
        <w:keepLines/>
        <w:widowControl/>
        <w:spacing w:after="30"/>
      </w:pPr>
      <w:r>
        <w:rPr>
          <w:rFonts w:ascii="Arial" w:hAnsi="Arial" w:eastAsia="Arial"/>
          <w:color w:val="1F2937"/>
          <w:sz w:val="18"/>
        </w:rPr>
        <w:t>Design an initial treatment plan that connects assessment results, diagnosis, modality, interventions, frequency, referrals, contraindications, and client preferences.</w:t>
      </w:r>
    </w:p>
    <w:p>
      <w:pPr>
        <w:pStyle w:val="ListBullet"/>
        <w:keepLines/>
        <w:widowControl/>
        <w:spacing w:after="30"/>
      </w:pPr>
      <w:r>
        <w:rPr>
          <w:rFonts w:ascii="Arial" w:hAnsi="Arial" w:eastAsia="Arial"/>
          <w:color w:val="1F2937"/>
          <w:sz w:val="18"/>
        </w:rPr>
        <w:t>Use baseline and repeated outcome information to review progress, identify nonresponse, and revise the plan collaboratively.</w:t>
      </w:r>
    </w:p>
    <w:p>
      <w:pPr>
        <w:pStyle w:val="ListBullet"/>
        <w:keepLines/>
        <w:widowControl/>
        <w:spacing w:after="30"/>
      </w:pPr>
      <w:r>
        <w:rPr>
          <w:rFonts w:ascii="Arial" w:hAnsi="Arial" w:eastAsia="Arial"/>
          <w:color w:val="1F2937"/>
          <w:sz w:val="18"/>
        </w:rPr>
        <w:t>Prepare relapse-prevention, termination, discharge, aftercare, and continuity plans that support gains and reduce abandonment risk.</w:t>
      </w:r>
    </w:p>
    <w:p>
      <w:pPr>
        <w:pStyle w:val="Heading2"/>
        <w:keepNext/>
        <w:widowControl/>
        <w:spacing w:before="0" w:after="80"/>
      </w:pPr>
      <w:r>
        <w:rPr>
          <w:rFonts w:ascii="Arial" w:hAnsi="Arial" w:eastAsia="Arial"/>
        </w:rPr>
        <w:t>Why This Topic Matters</w:t>
      </w:r>
    </w:p>
    <w:p>
      <w:pPr>
        <w:widowControl/>
        <w:spacing w:before="0" w:after="60"/>
      </w:pPr>
      <w:r>
        <w:rPr>
          <w:rFonts w:ascii="Arial" w:hAnsi="Arial" w:eastAsia="Arial"/>
          <w:sz w:val="18"/>
        </w:rPr>
        <w:t>Many exam distractors are clinically reasonable but poorly sequenced. A counselor may choose a sound intervention before identifying the client’s priority, write a vague goal that cannot be evaluated, interpret one symptom score as the whole case, or continue an ineffective plan without reassessing barriers. This workbook teaches the planning sequence that keeps care collaborative, measurable, culturally responsive, and open to revision.</w:t>
      </w:r>
    </w:p>
    <w:tbl>
      <w:tblPr>
        <w:tblW w:type="auto" w:w="0"/>
        <w:jc w:val="center"/>
        <w:tblLayout w:type="autofit"/>
        <w:tblLook w:firstColumn="1" w:firstRow="1" w:lastColumn="0" w:lastRow="0" w:noHBand="0" w:noVBand="1" w:val="04A0"/>
      </w:tblPr>
      <w:tblGrid>
        <w:gridCol w:w="10282"/>
      </w:tblGrid>
      <w:tr>
        <w:trPr/>
        <w:tc>
          <w:tcPr>
            <w:tcW w:type="dxa" w:w="10282"/>
            <w:shd w:fill="EEF3F8"/>
            <w:tcBorders>
              <w:top w:sz="9" w:val="single" w:color="17365D"/>
              <w:left w:sz="9" w:val="single" w:color="17365D"/>
              <w:bottom w:sz="9" w:val="single" w:color="17365D"/>
              <w:right w:sz="9" w:val="single" w:color="17365D"/>
            </w:tcBorders>
            <w:tcMar>
              <w:top w:w="80" w:type="dxa"/>
              <w:start w:w="120" w:type="dxa"/>
              <w:bottom w:w="80" w:type="dxa"/>
              <w:end w:w="120" w:type="dxa"/>
            </w:tcMar>
          </w:tcPr>
          <w:p>
            <w:pPr>
              <w:widowControl/>
              <w:spacing w:after="40"/>
            </w:pPr>
            <w:r>
              <w:rPr>
                <w:rFonts w:ascii="Arial" w:hAnsi="Arial" w:eastAsia="Arial"/>
                <w:b/>
                <w:color w:val="17365D"/>
                <w:sz w:val="17"/>
              </w:rPr>
              <w:t>BLUEPRINT ALIGNMENT</w:t>
            </w:r>
          </w:p>
          <w:p>
            <w:pPr>
              <w:widowControl/>
              <w:spacing w:after="0"/>
            </w:pPr>
            <w:r>
              <w:rPr>
                <w:rFonts w:ascii="Arial" w:hAnsi="Arial" w:eastAsia="Arial"/>
                <w:color w:val="1F2937"/>
                <w:sz w:val="16"/>
              </w:rPr>
              <w:t>This workbook is the primary CTA placement for the current NCMHCE Treatment Planning domain. It also prepares for the July 1, 2027 Treatment Planning and Continuity of Care domain, including SMART goals, initial plans, integration of assessment and culture, plan revision, progress review, aftercare, discharge, relapse prevention, and termination criteria.</w:t>
            </w:r>
          </w:p>
        </w:tc>
      </w:tr>
    </w:tbl>
    <w:p>
      <w:pPr>
        <w:widowControl/>
        <w:spacing w:after="0"/>
      </w:pPr>
    </w:p>
    <w:p>
      <w:pPr>
        <w:pStyle w:val="Heading2"/>
        <w:keepNext/>
        <w:widowControl/>
        <w:spacing w:before="0" w:after="80"/>
      </w:pPr>
      <w:r>
        <w:rPr>
          <w:rFonts w:ascii="Arial" w:hAnsi="Arial" w:eastAsia="Arial"/>
        </w:rPr>
        <w:t>Workbook Roadmap</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93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Chapter</w:t>
            </w:r>
          </w:p>
        </w:tc>
        <w:tc>
          <w:tcPr>
            <w:tcW w:type="dxa" w:w="640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Focus</w:t>
            </w:r>
          </w:p>
        </w:tc>
        <w:tc>
          <w:tcPr>
            <w:tcW w:type="dxa" w:w="223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Primary Tool</w:t>
            </w:r>
          </w:p>
        </w:tc>
      </w:tr>
      <w:tr>
        <w:trPr/>
        <w:tc>
          <w:tcPr>
            <w:tcW w:type="dxa" w:w="9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1</w:t>
            </w:r>
          </w:p>
        </w:tc>
        <w:tc>
          <w:tcPr>
            <w:tcW w:type="dxa" w:w="640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Case conceptualization and problem prioritization</w:t>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FRAME Conceptualization Grid</w:t>
            </w:r>
          </w:p>
        </w:tc>
      </w:tr>
      <w:tr>
        <w:trPr/>
        <w:tc>
          <w:tcPr>
            <w:tcW w:type="dxa" w:w="9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2</w:t>
            </w:r>
          </w:p>
        </w:tc>
        <w:tc>
          <w:tcPr>
            <w:tcW w:type="dxa" w:w="640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Collaborative goals and objectives</w:t>
            </w:r>
          </w:p>
        </w:tc>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SMARTER Goal Builder</w:t>
            </w:r>
          </w:p>
        </w:tc>
      </w:tr>
      <w:tr>
        <w:trPr/>
        <w:tc>
          <w:tcPr>
            <w:tcW w:type="dxa" w:w="9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3</w:t>
            </w:r>
          </w:p>
        </w:tc>
        <w:tc>
          <w:tcPr>
            <w:tcW w:type="dxa" w:w="640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Treatment plan design, modality, and contraindications</w:t>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MATCH Treatment Plan</w:t>
            </w:r>
          </w:p>
        </w:tc>
      </w:tr>
      <w:tr>
        <w:trPr/>
        <w:tc>
          <w:tcPr>
            <w:tcW w:type="dxa" w:w="9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4</w:t>
            </w:r>
          </w:p>
        </w:tc>
        <w:tc>
          <w:tcPr>
            <w:tcW w:type="dxa" w:w="640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Measurement, progress review, and plan revision</w:t>
            </w:r>
          </w:p>
        </w:tc>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MEASURE Progress Review</w:t>
            </w:r>
          </w:p>
        </w:tc>
      </w:tr>
      <w:tr>
        <w:trPr/>
        <w:tc>
          <w:tcPr>
            <w:tcW w:type="dxa" w:w="9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5</w:t>
            </w:r>
          </w:p>
        </w:tc>
        <w:tc>
          <w:tcPr>
            <w:tcW w:type="dxa" w:w="640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Relapse prevention, termination, discharge, and continuity</w:t>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BRIDGE Continuity Plan</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FFF8DF"/>
            <w:tcBorders>
              <w:top w:sz="9" w:val="single" w:color="E7C66A"/>
              <w:left w:sz="9" w:val="single" w:color="E7C66A"/>
              <w:bottom w:sz="9" w:val="single" w:color="E7C66A"/>
              <w:right w:sz="9" w:val="single" w:color="E7C66A"/>
            </w:tcBorders>
            <w:tcMar>
              <w:top w:w="80" w:type="dxa"/>
              <w:start w:w="120" w:type="dxa"/>
              <w:bottom w:w="80" w:type="dxa"/>
              <w:end w:w="120" w:type="dxa"/>
            </w:tcMar>
          </w:tcPr>
          <w:p>
            <w:pPr>
              <w:widowControl/>
              <w:spacing w:after="40"/>
            </w:pPr>
            <w:r>
              <w:rPr>
                <w:rFonts w:ascii="Arial" w:hAnsi="Arial" w:eastAsia="Arial"/>
                <w:b/>
                <w:color w:val="17365D"/>
                <w:sz w:val="17"/>
              </w:rPr>
              <w:t>CALIFORNIA SCOPE REMINDER</w:t>
            </w:r>
          </w:p>
          <w:p>
            <w:pPr>
              <w:widowControl/>
              <w:spacing w:after="0"/>
            </w:pPr>
            <w:r>
              <w:rPr>
                <w:rFonts w:ascii="Arial" w:hAnsi="Arial" w:eastAsia="Arial"/>
                <w:color w:val="1F2937"/>
                <w:sz w:val="16"/>
              </w:rPr>
              <w:t>California law includes counseling assessment for establishing goals and objectives within professional clinical counseling. LPCCs must refer when the client’s needs exceed their education, training, and experience. Treatment planning does not expand scope or competence.</w:t>
            </w:r>
          </w:p>
        </w:tc>
      </w:tr>
    </w:tbl>
    <w:p>
      <w:pPr>
        <w:widowControl/>
        <w:spacing w:after="0"/>
      </w:pPr>
    </w:p>
    <w:p>
      <w:pPr>
        <w:widowControl/>
      </w:pPr>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rPr/>
        <w:tc>
          <w:tcPr>
            <w:tcW w:type="dxa" w:w="936"/>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4"/>
              </w:rPr>
              <w:t>1</w:t>
            </w:r>
          </w:p>
        </w:tc>
        <w:tc>
          <w:tcPr>
            <w:tcW w:type="dxa" w:w="9432"/>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1"/>
              </w:rPr>
              <w:t>Case Conceptualization and Problem Prioritization</w:t>
            </w:r>
          </w:p>
        </w:tc>
      </w:tr>
    </w:tbl>
    <w:p>
      <w:pPr>
        <w:widowControl/>
        <w:spacing w:after="0"/>
      </w:pPr>
    </w:p>
    <w:p>
      <w:pPr>
        <w:widowControl/>
        <w:spacing w:before="0" w:after="80"/>
      </w:pPr>
      <w:r>
        <w:rPr>
          <w:rFonts w:ascii="Arial" w:hAnsi="Arial" w:eastAsia="Arial"/>
          <w:i/>
          <w:color w:val="4B5563"/>
          <w:sz w:val="18"/>
        </w:rPr>
        <w:t>Conceptualization organizes the case. Prioritization decides where treatment begins.</w:t>
      </w:r>
    </w:p>
    <w:p>
      <w:pPr>
        <w:pStyle w:val="Heading2"/>
        <w:keepNext/>
        <w:widowControl/>
        <w:spacing w:before="0" w:after="80"/>
      </w:pPr>
      <w:r>
        <w:rPr>
          <w:rFonts w:ascii="Arial" w:hAnsi="Arial" w:eastAsia="Arial"/>
        </w:rPr>
        <w:t>Diagnosis, Conceptualization, and Treatment Plan Are Different</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Clinical Product</w:t>
            </w:r>
          </w:p>
        </w:tc>
        <w:tc>
          <w:tcPr>
            <w:tcW w:type="dxa" w:w="496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Primary Question</w:t>
            </w:r>
          </w:p>
        </w:tc>
        <w:tc>
          <w:tcPr>
            <w:tcW w:type="dxa" w:w="273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Common Exam Error</w:t>
            </w:r>
          </w:p>
        </w:tc>
      </w:tr>
      <w:tr>
        <w:trPr/>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Diagnosis</w:t>
            </w:r>
          </w:p>
        </w:tc>
        <w:tc>
          <w:tcPr>
            <w:tcW w:type="dxa" w:w="496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recognized clinical pattern best fits the evidence?</w:t>
            </w:r>
          </w:p>
        </w:tc>
        <w:tc>
          <w:tcPr>
            <w:tcW w:type="dxa" w:w="27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Treating the diagnosis as a complete explanation of the person.</w:t>
            </w:r>
          </w:p>
        </w:tc>
      </w:tr>
      <w:tr>
        <w:trPr/>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Case conceptualization</w:t>
            </w:r>
          </w:p>
        </w:tc>
        <w:tc>
          <w:tcPr>
            <w:tcW w:type="dxa" w:w="496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How do symptoms, context, strengths, risks, history, meaning, and maintaining factors fit together?</w:t>
            </w:r>
          </w:p>
        </w:tc>
        <w:tc>
          <w:tcPr>
            <w:tcW w:type="dxa" w:w="27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Adding unsupported causes or ignoring culture and function.</w:t>
            </w:r>
          </w:p>
        </w:tc>
      </w:tr>
      <w:tr>
        <w:trPr/>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Treatment plan</w:t>
            </w:r>
          </w:p>
        </w:tc>
        <w:tc>
          <w:tcPr>
            <w:tcW w:type="dxa" w:w="496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will the client and counselor do next, how will change be measured, and when will the plan be reviewed?</w:t>
            </w:r>
          </w:p>
        </w:tc>
        <w:tc>
          <w:tcPr>
            <w:tcW w:type="dxa" w:w="27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Listing interventions without goals, measures, or client agreement.</w:t>
            </w:r>
          </w:p>
        </w:tc>
      </w:tr>
    </w:tbl>
    <w:p>
      <w:pPr>
        <w:widowControl/>
        <w:spacing w:after="0"/>
      </w:pPr>
    </w:p>
    <w:p>
      <w:pPr>
        <w:pStyle w:val="Heading2"/>
        <w:keepNext/>
        <w:widowControl/>
        <w:spacing w:before="0" w:after="80"/>
      </w:pPr>
      <w:r>
        <w:rPr>
          <w:rFonts w:ascii="Arial" w:hAnsi="Arial" w:eastAsia="Arial"/>
        </w:rPr>
        <w:t>The FRAME Conceptualization Grid</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1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Step</w:t>
            </w:r>
          </w:p>
        </w:tc>
        <w:tc>
          <w:tcPr>
            <w:tcW w:type="dxa" w:w="439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Counselor Task</w:t>
            </w:r>
          </w:p>
        </w:tc>
        <w:tc>
          <w:tcPr>
            <w:tcW w:type="dxa" w:w="338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Key Questions</w:t>
            </w:r>
          </w:p>
        </w:tc>
      </w:tr>
      <w:tr>
        <w:trPr/>
        <w:tc>
          <w:tcPr>
            <w:tcW w:type="dxa" w:w="20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F - Facts and functioning</w:t>
            </w:r>
          </w:p>
        </w:tc>
        <w:tc>
          <w:tcPr>
            <w:tcW w:type="dxa" w:w="43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Separate observed or reported facts from interpretations. Describe symptoms, duration, roles, functioning, resources, and previous response.</w:t>
            </w:r>
          </w:p>
        </w:tc>
        <w:tc>
          <w:tcPr>
            <w:tcW w:type="dxa" w:w="33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is known? What changed? Where is impairment or resilience visible?</w:t>
            </w:r>
          </w:p>
        </w:tc>
      </w:tr>
      <w:tr>
        <w:trPr/>
        <w:tc>
          <w:tcPr>
            <w:tcW w:type="dxa" w:w="20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R - Risk and urgency</w:t>
            </w:r>
          </w:p>
        </w:tc>
        <w:tc>
          <w:tcPr>
            <w:tcW w:type="dxa" w:w="43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Identify suicide, violence, abuse, medical, withdrawal, psychosis, mania, housing, and level-of-care concerns.</w:t>
            </w:r>
          </w:p>
        </w:tc>
        <w:tc>
          <w:tcPr>
            <w:tcW w:type="dxa" w:w="338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cannot safely wait? What requires referral, consultation, or higher care?</w:t>
            </w:r>
          </w:p>
        </w:tc>
      </w:tr>
      <w:tr>
        <w:trPr/>
        <w:tc>
          <w:tcPr>
            <w:tcW w:type="dxa" w:w="20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A - Antecedents and maintaining factors</w:t>
            </w:r>
          </w:p>
        </w:tc>
        <w:tc>
          <w:tcPr>
            <w:tcW w:type="dxa" w:w="43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Identify triggers, avoidance, reinforcement, relationship patterns, sleep, substances, access barriers, beliefs, and environmental stressors.</w:t>
            </w:r>
          </w:p>
        </w:tc>
        <w:tc>
          <w:tcPr>
            <w:tcW w:type="dxa" w:w="33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appears to start or continue the problem? What evidence is still missing?</w:t>
            </w:r>
          </w:p>
        </w:tc>
      </w:tr>
      <w:tr>
        <w:trPr/>
        <w:tc>
          <w:tcPr>
            <w:tcW w:type="dxa" w:w="20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M - Meaning, strengths, and context</w:t>
            </w:r>
          </w:p>
        </w:tc>
        <w:tc>
          <w:tcPr>
            <w:tcW w:type="dxa" w:w="43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Include client explanation, goals, identity, culture, spirituality, language, disability, supports, values, and protective factors.</w:t>
            </w:r>
          </w:p>
        </w:tc>
        <w:tc>
          <w:tcPr>
            <w:tcW w:type="dxa" w:w="338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does the problem mean to the client? What assets can treatment build on?</w:t>
            </w:r>
          </w:p>
        </w:tc>
      </w:tr>
      <w:tr>
        <w:trPr/>
        <w:tc>
          <w:tcPr>
            <w:tcW w:type="dxa" w:w="20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E - Explanatory hypotheses</w:t>
            </w:r>
          </w:p>
        </w:tc>
        <w:tc>
          <w:tcPr>
            <w:tcW w:type="dxa" w:w="43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Create a concise, revisable working explanation that connects evidence to priorities.</w:t>
            </w:r>
          </w:p>
        </w:tc>
        <w:tc>
          <w:tcPr>
            <w:tcW w:type="dxa" w:w="33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Which explanation is best supported now? What would change the formulation?</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EXAM TIP</w:t>
            </w:r>
          </w:p>
          <w:p>
            <w:pPr>
              <w:widowControl/>
              <w:spacing w:after="0"/>
            </w:pPr>
            <w:r>
              <w:rPr>
                <w:rFonts w:ascii="Arial" w:hAnsi="Arial" w:eastAsia="Arial"/>
                <w:color w:val="1F2937"/>
                <w:sz w:val="16"/>
              </w:rPr>
              <w:t>A conceptualization should be specific enough to guide the next step but humble enough to change. Choose answers that organize the available evidence and name uncertainty rather than inventing a hidden cause.</w:t>
            </w:r>
          </w:p>
        </w:tc>
      </w:tr>
    </w:tbl>
    <w:p>
      <w:pPr>
        <w:widowControl/>
        <w:spacing w:after="0"/>
      </w:pPr>
    </w:p>
    <w:p>
      <w:pPr>
        <w:pStyle w:val="Heading2"/>
        <w:keepNext/>
        <w:widowControl/>
        <w:spacing w:before="0" w:after="80"/>
      </w:pPr>
      <w:r>
        <w:rPr>
          <w:rFonts w:ascii="Arial" w:hAnsi="Arial" w:eastAsia="Arial"/>
        </w:rPr>
        <w:t>The Priority Ladder</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Priority</w:t>
            </w:r>
          </w:p>
        </w:tc>
        <w:tc>
          <w:tcPr>
            <w:tcW w:type="dxa" w:w="446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Examples</w:t>
            </w:r>
          </w:p>
        </w:tc>
        <w:tc>
          <w:tcPr>
            <w:tcW w:type="dxa" w:w="324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Planning Implication</w:t>
            </w:r>
          </w:p>
        </w:tc>
      </w:tr>
      <w:tr>
        <w:trPr/>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1. Immediate safety and medical stability</w:t>
            </w:r>
          </w:p>
        </w:tc>
        <w:tc>
          <w:tcPr>
            <w:tcW w:type="dxa" w:w="446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Acute suicide or violence risk, dangerous withdrawal, abuse, medical instability, severe disorganization.</w:t>
            </w:r>
          </w:p>
        </w:tc>
        <w:tc>
          <w:tcPr>
            <w:tcW w:type="dxa" w:w="324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Stabilize, protect, consult, report, refer, or arrange higher care before routine goals.</w:t>
            </w:r>
          </w:p>
        </w:tc>
      </w:tr>
      <w:tr>
        <w:trPr/>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2. Basic access and treatment feasibility</w:t>
            </w:r>
          </w:p>
        </w:tc>
        <w:tc>
          <w:tcPr>
            <w:tcW w:type="dxa" w:w="446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Housing, food, language access, transportation, caregiving, technology, financial or scheduling barriers.</w:t>
            </w:r>
          </w:p>
        </w:tc>
        <w:tc>
          <w:tcPr>
            <w:tcW w:type="dxa" w:w="324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Modify delivery and connect resources so the plan can actually be followed.</w:t>
            </w:r>
          </w:p>
        </w:tc>
      </w:tr>
      <w:tr>
        <w:trPr/>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3. Client-defined urgent functioning</w:t>
            </w:r>
          </w:p>
        </w:tc>
        <w:tc>
          <w:tcPr>
            <w:tcW w:type="dxa" w:w="446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Work, school, sleep, parenting, relationship, legal, or daily-living impairment.</w:t>
            </w:r>
          </w:p>
        </w:tc>
        <w:tc>
          <w:tcPr>
            <w:tcW w:type="dxa" w:w="324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Use the client’s priorities to build engagement and early objectives.</w:t>
            </w:r>
          </w:p>
        </w:tc>
      </w:tr>
      <w:tr>
        <w:trPr/>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4. Maintaining clinical processes</w:t>
            </w:r>
          </w:p>
        </w:tc>
        <w:tc>
          <w:tcPr>
            <w:tcW w:type="dxa" w:w="446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Avoidance, substance use, inactivity, rumination, conflict, skill deficits, medication barriers.</w:t>
            </w:r>
          </w:p>
        </w:tc>
        <w:tc>
          <w:tcPr>
            <w:tcW w:type="dxa" w:w="324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Select focused targets linked to the formulation.</w:t>
            </w:r>
          </w:p>
        </w:tc>
      </w:tr>
      <w:tr>
        <w:trPr/>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5. Longer-term growth and prevention</w:t>
            </w:r>
          </w:p>
        </w:tc>
        <w:tc>
          <w:tcPr>
            <w:tcW w:type="dxa" w:w="446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Identity development, wellness, relapse prevention, relationship patterns, future goals.</w:t>
            </w:r>
          </w:p>
        </w:tc>
        <w:tc>
          <w:tcPr>
            <w:tcW w:type="dxa" w:w="324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Sequence after urgent needs while keeping long-term direction visible.</w:t>
            </w:r>
          </w:p>
        </w:tc>
      </w:tr>
    </w:tbl>
    <w:p>
      <w:pPr>
        <w:widowControl/>
        <w:spacing w:after="0"/>
      </w:pPr>
    </w:p>
    <w:p>
      <w:pPr>
        <w:pStyle w:val="Heading2"/>
        <w:keepNext/>
        <w:widowControl/>
        <w:spacing w:before="0" w:after="80"/>
      </w:pPr>
      <w:r>
        <w:rPr>
          <w:rFonts w:ascii="Arial" w:hAnsi="Arial" w:eastAsia="Arial"/>
        </w:rPr>
        <w:t>Strengths and Barriers Belong in the Same Formulation</w:t>
      </w:r>
    </w:p>
    <w:p>
      <w:pPr>
        <w:widowControl/>
        <w:spacing w:before="0" w:after="80"/>
      </w:pPr>
      <w:r>
        <w:rPr>
          <w:rFonts w:ascii="Arial" w:hAnsi="Arial" w:eastAsia="Arial"/>
          <w:sz w:val="18"/>
        </w:rPr>
        <w:t>Strengths are not decorative. They affect treatment choice, pacing, engagement, and prognosis. Barriers are not evidence that a client is “unmotivated.” They may reflect access, burden, fear, cultural mismatch, executive-function difficulty, trauma, low trust, or a plan that does not fit the client’s priorities.</w:t>
      </w:r>
    </w:p>
    <w:p>
      <w:pPr>
        <w:pStyle w:val="Heading2"/>
        <w:keepNext/>
        <w:widowControl/>
        <w:spacing w:before="0" w:after="80"/>
      </w:pPr>
      <w:r>
        <w:rPr>
          <w:rFonts w:ascii="Arial" w:hAnsi="Arial" w:eastAsia="Arial"/>
        </w:rPr>
        <w:t>Clinical Resource Toolkit: FRAME Case Conceptualization and Priority Grid</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94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FRAME Area</w:t>
            </w:r>
          </w:p>
        </w:tc>
        <w:tc>
          <w:tcPr>
            <w:tcW w:type="dxa" w:w="20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Evidence</w:t>
            </w:r>
          </w:p>
        </w:tc>
        <w:tc>
          <w:tcPr>
            <w:tcW w:type="dxa" w:w="20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Client Meaning/Preference</w:t>
            </w:r>
          </w:p>
        </w:tc>
        <w:tc>
          <w:tcPr>
            <w:tcW w:type="dxa" w:w="172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Unknowns</w:t>
            </w:r>
          </w:p>
        </w:tc>
        <w:tc>
          <w:tcPr>
            <w:tcW w:type="dxa" w:w="194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Planning Impact</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Facts and functioning</w:t>
            </w:r>
          </w:p>
        </w:tc>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72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r>
        <w:trPr/>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Risk and urgency</w:t>
            </w:r>
          </w:p>
        </w:tc>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72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Antecedents/maintainers</w:t>
            </w:r>
          </w:p>
        </w:tc>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72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r>
        <w:trPr/>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Meaning, strengths, context</w:t>
            </w:r>
          </w:p>
        </w:tc>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72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Explanatory hypothesis</w:t>
            </w:r>
          </w:p>
        </w:tc>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72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bl>
    <w:p>
      <w:pPr>
        <w:widowControl/>
        <w:spacing w:after="0"/>
      </w:pPr>
    </w:p>
    <w:p>
      <w:pPr>
        <w:pStyle w:val="Heading2"/>
        <w:keepNext/>
        <w:widowControl/>
        <w:spacing w:before="0" w:after="80"/>
      </w:pPr>
      <w:r>
        <w:rPr>
          <w:rFonts w:ascii="Arial" w:hAnsi="Arial" w:eastAsia="Arial"/>
        </w:rPr>
        <w:t>Chapter 1 Summary</w:t>
      </w:r>
    </w:p>
    <w:p>
      <w:pPr>
        <w:pStyle w:val="ListBullet"/>
        <w:keepLines/>
        <w:widowControl/>
        <w:spacing w:after="30"/>
      </w:pPr>
      <w:r>
        <w:rPr>
          <w:rFonts w:ascii="Arial" w:hAnsi="Arial" w:eastAsia="Arial"/>
          <w:color w:val="1F2937"/>
          <w:sz w:val="17"/>
        </w:rPr>
        <w:t>Diagnosis labels a pattern; conceptualization explains the current case; treatment planning specifies the shared course of action.</w:t>
      </w:r>
    </w:p>
    <w:p>
      <w:pPr>
        <w:pStyle w:val="ListBullet"/>
        <w:keepLines/>
        <w:widowControl/>
        <w:spacing w:after="30"/>
      </w:pPr>
      <w:r>
        <w:rPr>
          <w:rFonts w:ascii="Arial" w:hAnsi="Arial" w:eastAsia="Arial"/>
          <w:color w:val="1F2937"/>
          <w:sz w:val="17"/>
        </w:rPr>
        <w:t>FRAME integrates facts, risk, maintaining factors, meaning, strengths, context, and uncertainty.</w:t>
      </w:r>
    </w:p>
    <w:p>
      <w:pPr>
        <w:pStyle w:val="ListBullet"/>
        <w:keepLines/>
        <w:widowControl/>
        <w:spacing w:after="30"/>
      </w:pPr>
      <w:r>
        <w:rPr>
          <w:rFonts w:ascii="Arial" w:hAnsi="Arial" w:eastAsia="Arial"/>
          <w:color w:val="1F2937"/>
          <w:sz w:val="17"/>
        </w:rPr>
        <w:t>Safety and medical needs come before routine symptom goals.</w:t>
      </w:r>
    </w:p>
    <w:p>
      <w:pPr>
        <w:pStyle w:val="ListBullet"/>
        <w:keepLines/>
        <w:widowControl/>
        <w:spacing w:after="30"/>
      </w:pPr>
      <w:r>
        <w:rPr>
          <w:rFonts w:ascii="Arial" w:hAnsi="Arial" w:eastAsia="Arial"/>
          <w:color w:val="1F2937"/>
          <w:sz w:val="17"/>
        </w:rPr>
        <w:t>Access barriers and client-defined functioning often determine whether a plan is feasible.</w:t>
      </w:r>
    </w:p>
    <w:p>
      <w:pPr>
        <w:pStyle w:val="ListBullet"/>
        <w:keepLines/>
        <w:widowControl/>
        <w:spacing w:after="30"/>
      </w:pPr>
      <w:r>
        <w:rPr>
          <w:rFonts w:ascii="Arial" w:hAnsi="Arial" w:eastAsia="Arial"/>
          <w:color w:val="1F2937"/>
          <w:sz w:val="17"/>
        </w:rPr>
        <w:t>A useful formulation is concise, evidence-based, culturally responsive, and revisable.</w:t>
      </w:r>
    </w:p>
    <w:p>
      <w:pPr>
        <w:widowControl/>
      </w:pPr>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rPr/>
        <w:tc>
          <w:tcPr>
            <w:tcW w:type="dxa" w:w="936"/>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4"/>
              </w:rPr>
              <w:t>2</w:t>
            </w:r>
          </w:p>
        </w:tc>
        <w:tc>
          <w:tcPr>
            <w:tcW w:type="dxa" w:w="9432"/>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1"/>
              </w:rPr>
              <w:t>Collaborative Goals and Objectives</w:t>
            </w:r>
          </w:p>
        </w:tc>
      </w:tr>
    </w:tbl>
    <w:p>
      <w:pPr>
        <w:widowControl/>
        <w:spacing w:after="0"/>
      </w:pPr>
    </w:p>
    <w:p>
      <w:pPr>
        <w:widowControl/>
        <w:spacing w:before="0" w:after="80"/>
      </w:pPr>
      <w:r>
        <w:rPr>
          <w:rFonts w:ascii="Arial" w:hAnsi="Arial" w:eastAsia="Arial"/>
          <w:i/>
          <w:color w:val="4B5563"/>
          <w:sz w:val="18"/>
        </w:rPr>
        <w:t>Goals describe the direction of change. Objectives describe observable steps or indicators that show movement.</w:t>
      </w:r>
    </w:p>
    <w:p>
      <w:pPr>
        <w:pStyle w:val="Heading2"/>
        <w:keepNext/>
        <w:widowControl/>
        <w:spacing w:before="0" w:after="80"/>
      </w:pPr>
      <w:r>
        <w:rPr>
          <w:rFonts w:ascii="Arial" w:hAnsi="Arial" w:eastAsia="Arial"/>
        </w:rPr>
        <w:t>Goal, Objective, Intervention, and Measure</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72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Element</w:t>
            </w:r>
          </w:p>
        </w:tc>
        <w:tc>
          <w:tcPr>
            <w:tcW w:type="dxa" w:w="352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Purpose</w:t>
            </w:r>
          </w:p>
        </w:tc>
        <w:tc>
          <w:tcPr>
            <w:tcW w:type="dxa" w:w="468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Example</w:t>
            </w:r>
          </w:p>
        </w:tc>
      </w:tr>
      <w:tr>
        <w:trPr/>
        <w:tc>
          <w:tcPr>
            <w:tcW w:type="dxa" w:w="172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Problem/Need</w:t>
            </w:r>
          </w:p>
        </w:tc>
        <w:tc>
          <w:tcPr>
            <w:tcW w:type="dxa" w:w="352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Names the clinically relevant concern in client-centered language.</w:t>
            </w:r>
          </w:p>
        </w:tc>
        <w:tc>
          <w:tcPr>
            <w:tcW w:type="dxa" w:w="46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Panic and avoidance are interfering with commuting and work attendance.</w:t>
            </w:r>
          </w:p>
        </w:tc>
      </w:tr>
      <w:tr>
        <w:trPr/>
        <w:tc>
          <w:tcPr>
            <w:tcW w:type="dxa" w:w="172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Goal</w:t>
            </w:r>
          </w:p>
        </w:tc>
        <w:tc>
          <w:tcPr>
            <w:tcW w:type="dxa" w:w="352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States the meaningful outcome the client wants.</w:t>
            </w:r>
          </w:p>
        </w:tc>
        <w:tc>
          <w:tcPr>
            <w:tcW w:type="dxa" w:w="46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Return to work with manageable anxiety and confidence using public transportation.</w:t>
            </w:r>
          </w:p>
        </w:tc>
      </w:tr>
      <w:tr>
        <w:trPr/>
        <w:tc>
          <w:tcPr>
            <w:tcW w:type="dxa" w:w="172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Objective</w:t>
            </w:r>
          </w:p>
        </w:tc>
        <w:tc>
          <w:tcPr>
            <w:tcW w:type="dxa" w:w="352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Defines an observable, measurable step or indicator.</w:t>
            </w:r>
          </w:p>
        </w:tc>
        <w:tc>
          <w:tcPr>
            <w:tcW w:type="dxa" w:w="46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Ride the bus for two stops with planned coping practice on four days before the next review.</w:t>
            </w:r>
          </w:p>
        </w:tc>
      </w:tr>
      <w:tr>
        <w:trPr/>
        <w:tc>
          <w:tcPr>
            <w:tcW w:type="dxa" w:w="172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Intervention</w:t>
            </w:r>
          </w:p>
        </w:tc>
        <w:tc>
          <w:tcPr>
            <w:tcW w:type="dxa" w:w="352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States what the counselor and client will use to support the objective.</w:t>
            </w:r>
          </w:p>
        </w:tc>
        <w:tc>
          <w:tcPr>
            <w:tcW w:type="dxa" w:w="46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Build an exposure hierarchy, rehearse paced breathing, review predictions, and debrief learning.</w:t>
            </w:r>
          </w:p>
        </w:tc>
      </w:tr>
      <w:tr>
        <w:trPr/>
        <w:tc>
          <w:tcPr>
            <w:tcW w:type="dxa" w:w="172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Measure/Review</w:t>
            </w:r>
          </w:p>
        </w:tc>
        <w:tc>
          <w:tcPr>
            <w:tcW w:type="dxa" w:w="352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Specifies how change will be tracked and when the plan will be reconsidered.</w:t>
            </w:r>
          </w:p>
        </w:tc>
        <w:tc>
          <w:tcPr>
            <w:tcW w:type="dxa" w:w="46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Weekly avoidance log, work attendance, client rating, and review in four sessions.</w:t>
            </w:r>
          </w:p>
        </w:tc>
      </w:tr>
    </w:tbl>
    <w:p>
      <w:pPr>
        <w:widowControl/>
        <w:spacing w:after="0"/>
      </w:pPr>
    </w:p>
    <w:p>
      <w:pPr>
        <w:pStyle w:val="Heading2"/>
        <w:keepNext/>
        <w:widowControl/>
        <w:spacing w:before="0" w:after="80"/>
      </w:pPr>
      <w:r>
        <w:rPr>
          <w:rFonts w:ascii="Arial" w:hAnsi="Arial" w:eastAsia="Arial"/>
        </w:rPr>
        <w:t>The SMARTER Goal Builder</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0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Letter</w:t>
            </w:r>
          </w:p>
        </w:tc>
        <w:tc>
          <w:tcPr>
            <w:tcW w:type="dxa" w:w="489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Planning Standard</w:t>
            </w:r>
          </w:p>
        </w:tc>
        <w:tc>
          <w:tcPr>
            <w:tcW w:type="dxa" w:w="324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Question to Ask</w:t>
            </w:r>
          </w:p>
        </w:tc>
      </w:tr>
      <w:tr>
        <w:trPr/>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S - Specific</w:t>
            </w:r>
          </w:p>
        </w:tc>
        <w:tc>
          <w:tcPr>
            <w:tcW w:type="dxa" w:w="48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Names one clear behavior, function, skill, or outcome.</w:t>
            </w:r>
          </w:p>
        </w:tc>
        <w:tc>
          <w:tcPr>
            <w:tcW w:type="dxa" w:w="324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exactly will be different?</w:t>
            </w:r>
          </w:p>
        </w:tc>
      </w:tr>
      <w:tr>
        <w:trPr/>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M - Measurable</w:t>
            </w:r>
          </w:p>
        </w:tc>
        <w:tc>
          <w:tcPr>
            <w:tcW w:type="dxa" w:w="48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Uses frequency, duration, intensity, completion, functioning, or client rating.</w:t>
            </w:r>
          </w:p>
        </w:tc>
        <w:tc>
          <w:tcPr>
            <w:tcW w:type="dxa" w:w="324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How will we notice movement?</w:t>
            </w:r>
          </w:p>
        </w:tc>
      </w:tr>
      <w:tr>
        <w:trPr/>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A - Achievable</w:t>
            </w:r>
          </w:p>
        </w:tc>
        <w:tc>
          <w:tcPr>
            <w:tcW w:type="dxa" w:w="48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Fits current capacity, resources, stage of change, and level of care.</w:t>
            </w:r>
          </w:p>
        </w:tc>
        <w:tc>
          <w:tcPr>
            <w:tcW w:type="dxa" w:w="324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Can this reasonably be attempted now?</w:t>
            </w:r>
          </w:p>
        </w:tc>
      </w:tr>
      <w:tr>
        <w:trPr/>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R - Relevant</w:t>
            </w:r>
          </w:p>
        </w:tc>
        <w:tc>
          <w:tcPr>
            <w:tcW w:type="dxa" w:w="48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Connects to the client’s own priorities, values, diagnosis, and formulation.</w:t>
            </w:r>
          </w:p>
        </w:tc>
        <w:tc>
          <w:tcPr>
            <w:tcW w:type="dxa" w:w="324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Why does this matter to the client?</w:t>
            </w:r>
          </w:p>
        </w:tc>
      </w:tr>
      <w:tr>
        <w:trPr/>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 - Time-linked</w:t>
            </w:r>
          </w:p>
        </w:tc>
        <w:tc>
          <w:tcPr>
            <w:tcW w:type="dxa" w:w="48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Includes a review period rather than a rigid promise of cure.</w:t>
            </w:r>
          </w:p>
        </w:tc>
        <w:tc>
          <w:tcPr>
            <w:tcW w:type="dxa" w:w="324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When will we examine progress?</w:t>
            </w:r>
          </w:p>
        </w:tc>
      </w:tr>
      <w:tr>
        <w:trPr/>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E - Evaluated</w:t>
            </w:r>
          </w:p>
        </w:tc>
        <w:tc>
          <w:tcPr>
            <w:tcW w:type="dxa" w:w="48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Uses more than one source when possible: client report, function, behavior, measure, collateral, observation.</w:t>
            </w:r>
          </w:p>
        </w:tc>
        <w:tc>
          <w:tcPr>
            <w:tcW w:type="dxa" w:w="324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does the evidence show?</w:t>
            </w:r>
          </w:p>
        </w:tc>
      </w:tr>
      <w:tr>
        <w:trPr/>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R - Revised</w:t>
            </w:r>
          </w:p>
        </w:tc>
        <w:tc>
          <w:tcPr>
            <w:tcW w:type="dxa" w:w="48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Changes when needs, barriers, risk, evidence, or preferences change.</w:t>
            </w:r>
          </w:p>
        </w:tc>
        <w:tc>
          <w:tcPr>
            <w:tcW w:type="dxa" w:w="324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should be continued, adapted, stopped, or added?</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FFF8DF"/>
            <w:tcBorders>
              <w:top w:sz="9" w:val="single" w:color="E7C66A"/>
              <w:left w:sz="9" w:val="single" w:color="E7C66A"/>
              <w:bottom w:sz="9" w:val="single" w:color="E7C66A"/>
              <w:right w:sz="9" w:val="single" w:color="E7C66A"/>
            </w:tcBorders>
            <w:tcMar>
              <w:top w:w="80" w:type="dxa"/>
              <w:start w:w="120" w:type="dxa"/>
              <w:bottom w:w="80" w:type="dxa"/>
              <w:end w:w="120" w:type="dxa"/>
            </w:tcMar>
          </w:tcPr>
          <w:p>
            <w:pPr>
              <w:widowControl/>
              <w:spacing w:after="40"/>
            </w:pPr>
            <w:r>
              <w:rPr>
                <w:rFonts w:ascii="Arial" w:hAnsi="Arial" w:eastAsia="Arial"/>
                <w:b/>
                <w:color w:val="17365D"/>
                <w:sz w:val="17"/>
              </w:rPr>
              <w:t>COMMON TRAP</w:t>
            </w:r>
          </w:p>
          <w:p>
            <w:pPr>
              <w:widowControl/>
              <w:spacing w:after="0"/>
            </w:pPr>
            <w:r>
              <w:rPr>
                <w:rFonts w:ascii="Arial" w:hAnsi="Arial" w:eastAsia="Arial"/>
                <w:color w:val="1F2937"/>
                <w:sz w:val="16"/>
              </w:rPr>
              <w:t>“Reduce anxiety” is a treatment direction, not a complete objective. Add a functional behavior, measurable indicator, and review period while preserving the client’s language and values.</w:t>
            </w:r>
          </w:p>
        </w:tc>
      </w:tr>
    </w:tbl>
    <w:p>
      <w:pPr>
        <w:widowControl/>
        <w:spacing w:after="0"/>
      </w:pPr>
    </w:p>
    <w:p>
      <w:pPr>
        <w:pStyle w:val="Heading2"/>
        <w:keepNext/>
        <w:widowControl/>
        <w:spacing w:before="0" w:after="80"/>
      </w:pPr>
      <w:r>
        <w:rPr>
          <w:rFonts w:ascii="Arial" w:hAnsi="Arial" w:eastAsia="Arial"/>
        </w:rPr>
        <w:t>Collaboration Is More Than Asking for Agreement</w:t>
      </w:r>
    </w:p>
    <w:p>
      <w:pPr>
        <w:pStyle w:val="ListBullet"/>
        <w:keepLines/>
        <w:widowControl/>
        <w:spacing w:after="30"/>
      </w:pPr>
      <w:r>
        <w:rPr>
          <w:rFonts w:ascii="Arial" w:hAnsi="Arial" w:eastAsia="Arial"/>
          <w:color w:val="1F2937"/>
          <w:sz w:val="17"/>
        </w:rPr>
        <w:t>Ask what the client most wants life to look like, not only what symptoms they want removed.</w:t>
      </w:r>
    </w:p>
    <w:p>
      <w:pPr>
        <w:pStyle w:val="ListBullet"/>
        <w:keepLines/>
        <w:widowControl/>
        <w:spacing w:after="30"/>
      </w:pPr>
      <w:r>
        <w:rPr>
          <w:rFonts w:ascii="Arial" w:hAnsi="Arial" w:eastAsia="Arial"/>
          <w:color w:val="1F2937"/>
          <w:sz w:val="17"/>
        </w:rPr>
        <w:t>Explain the clinical rationale in understandable language and invite disagreement or alternatives.</w:t>
      </w:r>
    </w:p>
    <w:p>
      <w:pPr>
        <w:pStyle w:val="ListBullet"/>
        <w:keepLines/>
        <w:widowControl/>
        <w:spacing w:after="30"/>
      </w:pPr>
      <w:r>
        <w:rPr>
          <w:rFonts w:ascii="Arial" w:hAnsi="Arial" w:eastAsia="Arial"/>
          <w:color w:val="1F2937"/>
          <w:sz w:val="17"/>
        </w:rPr>
        <w:t>Check cultural, spiritual, family, disability, language, financial, and practical fit.</w:t>
      </w:r>
    </w:p>
    <w:p>
      <w:pPr>
        <w:pStyle w:val="ListBullet"/>
        <w:keepLines/>
        <w:widowControl/>
        <w:spacing w:after="30"/>
      </w:pPr>
      <w:r>
        <w:rPr>
          <w:rFonts w:ascii="Arial" w:hAnsi="Arial" w:eastAsia="Arial"/>
          <w:color w:val="1F2937"/>
          <w:sz w:val="17"/>
        </w:rPr>
        <w:t>Use the client’s preferred terms when they are clinically accurate and nonstigmatizing.</w:t>
      </w:r>
    </w:p>
    <w:p>
      <w:pPr>
        <w:pStyle w:val="ListBullet"/>
        <w:keepLines/>
        <w:widowControl/>
        <w:spacing w:after="30"/>
      </w:pPr>
      <w:r>
        <w:rPr>
          <w:rFonts w:ascii="Arial" w:hAnsi="Arial" w:eastAsia="Arial"/>
          <w:color w:val="1F2937"/>
          <w:sz w:val="17"/>
        </w:rPr>
        <w:t>Start with a change the client is ready and able to attempt; do not confuse resistance with plan mismatch.</w:t>
      </w:r>
    </w:p>
    <w:p>
      <w:pPr>
        <w:pStyle w:val="ListBullet"/>
        <w:keepLines/>
        <w:widowControl/>
        <w:spacing w:after="30"/>
      </w:pPr>
      <w:r>
        <w:rPr>
          <w:rFonts w:ascii="Arial" w:hAnsi="Arial" w:eastAsia="Arial"/>
          <w:color w:val="1F2937"/>
          <w:sz w:val="17"/>
        </w:rPr>
        <w:t>Document shared decisions, including when the client declines a recommendation.</w:t>
      </w:r>
    </w:p>
    <w:p>
      <w:pPr>
        <w:pStyle w:val="Heading2"/>
        <w:keepNext/>
        <w:widowControl/>
        <w:spacing w:before="0" w:after="80"/>
      </w:pPr>
      <w:r>
        <w:rPr>
          <w:rFonts w:ascii="Arial" w:hAnsi="Arial" w:eastAsia="Arial"/>
        </w:rPr>
        <w:t>When Goals Compete</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09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Situation</w:t>
            </w:r>
          </w:p>
        </w:tc>
        <w:tc>
          <w:tcPr>
            <w:tcW w:type="dxa" w:w="655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Best Planning Response</w:t>
            </w:r>
          </w:p>
        </w:tc>
      </w:tr>
      <w:tr>
        <w:trPr/>
        <w:tc>
          <w:tcPr>
            <w:tcW w:type="dxa" w:w="30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Client wants symptom relief but not the proposed intervention</w:t>
            </w:r>
          </w:p>
        </w:tc>
        <w:tc>
          <w:tcPr>
            <w:tcW w:type="dxa" w:w="655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Clarify priorities, provide informed options, and develop an acceptable alternative within safety and competence.</w:t>
            </w:r>
          </w:p>
        </w:tc>
      </w:tr>
      <w:tr>
        <w:trPr/>
        <w:tc>
          <w:tcPr>
            <w:tcW w:type="dxa" w:w="30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Family or referral source wants a goal the client does not share</w:t>
            </w:r>
          </w:p>
        </w:tc>
        <w:tc>
          <w:tcPr>
            <w:tcW w:type="dxa" w:w="655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Clarify consent, role, expectations, and whose treatment goals are being served.</w:t>
            </w:r>
          </w:p>
        </w:tc>
      </w:tr>
      <w:tr>
        <w:trPr/>
        <w:tc>
          <w:tcPr>
            <w:tcW w:type="dxa" w:w="30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Safety need conflicts with preferred pacing</w:t>
            </w:r>
          </w:p>
        </w:tc>
        <w:tc>
          <w:tcPr>
            <w:tcW w:type="dxa" w:w="655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Explain the safety concern, take required protective action, and preserve as much collaboration and autonomy as possible.</w:t>
            </w:r>
          </w:p>
        </w:tc>
      </w:tr>
      <w:tr>
        <w:trPr/>
        <w:tc>
          <w:tcPr>
            <w:tcW w:type="dxa" w:w="30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Too many goals are listed</w:t>
            </w:r>
          </w:p>
        </w:tc>
        <w:tc>
          <w:tcPr>
            <w:tcW w:type="dxa" w:w="655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Prioritize one to three initial targets and place lower-priority needs in a later phase or monitoring plan.</w:t>
            </w:r>
          </w:p>
        </w:tc>
      </w:tr>
      <w:tr>
        <w:trPr/>
        <w:tc>
          <w:tcPr>
            <w:tcW w:type="dxa" w:w="30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Goal depends on another provider or resource</w:t>
            </w:r>
          </w:p>
        </w:tc>
        <w:tc>
          <w:tcPr>
            <w:tcW w:type="dxa" w:w="655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Specify referral, release, role, handoff, and how progress will be coordinated.</w:t>
            </w:r>
          </w:p>
        </w:tc>
      </w:tr>
    </w:tbl>
    <w:p>
      <w:pPr>
        <w:widowControl/>
        <w:spacing w:after="0"/>
      </w:pPr>
    </w:p>
    <w:p>
      <w:pPr>
        <w:pStyle w:val="Heading2"/>
        <w:keepNext/>
        <w:widowControl/>
        <w:spacing w:before="0" w:after="80"/>
      </w:pPr>
      <w:r>
        <w:rPr>
          <w:rFonts w:ascii="Arial" w:hAnsi="Arial" w:eastAsia="Arial"/>
        </w:rPr>
        <w:t>Clinical Resource Toolkit: SMARTER Goal and Objective Builder</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trPr>
        <w:tc>
          <w:tcPr>
            <w:tcW w:type="dxa" w:w="165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Client Priority</w:t>
            </w:r>
          </w:p>
        </w:tc>
        <w:tc>
          <w:tcPr>
            <w:tcW w:type="dxa" w:w="223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Goal in Client-Centered Language</w:t>
            </w:r>
          </w:p>
        </w:tc>
        <w:tc>
          <w:tcPr>
            <w:tcW w:type="dxa" w:w="223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Measurable Objective</w:t>
            </w:r>
          </w:p>
        </w:tc>
        <w:tc>
          <w:tcPr>
            <w:tcW w:type="dxa" w:w="144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Strengths/Supports</w:t>
            </w:r>
          </w:p>
        </w:tc>
        <w:tc>
          <w:tcPr>
            <w:tcW w:type="dxa" w:w="165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Barrier/Accommodation</w:t>
            </w:r>
          </w:p>
        </w:tc>
        <w:tc>
          <w:tcPr>
            <w:tcW w:type="dxa" w:w="122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Review Date</w:t>
            </w:r>
          </w:p>
        </w:tc>
      </w:tr>
      <w:tr>
        <w:trPr/>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44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r>
        <w:trPr/>
        <w:tc>
          <w:tcPr>
            <w:tcW w:type="dxa" w:w="16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44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6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r>
        <w:trPr/>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44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bl>
    <w:p>
      <w:pPr>
        <w:widowControl/>
        <w:spacing w:after="0"/>
      </w:pPr>
    </w:p>
    <w:p>
      <w:pPr>
        <w:pStyle w:val="Heading2"/>
        <w:keepNext/>
        <w:widowControl/>
        <w:spacing w:before="0" w:after="80"/>
      </w:pPr>
      <w:r>
        <w:rPr>
          <w:rFonts w:ascii="Arial" w:hAnsi="Arial" w:eastAsia="Arial"/>
        </w:rPr>
        <w:t>Chapter 2 Summary</w:t>
      </w:r>
    </w:p>
    <w:p>
      <w:pPr>
        <w:pStyle w:val="ListBullet"/>
        <w:keepLines/>
        <w:widowControl/>
        <w:spacing w:after="30"/>
      </w:pPr>
      <w:r>
        <w:rPr>
          <w:rFonts w:ascii="Arial" w:hAnsi="Arial" w:eastAsia="Arial"/>
          <w:color w:val="1F2937"/>
          <w:sz w:val="17"/>
        </w:rPr>
        <w:t>Goals describe meaningful outcomes; objectives define observable steps or indicators.</w:t>
      </w:r>
    </w:p>
    <w:p>
      <w:pPr>
        <w:pStyle w:val="ListBullet"/>
        <w:keepLines/>
        <w:widowControl/>
        <w:spacing w:after="30"/>
      </w:pPr>
      <w:r>
        <w:rPr>
          <w:rFonts w:ascii="Arial" w:hAnsi="Arial" w:eastAsia="Arial"/>
          <w:color w:val="1F2937"/>
          <w:sz w:val="17"/>
        </w:rPr>
        <w:t>Interventions should be traceable to objectives, and measures should be traceable to the goal.</w:t>
      </w:r>
    </w:p>
    <w:p>
      <w:pPr>
        <w:pStyle w:val="ListBullet"/>
        <w:keepLines/>
        <w:widowControl/>
        <w:spacing w:after="30"/>
      </w:pPr>
      <w:r>
        <w:rPr>
          <w:rFonts w:ascii="Arial" w:hAnsi="Arial" w:eastAsia="Arial"/>
          <w:color w:val="1F2937"/>
          <w:sz w:val="17"/>
        </w:rPr>
        <w:t>SMARTER objectives are specific, measurable, achievable, relevant, time-linked, evaluated, and revised.</w:t>
      </w:r>
    </w:p>
    <w:p>
      <w:pPr>
        <w:pStyle w:val="ListBullet"/>
        <w:keepLines/>
        <w:widowControl/>
        <w:spacing w:after="30"/>
      </w:pPr>
      <w:r>
        <w:rPr>
          <w:rFonts w:ascii="Arial" w:hAnsi="Arial" w:eastAsia="Arial"/>
          <w:color w:val="1F2937"/>
          <w:sz w:val="17"/>
        </w:rPr>
        <w:t>Collaboration includes explanation, choice, cultural and practical fit, and permission to disagree.</w:t>
      </w:r>
    </w:p>
    <w:p>
      <w:pPr>
        <w:pStyle w:val="ListBullet"/>
        <w:keepLines/>
        <w:widowControl/>
        <w:spacing w:after="30"/>
      </w:pPr>
      <w:r>
        <w:rPr>
          <w:rFonts w:ascii="Arial" w:hAnsi="Arial" w:eastAsia="Arial"/>
          <w:color w:val="1F2937"/>
          <w:sz w:val="17"/>
        </w:rPr>
        <w:t>A small number of prioritized goals usually produces a clearer and more usable plan.</w:t>
      </w:r>
    </w:p>
    <w:p>
      <w:pPr>
        <w:widowControl/>
      </w:pPr>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rPr/>
        <w:tc>
          <w:tcPr>
            <w:tcW w:type="dxa" w:w="936"/>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4"/>
              </w:rPr>
              <w:t>3</w:t>
            </w:r>
          </w:p>
        </w:tc>
        <w:tc>
          <w:tcPr>
            <w:tcW w:type="dxa" w:w="9432"/>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1"/>
              </w:rPr>
              <w:t>Treatment Plan Design, Modality, and Contraindications</w:t>
            </w:r>
          </w:p>
        </w:tc>
      </w:tr>
    </w:tbl>
    <w:p>
      <w:pPr>
        <w:widowControl/>
        <w:spacing w:after="0"/>
      </w:pPr>
    </w:p>
    <w:p>
      <w:pPr>
        <w:widowControl/>
        <w:spacing w:before="0" w:after="80"/>
      </w:pPr>
      <w:r>
        <w:rPr>
          <w:rFonts w:ascii="Arial" w:hAnsi="Arial" w:eastAsia="Arial"/>
          <w:i/>
          <w:color w:val="4B5563"/>
          <w:sz w:val="18"/>
        </w:rPr>
        <w:t>The plan should show why each service is being used, what it targets, and what could make it unsafe or ineffective.</w:t>
      </w:r>
    </w:p>
    <w:p>
      <w:pPr>
        <w:pStyle w:val="Heading2"/>
        <w:keepNext/>
        <w:widowControl/>
        <w:spacing w:before="0" w:after="80"/>
      </w:pPr>
      <w:r>
        <w:rPr>
          <w:rFonts w:ascii="Arial" w:hAnsi="Arial" w:eastAsia="Arial"/>
        </w:rPr>
        <w:t>Core Elements of an Initial Treatment Plan</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23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Element</w:t>
            </w:r>
          </w:p>
        </w:tc>
        <w:tc>
          <w:tcPr>
            <w:tcW w:type="dxa" w:w="741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What the Plan Should Show</w:t>
            </w:r>
          </w:p>
        </w:tc>
      </w:tr>
      <w:tr>
        <w:trPr/>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Problem and formulation</w:t>
            </w:r>
          </w:p>
        </w:tc>
        <w:tc>
          <w:tcPr>
            <w:tcW w:type="dxa" w:w="74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The priority concern, relevant diagnosis or working hypothesis, functional impact, strengths, and barriers.</w:t>
            </w:r>
          </w:p>
        </w:tc>
      </w:tr>
      <w:tr>
        <w:trPr/>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Goals and objectives</w:t>
            </w:r>
          </w:p>
        </w:tc>
        <w:tc>
          <w:tcPr>
            <w:tcW w:type="dxa" w:w="74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Client-centered outcomes and measurable steps.</w:t>
            </w:r>
          </w:p>
        </w:tc>
      </w:tr>
      <w:tr>
        <w:trPr/>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Interventions and rationale</w:t>
            </w:r>
          </w:p>
        </w:tc>
        <w:tc>
          <w:tcPr>
            <w:tcW w:type="dxa" w:w="74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Counseling methods connected to the formulation and objectives, not a generic technique list.</w:t>
            </w:r>
          </w:p>
        </w:tc>
      </w:tr>
      <w:tr>
        <w:trPr/>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Modality, frequency, and setting</w:t>
            </w:r>
          </w:p>
        </w:tc>
        <w:tc>
          <w:tcPr>
            <w:tcW w:type="dxa" w:w="74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Individual, group, family/couple, telehealth, in-person, higher care, consultation, or concurrent service as appropriate.</w:t>
            </w:r>
          </w:p>
        </w:tc>
      </w:tr>
      <w:tr>
        <w:trPr/>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Safety and crisis provisions</w:t>
            </w:r>
          </w:p>
        </w:tc>
        <w:tc>
          <w:tcPr>
            <w:tcW w:type="dxa" w:w="74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Risk-monitoring plan, safety plan, emergency contacts, mandated duties, or level-of-care triggers when relevant.</w:t>
            </w:r>
          </w:p>
        </w:tc>
      </w:tr>
      <w:tr>
        <w:trPr/>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Referral and coordination</w:t>
            </w:r>
          </w:p>
        </w:tc>
        <w:tc>
          <w:tcPr>
            <w:tcW w:type="dxa" w:w="74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Provider roles, releases, handoff, medical or specialty questions, and communication plan.</w:t>
            </w:r>
          </w:p>
        </w:tc>
      </w:tr>
      <w:tr>
        <w:trPr/>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Measures and review schedule</w:t>
            </w:r>
          </w:p>
        </w:tc>
        <w:tc>
          <w:tcPr>
            <w:tcW w:type="dxa" w:w="74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Baseline, progress indicators, client feedback, review date, and criteria for revision.</w:t>
            </w:r>
          </w:p>
        </w:tc>
      </w:tr>
      <w:tr>
        <w:trPr/>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Termination and continuity criteria</w:t>
            </w:r>
          </w:p>
        </w:tc>
        <w:tc>
          <w:tcPr>
            <w:tcW w:type="dxa" w:w="74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completion, transfer, step-down, or escalation would look like.</w:t>
            </w:r>
          </w:p>
        </w:tc>
      </w:tr>
    </w:tbl>
    <w:p>
      <w:pPr>
        <w:widowControl/>
        <w:spacing w:after="0"/>
      </w:pPr>
    </w:p>
    <w:p>
      <w:pPr>
        <w:pStyle w:val="Heading2"/>
        <w:keepNext/>
        <w:widowControl/>
        <w:spacing w:before="0" w:after="80"/>
      </w:pPr>
      <w:r>
        <w:rPr>
          <w:rFonts w:ascii="Arial" w:hAnsi="Arial" w:eastAsia="Arial"/>
        </w:rPr>
        <w:t>The MATCH Treatment Plan</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01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Step</w:t>
            </w:r>
          </w:p>
        </w:tc>
        <w:tc>
          <w:tcPr>
            <w:tcW w:type="dxa" w:w="777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Counselor Action</w:t>
            </w:r>
          </w:p>
        </w:tc>
      </w:tr>
      <w:tr>
        <w:trPr/>
        <w:tc>
          <w:tcPr>
            <w:tcW w:type="dxa" w:w="20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M - Most urgent needs</w:t>
            </w:r>
          </w:p>
        </w:tc>
        <w:tc>
          <w:tcPr>
            <w:tcW w:type="dxa" w:w="77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Address safety, medical stability, abuse, withdrawal, basic access, and level of care before elective interventions.</w:t>
            </w:r>
          </w:p>
        </w:tc>
      </w:tr>
      <w:tr>
        <w:trPr/>
        <w:tc>
          <w:tcPr>
            <w:tcW w:type="dxa" w:w="20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A - Assessment evidence</w:t>
            </w:r>
          </w:p>
        </w:tc>
        <w:tc>
          <w:tcPr>
            <w:tcW w:type="dxa" w:w="777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Use diagnosis, symptoms, functioning, measures, client report, culture, strengths, and uncertainty to define targets.</w:t>
            </w:r>
          </w:p>
        </w:tc>
      </w:tr>
      <w:tr>
        <w:trPr/>
        <w:tc>
          <w:tcPr>
            <w:tcW w:type="dxa" w:w="20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 - Treatment targets and theory fit</w:t>
            </w:r>
          </w:p>
        </w:tc>
        <w:tc>
          <w:tcPr>
            <w:tcW w:type="dxa" w:w="77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Select interventions that match the mechanism, goal, readiness, and counselor competence.</w:t>
            </w:r>
          </w:p>
        </w:tc>
      </w:tr>
      <w:tr>
        <w:trPr/>
        <w:tc>
          <w:tcPr>
            <w:tcW w:type="dxa" w:w="20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 - Client preference and context</w:t>
            </w:r>
          </w:p>
        </w:tc>
        <w:tc>
          <w:tcPr>
            <w:tcW w:type="dxa" w:w="777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Adapt to language, identity, disability, values, schedule, resources, support system, and prior treatment experience.</w:t>
            </w:r>
          </w:p>
        </w:tc>
      </w:tr>
      <w:tr>
        <w:trPr/>
        <w:tc>
          <w:tcPr>
            <w:tcW w:type="dxa" w:w="20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H - Hazards, handoffs, and review</w:t>
            </w:r>
          </w:p>
        </w:tc>
        <w:tc>
          <w:tcPr>
            <w:tcW w:type="dxa" w:w="77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Identify contraindications, side effects, scope limits, referral needs, nonresponse signals, and the planned review point.</w:t>
            </w:r>
          </w:p>
        </w:tc>
      </w:tr>
    </w:tbl>
    <w:p>
      <w:pPr>
        <w:widowControl/>
        <w:spacing w:after="0"/>
      </w:pPr>
    </w:p>
    <w:p>
      <w:pPr>
        <w:pStyle w:val="Heading2"/>
        <w:keepNext/>
        <w:widowControl/>
        <w:spacing w:before="0" w:after="80"/>
      </w:pPr>
      <w:r>
        <w:rPr>
          <w:rFonts w:ascii="Arial" w:hAnsi="Arial" w:eastAsia="Arial"/>
        </w:rPr>
        <w:t>Choosing Modality and Service Format</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Option</w:t>
            </w:r>
          </w:p>
        </w:tc>
        <w:tc>
          <w:tcPr>
            <w:tcW w:type="dxa" w:w="432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Potential Fit</w:t>
            </w:r>
          </w:p>
        </w:tc>
        <w:tc>
          <w:tcPr>
            <w:tcW w:type="dxa" w:w="338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Planning Question</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Individual counseling</w:t>
            </w:r>
          </w:p>
        </w:tc>
        <w:tc>
          <w:tcPr>
            <w:tcW w:type="dxa" w:w="432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Privacy, individualized pacing, complex formulation, focused skills or processing.</w:t>
            </w:r>
          </w:p>
        </w:tc>
        <w:tc>
          <w:tcPr>
            <w:tcW w:type="dxa" w:w="33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Is the client able to engage safely and consistently at this level of care?</w:t>
            </w:r>
          </w:p>
        </w:tc>
      </w:tr>
      <w:tr>
        <w:trPr/>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Group counseling</w:t>
            </w:r>
          </w:p>
        </w:tc>
        <w:tc>
          <w:tcPr>
            <w:tcW w:type="dxa" w:w="432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Normalization, peer learning, skills practice, support, cost/access efficiency.</w:t>
            </w:r>
          </w:p>
        </w:tc>
        <w:tc>
          <w:tcPr>
            <w:tcW w:type="dxa" w:w="338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Does the group purpose, structure, readiness, risk, and confidentiality fit the client?</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Couple/family involvement</w:t>
            </w:r>
          </w:p>
        </w:tc>
        <w:tc>
          <w:tcPr>
            <w:tcW w:type="dxa" w:w="432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Relational patterns, support, communication, caregiving, shared behavior change.</w:t>
            </w:r>
          </w:p>
        </w:tc>
        <w:tc>
          <w:tcPr>
            <w:tcW w:type="dxa" w:w="33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Is participation voluntary and safe, especially when coercion or violence is present?</w:t>
            </w:r>
          </w:p>
        </w:tc>
      </w:tr>
      <w:tr>
        <w:trPr/>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Telehealth</w:t>
            </w:r>
          </w:p>
        </w:tc>
        <w:tc>
          <w:tcPr>
            <w:tcW w:type="dxa" w:w="432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Access, continuity, convenience, geographic or disability needs.</w:t>
            </w:r>
          </w:p>
        </w:tc>
        <w:tc>
          <w:tcPr>
            <w:tcW w:type="dxa" w:w="338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Are privacy, technology, emergency planning, jurisdiction, and clinical appropriateness adequate?</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Concurrent or higher care</w:t>
            </w:r>
          </w:p>
        </w:tc>
        <w:tc>
          <w:tcPr>
            <w:tcW w:type="dxa" w:w="432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Medication, medical care, addiction care, nutrition, intensive outpatient, residential, inpatient, specialty evaluation.</w:t>
            </w:r>
          </w:p>
        </w:tc>
        <w:tc>
          <w:tcPr>
            <w:tcW w:type="dxa" w:w="33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need exceeds the current setting, and how will the handoff be completed?</w:t>
            </w:r>
          </w:p>
        </w:tc>
      </w:tr>
    </w:tbl>
    <w:p>
      <w:pPr>
        <w:widowControl/>
        <w:spacing w:after="0"/>
      </w:pPr>
    </w:p>
    <w:p>
      <w:pPr>
        <w:pStyle w:val="Heading2"/>
        <w:keepNext/>
        <w:widowControl/>
        <w:spacing w:before="0" w:after="80"/>
      </w:pPr>
      <w:r>
        <w:rPr>
          <w:rFonts w:ascii="Arial" w:hAnsi="Arial" w:eastAsia="Arial"/>
        </w:rPr>
        <w:t>Contraindications and Sequencing Questions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09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Proposed Action</w:t>
            </w:r>
          </w:p>
        </w:tc>
        <w:tc>
          <w:tcPr>
            <w:tcW w:type="dxa" w:w="655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Reason to Pause, Adapt, or Refer</w:t>
            </w:r>
          </w:p>
        </w:tc>
      </w:tr>
      <w:tr>
        <w:trPr/>
        <w:tc>
          <w:tcPr>
            <w:tcW w:type="dxa" w:w="30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Trauma processing or exposure</w:t>
            </w:r>
          </w:p>
        </w:tc>
        <w:tc>
          <w:tcPr>
            <w:tcW w:type="dxa" w:w="655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Current instability, insufficient consent or readiness, severe dissociation, uncontrolled substance withdrawal, unsafe environment, or inadequate coping/support.</w:t>
            </w:r>
          </w:p>
        </w:tc>
      </w:tr>
      <w:tr>
        <w:trPr/>
        <w:tc>
          <w:tcPr>
            <w:tcW w:type="dxa" w:w="30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Conjoint work</w:t>
            </w:r>
          </w:p>
        </w:tc>
        <w:tc>
          <w:tcPr>
            <w:tcW w:type="dxa" w:w="655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Coercive control, ongoing violence, intimidation, unsafe disclosure, or lack of voluntary participation.</w:t>
            </w:r>
          </w:p>
        </w:tc>
      </w:tr>
      <w:tr>
        <w:trPr/>
        <w:tc>
          <w:tcPr>
            <w:tcW w:type="dxa" w:w="30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Routine outpatient plan</w:t>
            </w:r>
          </w:p>
        </w:tc>
        <w:tc>
          <w:tcPr>
            <w:tcW w:type="dxa" w:w="655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Medical instability, acute psychosis/mania, imminent risk, severe withdrawal, inability to care for self, or need for more intensive monitoring.</w:t>
            </w:r>
          </w:p>
        </w:tc>
      </w:tr>
      <w:tr>
        <w:trPr/>
        <w:tc>
          <w:tcPr>
            <w:tcW w:type="dxa" w:w="30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Group placement</w:t>
            </w:r>
          </w:p>
        </w:tc>
        <w:tc>
          <w:tcPr>
            <w:tcW w:type="dxa" w:w="655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Risk or behavior that the group cannot safely manage, major mismatch with purpose, inability to consent, or confidentiality/attendance barriers.</w:t>
            </w:r>
          </w:p>
        </w:tc>
      </w:tr>
      <w:tr>
        <w:trPr/>
        <w:tc>
          <w:tcPr>
            <w:tcW w:type="dxa" w:w="30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Technique outside competence</w:t>
            </w:r>
          </w:p>
        </w:tc>
        <w:tc>
          <w:tcPr>
            <w:tcW w:type="dxa" w:w="655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Insufficient training, supervision, setting support, or ability to manage likely complications.</w:t>
            </w:r>
          </w:p>
        </w:tc>
      </w:tr>
      <w:tr>
        <w:trPr/>
        <w:tc>
          <w:tcPr>
            <w:tcW w:type="dxa" w:w="30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Standardized plan with no adaptation</w:t>
            </w:r>
          </w:p>
        </w:tc>
        <w:tc>
          <w:tcPr>
            <w:tcW w:type="dxa" w:w="655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Language, disability, neurodivergence, culture, literacy, access, or client preference makes the plan unusable or inequitable.</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EXAM TIP</w:t>
            </w:r>
          </w:p>
          <w:p>
            <w:pPr>
              <w:widowControl/>
              <w:spacing w:after="0"/>
            </w:pPr>
            <w:r>
              <w:rPr>
                <w:rFonts w:ascii="Arial" w:hAnsi="Arial" w:eastAsia="Arial"/>
                <w:color w:val="1F2937"/>
                <w:sz w:val="16"/>
              </w:rPr>
              <w:t>When two answers name appropriate interventions, choose the one that fits the client’s current stability, goal, readiness, setting, and stage of treatment. “Good treatment” can still be the wrong next step.</w:t>
            </w:r>
          </w:p>
        </w:tc>
      </w:tr>
    </w:tbl>
    <w:p>
      <w:pPr>
        <w:widowControl/>
        <w:spacing w:after="0"/>
      </w:pPr>
    </w:p>
    <w:p>
      <w:pPr>
        <w:pStyle w:val="Heading2"/>
        <w:keepNext/>
        <w:widowControl/>
        <w:spacing w:before="0" w:after="80"/>
      </w:pPr>
      <w:r>
        <w:rPr>
          <w:rFonts w:ascii="Arial" w:hAnsi="Arial" w:eastAsia="Arial"/>
        </w:rPr>
        <w:t>Clinical Resource Toolkit: MATCH Initial Treatment Plan</w:t>
      </w:r>
    </w:p>
    <w:tbl>
      <w:tblPr>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44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3"/>
              </w:rPr>
              <w:t>Problem/Priority</w:t>
            </w:r>
          </w:p>
        </w:tc>
        <w:tc>
          <w:tcPr>
            <w:tcW w:type="dxa" w:w="165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3"/>
              </w:rPr>
              <w:t>Goal &amp; Objective</w:t>
            </w:r>
          </w:p>
        </w:tc>
        <w:tc>
          <w:tcPr>
            <w:tcW w:type="dxa" w:w="194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3"/>
              </w:rPr>
              <w:t>Intervention &amp; Rationale</w:t>
            </w:r>
          </w:p>
        </w:tc>
        <w:tc>
          <w:tcPr>
            <w:tcW w:type="dxa" w:w="136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3"/>
              </w:rPr>
              <w:t>Modality/Frequency</w:t>
            </w:r>
          </w:p>
        </w:tc>
        <w:tc>
          <w:tcPr>
            <w:tcW w:type="dxa" w:w="151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3"/>
              </w:rPr>
              <w:t>Risk/Contraindication</w:t>
            </w:r>
          </w:p>
        </w:tc>
        <w:tc>
          <w:tcPr>
            <w:tcW w:type="dxa" w:w="158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3"/>
              </w:rPr>
              <w:t>Referral/Coordination</w:t>
            </w:r>
          </w:p>
        </w:tc>
        <w:tc>
          <w:tcPr>
            <w:tcW w:type="dxa" w:w="129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3"/>
              </w:rPr>
              <w:t>Measure/Review</w:t>
            </w:r>
          </w:p>
        </w:tc>
      </w:tr>
      <w:tr>
        <w:trPr/>
        <w:tc>
          <w:tcPr>
            <w:tcW w:type="dxa" w:w="144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c>
          <w:tcPr>
            <w:tcW w:type="dxa" w:w="136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c>
          <w:tcPr>
            <w:tcW w:type="dxa" w:w="15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c>
          <w:tcPr>
            <w:tcW w:type="dxa" w:w="15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c>
          <w:tcPr>
            <w:tcW w:type="dxa" w:w="12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r>
      <w:tr>
        <w:trPr/>
        <w:tc>
          <w:tcPr>
            <w:tcW w:type="dxa" w:w="144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c>
          <w:tcPr>
            <w:tcW w:type="dxa" w:w="16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c>
          <w:tcPr>
            <w:tcW w:type="dxa" w:w="136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c>
          <w:tcPr>
            <w:tcW w:type="dxa" w:w="15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c>
          <w:tcPr>
            <w:tcW w:type="dxa" w:w="158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c>
          <w:tcPr>
            <w:tcW w:type="dxa" w:w="12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r>
      <w:tr>
        <w:trPr/>
        <w:tc>
          <w:tcPr>
            <w:tcW w:type="dxa" w:w="144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c>
          <w:tcPr>
            <w:tcW w:type="dxa" w:w="136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c>
          <w:tcPr>
            <w:tcW w:type="dxa" w:w="15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c>
          <w:tcPr>
            <w:tcW w:type="dxa" w:w="15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c>
          <w:tcPr>
            <w:tcW w:type="dxa" w:w="12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3"/>
              </w:rPr>
            </w:r>
          </w:p>
        </w:tc>
      </w:tr>
    </w:tbl>
    <w:p>
      <w:pPr>
        <w:widowControl/>
        <w:spacing w:after="0"/>
      </w:pPr>
    </w:p>
    <w:p>
      <w:pPr>
        <w:pStyle w:val="Heading2"/>
        <w:keepNext/>
        <w:widowControl/>
        <w:spacing w:before="0" w:after="80"/>
      </w:pPr>
      <w:r>
        <w:rPr>
          <w:rFonts w:ascii="Arial" w:hAnsi="Arial" w:eastAsia="Arial"/>
        </w:rPr>
        <w:t>Chapter 3 Summary</w:t>
      </w:r>
    </w:p>
    <w:p>
      <w:pPr>
        <w:pStyle w:val="ListBullet"/>
        <w:keepLines/>
        <w:widowControl/>
        <w:spacing w:after="30"/>
      </w:pPr>
      <w:r>
        <w:rPr>
          <w:rFonts w:ascii="Arial" w:hAnsi="Arial" w:eastAsia="Arial"/>
          <w:color w:val="1F2937"/>
          <w:sz w:val="17"/>
        </w:rPr>
        <w:t>Every treatment-plan element should connect to the case formulation and client-defined goals.</w:t>
      </w:r>
    </w:p>
    <w:p>
      <w:pPr>
        <w:pStyle w:val="ListBullet"/>
        <w:keepLines/>
        <w:widowControl/>
        <w:spacing w:after="30"/>
      </w:pPr>
      <w:r>
        <w:rPr>
          <w:rFonts w:ascii="Arial" w:hAnsi="Arial" w:eastAsia="Arial"/>
          <w:color w:val="1F2937"/>
          <w:sz w:val="17"/>
        </w:rPr>
        <w:t>MATCH links urgency, assessment evidence, treatment targets, client context, hazards, and handoffs.</w:t>
      </w:r>
    </w:p>
    <w:p>
      <w:pPr>
        <w:pStyle w:val="ListBullet"/>
        <w:keepLines/>
        <w:widowControl/>
        <w:spacing w:after="30"/>
      </w:pPr>
      <w:r>
        <w:rPr>
          <w:rFonts w:ascii="Arial" w:hAnsi="Arial" w:eastAsia="Arial"/>
          <w:color w:val="1F2937"/>
          <w:sz w:val="17"/>
        </w:rPr>
        <w:t>Modality is a clinical decision, not merely a preference or convenience decision.</w:t>
      </w:r>
    </w:p>
    <w:p>
      <w:pPr>
        <w:pStyle w:val="ListBullet"/>
        <w:keepLines/>
        <w:widowControl/>
        <w:spacing w:after="30"/>
      </w:pPr>
      <w:r>
        <w:rPr>
          <w:rFonts w:ascii="Arial" w:hAnsi="Arial" w:eastAsia="Arial"/>
          <w:color w:val="1F2937"/>
          <w:sz w:val="17"/>
        </w:rPr>
        <w:t>Contraindications often test sequence, safety, readiness, competence, and setting capacity.</w:t>
      </w:r>
    </w:p>
    <w:p>
      <w:pPr>
        <w:pStyle w:val="ListBullet"/>
        <w:keepLines/>
        <w:widowControl/>
        <w:spacing w:after="30"/>
      </w:pPr>
      <w:r>
        <w:rPr>
          <w:rFonts w:ascii="Arial" w:hAnsi="Arial" w:eastAsia="Arial"/>
          <w:color w:val="1F2937"/>
          <w:sz w:val="17"/>
        </w:rPr>
        <w:t>The initial plan should already state how progress, nonresponse, escalation, and termination will be evaluated.</w:t>
      </w:r>
    </w:p>
    <w:p>
      <w:pPr>
        <w:widowControl/>
      </w:pPr>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rPr/>
        <w:tc>
          <w:tcPr>
            <w:tcW w:type="dxa" w:w="936"/>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4"/>
              </w:rPr>
              <w:t>4</w:t>
            </w:r>
          </w:p>
        </w:tc>
        <w:tc>
          <w:tcPr>
            <w:tcW w:type="dxa" w:w="9432"/>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1"/>
              </w:rPr>
              <w:t>Measurement, Progress Review, and Plan Revision</w:t>
            </w:r>
          </w:p>
        </w:tc>
      </w:tr>
    </w:tbl>
    <w:p>
      <w:pPr>
        <w:widowControl/>
        <w:spacing w:after="0"/>
      </w:pPr>
    </w:p>
    <w:p>
      <w:pPr>
        <w:widowControl/>
        <w:spacing w:before="0" w:after="80"/>
      </w:pPr>
      <w:r>
        <w:rPr>
          <w:rFonts w:ascii="Arial" w:hAnsi="Arial" w:eastAsia="Arial"/>
          <w:i/>
          <w:color w:val="4B5563"/>
          <w:sz w:val="18"/>
        </w:rPr>
        <w:t>Measure to support shared decision-making, not to replace the client’s story or the counselor’s clinical judgment.</w:t>
      </w:r>
    </w:p>
    <w:p>
      <w:pPr>
        <w:pStyle w:val="Heading2"/>
        <w:keepNext/>
        <w:widowControl/>
        <w:spacing w:before="0" w:after="80"/>
      </w:pPr>
      <w:r>
        <w:rPr>
          <w:rFonts w:ascii="Arial" w:hAnsi="Arial" w:eastAsia="Arial"/>
        </w:rPr>
        <w:t>What Measurement-Based Care Adds</w:t>
      </w:r>
    </w:p>
    <w:p>
      <w:pPr>
        <w:widowControl/>
        <w:spacing w:before="0" w:after="80"/>
      </w:pPr>
      <w:r>
        <w:rPr>
          <w:rFonts w:ascii="Arial" w:hAnsi="Arial" w:eastAsia="Arial"/>
          <w:sz w:val="18"/>
        </w:rPr>
        <w:t>Measurement-based care uses routinely collected client-reported or other structured information to inform clinical care and shared decisions. A score is one data point. The counselor also reviews functioning, behavior, safety, attendance, goal completion, alliance, side effects, context, and the client’s interpretation of change.</w:t>
      </w:r>
    </w:p>
    <w:p>
      <w:pPr>
        <w:pStyle w:val="Heading2"/>
        <w:keepNext/>
        <w:widowControl/>
        <w:spacing w:before="0" w:after="80"/>
      </w:pPr>
      <w:r>
        <w:rPr>
          <w:rFonts w:ascii="Arial" w:hAnsi="Arial" w:eastAsia="Arial"/>
        </w:rPr>
        <w:t>The MEASURE Progress Review</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194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Step</w:t>
            </w:r>
          </w:p>
        </w:tc>
        <w:tc>
          <w:tcPr>
            <w:tcW w:type="dxa" w:w="784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Counselor Action</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M - Map the baseline</w:t>
            </w:r>
          </w:p>
        </w:tc>
        <w:tc>
          <w:tcPr>
            <w:tcW w:type="dxa" w:w="784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Record starting symptoms, function, behavior, risk, strengths, and client priorities before claiming improvement or deterioration.</w:t>
            </w:r>
          </w:p>
        </w:tc>
      </w:tr>
      <w:tr>
        <w:trPr/>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E - Establish indicators</w:t>
            </w:r>
          </w:p>
        </w:tc>
        <w:tc>
          <w:tcPr>
            <w:tcW w:type="dxa" w:w="784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Choose brief, relevant, accessible indicators tied to the plan. Avoid collecting data that will not be reviewed.</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A - Administer consistently</w:t>
            </w:r>
          </w:p>
        </w:tc>
        <w:tc>
          <w:tcPr>
            <w:tcW w:type="dxa" w:w="784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Use the same measure or observation method at planned intervals and under comparable conditions when possible.</w:t>
            </w:r>
          </w:p>
        </w:tc>
      </w:tr>
      <w:tr>
        <w:trPr/>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S - Share and discuss</w:t>
            </w:r>
          </w:p>
        </w:tc>
        <w:tc>
          <w:tcPr>
            <w:tcW w:type="dxa" w:w="784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Review results with the client, explain limits, ask what the data miss, and connect results to lived experience.</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U - Understand nonresponse</w:t>
            </w:r>
          </w:p>
        </w:tc>
        <w:tc>
          <w:tcPr>
            <w:tcW w:type="dxa" w:w="784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Assess diagnosis, risk, adherence, fit, alliance, barriers, intervention fidelity, substance/medical factors, and level of care.</w:t>
            </w:r>
          </w:p>
        </w:tc>
      </w:tr>
      <w:tr>
        <w:trPr/>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R - Revise collaboratively</w:t>
            </w:r>
          </w:p>
        </w:tc>
        <w:tc>
          <w:tcPr>
            <w:tcW w:type="dxa" w:w="784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Continue, adapt, intensify, step down, consult, refer, or change the plan based on the combined evidence.</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E - Evaluate equity and burden</w:t>
            </w:r>
          </w:p>
        </w:tc>
        <w:tc>
          <w:tcPr>
            <w:tcW w:type="dxa" w:w="784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Check whether language, disability, culture, literacy, technology, cost, or measurement burden distorts results or access.</w:t>
            </w:r>
          </w:p>
        </w:tc>
      </w:tr>
    </w:tbl>
    <w:p>
      <w:pPr>
        <w:widowControl/>
        <w:spacing w:after="0"/>
      </w:pPr>
    </w:p>
    <w:p>
      <w:pPr>
        <w:pStyle w:val="Heading2"/>
        <w:keepNext/>
        <w:widowControl/>
        <w:spacing w:before="0" w:after="80"/>
      </w:pPr>
      <w:r>
        <w:rPr>
          <w:rFonts w:ascii="Arial" w:hAnsi="Arial" w:eastAsia="Arial"/>
        </w:rPr>
        <w:t>Use Multiple Indicators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1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Indicator</w:t>
            </w:r>
          </w:p>
        </w:tc>
        <w:tc>
          <w:tcPr>
            <w:tcW w:type="dxa" w:w="446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What It Adds</w:t>
            </w:r>
          </w:p>
        </w:tc>
        <w:tc>
          <w:tcPr>
            <w:tcW w:type="dxa" w:w="331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Limitation</w:t>
            </w:r>
          </w:p>
        </w:tc>
      </w:tr>
      <w:tr>
        <w:trPr/>
        <w:tc>
          <w:tcPr>
            <w:tcW w:type="dxa" w:w="20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Symptom measure</w:t>
            </w:r>
          </w:p>
        </w:tc>
        <w:tc>
          <w:tcPr>
            <w:tcW w:type="dxa" w:w="446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Standardized trend and severity estimate.</w:t>
            </w:r>
          </w:p>
        </w:tc>
        <w:tc>
          <w:tcPr>
            <w:tcW w:type="dxa" w:w="33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May miss context, function, culture, or response style.</w:t>
            </w:r>
          </w:p>
        </w:tc>
      </w:tr>
      <w:tr>
        <w:trPr/>
        <w:tc>
          <w:tcPr>
            <w:tcW w:type="dxa" w:w="20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Functional outcome</w:t>
            </w:r>
          </w:p>
        </w:tc>
        <w:tc>
          <w:tcPr>
            <w:tcW w:type="dxa" w:w="446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Work, school, sleep, relationships, self-care, daily routines.</w:t>
            </w:r>
          </w:p>
        </w:tc>
        <w:tc>
          <w:tcPr>
            <w:tcW w:type="dxa" w:w="33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May change slowly or be affected by external conditions.</w:t>
            </w:r>
          </w:p>
        </w:tc>
      </w:tr>
      <w:tr>
        <w:trPr/>
        <w:tc>
          <w:tcPr>
            <w:tcW w:type="dxa" w:w="20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Behavioral target</w:t>
            </w:r>
          </w:p>
        </w:tc>
        <w:tc>
          <w:tcPr>
            <w:tcW w:type="dxa" w:w="446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Attendance, exposure steps, substance days, sleep schedule, practice completion.</w:t>
            </w:r>
          </w:p>
        </w:tc>
        <w:tc>
          <w:tcPr>
            <w:tcW w:type="dxa" w:w="33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Completion does not always equal meaningful improvement.</w:t>
            </w:r>
          </w:p>
        </w:tc>
      </w:tr>
      <w:tr>
        <w:trPr/>
        <w:tc>
          <w:tcPr>
            <w:tcW w:type="dxa" w:w="20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Client-defined rating</w:t>
            </w:r>
          </w:p>
        </w:tc>
        <w:tc>
          <w:tcPr>
            <w:tcW w:type="dxa" w:w="446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Meaning, satisfaction, confidence, quality of life, readiness.</w:t>
            </w:r>
          </w:p>
        </w:tc>
        <w:tc>
          <w:tcPr>
            <w:tcW w:type="dxa" w:w="33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Can fluctuate and requires discussion.</w:t>
            </w:r>
          </w:p>
        </w:tc>
      </w:tr>
      <w:tr>
        <w:trPr/>
        <w:tc>
          <w:tcPr>
            <w:tcW w:type="dxa" w:w="20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Counselor observation and alliance feedback</w:t>
            </w:r>
          </w:p>
        </w:tc>
        <w:tc>
          <w:tcPr>
            <w:tcW w:type="dxa" w:w="446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Engagement, skill use, rupture, avoidance, affect, collaboration.</w:t>
            </w:r>
          </w:p>
        </w:tc>
        <w:tc>
          <w:tcPr>
            <w:tcW w:type="dxa" w:w="33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Vulnerable to bias without client feedback and other evidence.</w:t>
            </w:r>
          </w:p>
        </w:tc>
      </w:tr>
      <w:tr>
        <w:trPr/>
        <w:tc>
          <w:tcPr>
            <w:tcW w:type="dxa" w:w="20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Collateral or records</w:t>
            </w:r>
          </w:p>
        </w:tc>
        <w:tc>
          <w:tcPr>
            <w:tcW w:type="dxa" w:w="446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Cross-setting information and continuity.</w:t>
            </w:r>
          </w:p>
        </w:tc>
        <w:tc>
          <w:tcPr>
            <w:tcW w:type="dxa" w:w="33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Requires appropriate consent or legal basis and may reflect another observer’s bias.</w:t>
            </w:r>
          </w:p>
        </w:tc>
      </w:tr>
    </w:tbl>
    <w:p>
      <w:pPr>
        <w:widowControl/>
        <w:spacing w:after="0"/>
      </w:pPr>
    </w:p>
    <w:p>
      <w:pPr>
        <w:pStyle w:val="Heading2"/>
        <w:keepNext/>
        <w:widowControl/>
        <w:spacing w:before="0" w:after="80"/>
      </w:pPr>
      <w:r>
        <w:rPr>
          <w:rFonts w:ascii="Arial" w:hAnsi="Arial" w:eastAsia="Arial"/>
        </w:rPr>
        <w:t>When Progress Is Limited</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0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Check</w:t>
            </w:r>
          </w:p>
        </w:tc>
        <w:tc>
          <w:tcPr>
            <w:tcW w:type="dxa" w:w="770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Questions Before Changing the Plan</w:t>
            </w:r>
          </w:p>
        </w:tc>
      </w:tr>
      <w:tr>
        <w:trPr/>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Safety/medical status</w:t>
            </w:r>
          </w:p>
        </w:tc>
        <w:tc>
          <w:tcPr>
            <w:tcW w:type="dxa" w:w="770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Has risk, substance use, medication, sleep, pain, or medical status changed?</w:t>
            </w:r>
          </w:p>
        </w:tc>
      </w:tr>
      <w:tr>
        <w:trPr/>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Diagnostic/formulation fit</w:t>
            </w:r>
          </w:p>
        </w:tc>
        <w:tc>
          <w:tcPr>
            <w:tcW w:type="dxa" w:w="770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Is the working explanation still supported? Is an important condition or contextual factor missing?</w:t>
            </w:r>
          </w:p>
        </w:tc>
      </w:tr>
      <w:tr>
        <w:trPr/>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Goal relevance</w:t>
            </w:r>
          </w:p>
        </w:tc>
        <w:tc>
          <w:tcPr>
            <w:tcW w:type="dxa" w:w="770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Does the client still want this goal? Is the objective meaningful and achievable?</w:t>
            </w:r>
          </w:p>
        </w:tc>
      </w:tr>
      <w:tr>
        <w:trPr/>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Intervention delivery</w:t>
            </w:r>
          </w:p>
        </w:tc>
        <w:tc>
          <w:tcPr>
            <w:tcW w:type="dxa" w:w="770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Was the intervention delivered adequately, at sufficient dose, and within counselor competence?</w:t>
            </w:r>
          </w:p>
        </w:tc>
      </w:tr>
      <w:tr>
        <w:trPr/>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Access and barriers</w:t>
            </w:r>
          </w:p>
        </w:tc>
        <w:tc>
          <w:tcPr>
            <w:tcW w:type="dxa" w:w="770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Are cost, time, caregiving, language, disability, transportation, technology, stigma, or family pressure interfering?</w:t>
            </w:r>
          </w:p>
        </w:tc>
      </w:tr>
      <w:tr>
        <w:trPr/>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Alliance and feedback</w:t>
            </w:r>
          </w:p>
        </w:tc>
        <w:tc>
          <w:tcPr>
            <w:tcW w:type="dxa" w:w="770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Does the client feel understood, respected, and able to disagree? Has a rupture been addressed?</w:t>
            </w:r>
          </w:p>
        </w:tc>
      </w:tr>
      <w:tr>
        <w:trPr/>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Level of care and coordination</w:t>
            </w:r>
          </w:p>
        </w:tc>
        <w:tc>
          <w:tcPr>
            <w:tcW w:type="dxa" w:w="770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Is more intensive, different, or concurrent care indicated? Was the referral actually completed?</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FFF8DF"/>
            <w:tcBorders>
              <w:top w:sz="9" w:val="single" w:color="E7C66A"/>
              <w:left w:sz="9" w:val="single" w:color="E7C66A"/>
              <w:bottom w:sz="9" w:val="single" w:color="E7C66A"/>
              <w:right w:sz="9" w:val="single" w:color="E7C66A"/>
            </w:tcBorders>
            <w:tcMar>
              <w:top w:w="80" w:type="dxa"/>
              <w:start w:w="120" w:type="dxa"/>
              <w:bottom w:w="80" w:type="dxa"/>
              <w:end w:w="120" w:type="dxa"/>
            </w:tcMar>
          </w:tcPr>
          <w:p>
            <w:pPr>
              <w:widowControl/>
              <w:spacing w:after="40"/>
            </w:pPr>
            <w:r>
              <w:rPr>
                <w:rFonts w:ascii="Arial" w:hAnsi="Arial" w:eastAsia="Arial"/>
                <w:b/>
                <w:color w:val="17365D"/>
                <w:sz w:val="17"/>
              </w:rPr>
              <w:t>COMMON TRAP</w:t>
            </w:r>
          </w:p>
          <w:p>
            <w:pPr>
              <w:widowControl/>
              <w:spacing w:after="0"/>
            </w:pPr>
            <w:r>
              <w:rPr>
                <w:rFonts w:ascii="Arial" w:hAnsi="Arial" w:eastAsia="Arial"/>
                <w:color w:val="1F2937"/>
                <w:sz w:val="16"/>
              </w:rPr>
              <w:t>Do not automatically intensify the same intervention because a score did not improve. First verify the measure, review the client’s experience, reassess risk and formulation, and identify barriers or mismatch.</w:t>
            </w:r>
          </w:p>
        </w:tc>
      </w:tr>
    </w:tbl>
    <w:p>
      <w:pPr>
        <w:widowControl/>
        <w:spacing w:after="0"/>
      </w:pPr>
    </w:p>
    <w:p>
      <w:pPr>
        <w:pStyle w:val="Heading2"/>
        <w:keepNext/>
        <w:widowControl/>
        <w:spacing w:before="0" w:after="80"/>
      </w:pPr>
      <w:r>
        <w:rPr>
          <w:rFonts w:ascii="Arial" w:hAnsi="Arial" w:eastAsia="Arial"/>
        </w:rPr>
        <w:t>Documentation and Plan Revision</w:t>
      </w:r>
    </w:p>
    <w:p>
      <w:pPr>
        <w:widowControl/>
        <w:spacing w:before="0" w:after="80"/>
      </w:pPr>
      <w:r>
        <w:rPr>
          <w:rFonts w:ascii="Arial" w:hAnsi="Arial" w:eastAsia="Arial"/>
          <w:sz w:val="17"/>
        </w:rPr>
        <w:t>Progress notes document what occurred in a service encounter and the client’s response. A treatment-plan review documents whether the overall goals, objectives, services, frequency, measures, referrals, risk plan, and termination criteria remain appropriate. The exam may test whether new information requires a plan-level change rather than only a routine progress note.</w:t>
      </w:r>
    </w:p>
    <w:p>
      <w:pPr>
        <w:pStyle w:val="Heading2"/>
        <w:keepNext/>
        <w:widowControl/>
        <w:spacing w:before="0" w:after="80"/>
      </w:pPr>
      <w:r>
        <w:rPr>
          <w:rFonts w:ascii="Arial" w:hAnsi="Arial" w:eastAsia="Arial"/>
        </w:rPr>
        <w:t>Clinical Resource Toolkit: MEASURE Progress Review Dashboard</w:t>
      </w:r>
    </w:p>
    <w:tbl>
      <w:tblPr>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65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Goal/Objective</w:t>
            </w:r>
          </w:p>
        </w:tc>
        <w:tc>
          <w:tcPr>
            <w:tcW w:type="dxa" w:w="129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Baseline</w:t>
            </w:r>
          </w:p>
        </w:tc>
        <w:tc>
          <w:tcPr>
            <w:tcW w:type="dxa" w:w="144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Current Data</w:t>
            </w:r>
          </w:p>
        </w:tc>
        <w:tc>
          <w:tcPr>
            <w:tcW w:type="dxa" w:w="165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Client Interpretation</w:t>
            </w:r>
          </w:p>
        </w:tc>
        <w:tc>
          <w:tcPr>
            <w:tcW w:type="dxa" w:w="158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Barrier/Fit Check</w:t>
            </w:r>
          </w:p>
        </w:tc>
        <w:tc>
          <w:tcPr>
            <w:tcW w:type="dxa" w:w="129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Decision</w:t>
            </w:r>
          </w:p>
        </w:tc>
        <w:tc>
          <w:tcPr>
            <w:tcW w:type="dxa" w:w="122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Next Review</w:t>
            </w:r>
          </w:p>
        </w:tc>
      </w:tr>
      <w:tr>
        <w:trPr/>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44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5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r>
        <w:trPr/>
        <w:tc>
          <w:tcPr>
            <w:tcW w:type="dxa" w:w="16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44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6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58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r>
        <w:trPr/>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44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5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c>
          <w:tcPr>
            <w:tcW w:type="dxa" w:w="12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r>
          </w:p>
        </w:tc>
      </w:tr>
    </w:tbl>
    <w:p>
      <w:pPr>
        <w:widowControl/>
        <w:spacing w:after="0"/>
      </w:pPr>
    </w:p>
    <w:p>
      <w:pPr>
        <w:pStyle w:val="Heading2"/>
        <w:keepNext/>
        <w:widowControl/>
        <w:spacing w:before="0" w:after="80"/>
      </w:pPr>
      <w:r>
        <w:rPr>
          <w:rFonts w:ascii="Arial" w:hAnsi="Arial" w:eastAsia="Arial"/>
        </w:rPr>
        <w:t>Chapter 4 Summary</w:t>
      </w:r>
    </w:p>
    <w:p>
      <w:pPr>
        <w:pStyle w:val="ListBullet"/>
        <w:keepLines/>
        <w:widowControl/>
        <w:spacing w:after="30"/>
      </w:pPr>
      <w:r>
        <w:rPr>
          <w:rFonts w:ascii="Arial" w:hAnsi="Arial" w:eastAsia="Arial"/>
          <w:color w:val="1F2937"/>
          <w:sz w:val="17"/>
        </w:rPr>
        <w:t>Measurement-based care uses routine information to support shared decisions and individualized plan revision.</w:t>
      </w:r>
    </w:p>
    <w:p>
      <w:pPr>
        <w:pStyle w:val="ListBullet"/>
        <w:keepLines/>
        <w:widowControl/>
        <w:spacing w:after="30"/>
      </w:pPr>
      <w:r>
        <w:rPr>
          <w:rFonts w:ascii="Arial" w:hAnsi="Arial" w:eastAsia="Arial"/>
          <w:color w:val="1F2937"/>
          <w:sz w:val="17"/>
        </w:rPr>
        <w:t>A score should be interpreted with function, behavior, safety, context, alliance, and client meaning.</w:t>
      </w:r>
    </w:p>
    <w:p>
      <w:pPr>
        <w:pStyle w:val="ListBullet"/>
        <w:keepLines/>
        <w:widowControl/>
        <w:spacing w:after="30"/>
      </w:pPr>
      <w:r>
        <w:rPr>
          <w:rFonts w:ascii="Arial" w:hAnsi="Arial" w:eastAsia="Arial"/>
          <w:color w:val="1F2937"/>
          <w:sz w:val="17"/>
        </w:rPr>
        <w:t>MEASURE establishes a baseline, uses relevant indicators, shares results, investigates nonresponse, and revises collaboratively.</w:t>
      </w:r>
    </w:p>
    <w:p>
      <w:pPr>
        <w:pStyle w:val="ListBullet"/>
        <w:keepLines/>
        <w:widowControl/>
        <w:spacing w:after="30"/>
      </w:pPr>
      <w:r>
        <w:rPr>
          <w:rFonts w:ascii="Arial" w:hAnsi="Arial" w:eastAsia="Arial"/>
          <w:color w:val="1F2937"/>
          <w:sz w:val="17"/>
        </w:rPr>
        <w:t>Limited progress calls for reassessment before simply adding more of the same treatment.</w:t>
      </w:r>
    </w:p>
    <w:p>
      <w:pPr>
        <w:pStyle w:val="ListBullet"/>
        <w:keepLines/>
        <w:widowControl/>
        <w:spacing w:after="30"/>
      </w:pPr>
      <w:r>
        <w:rPr>
          <w:rFonts w:ascii="Arial" w:hAnsi="Arial" w:eastAsia="Arial"/>
          <w:color w:val="1F2937"/>
          <w:sz w:val="17"/>
        </w:rPr>
        <w:t>The treatment plan should be formally updated when the goals, services, risk, coordination, or level of care changes.</w:t>
      </w:r>
    </w:p>
    <w:p>
      <w:pPr>
        <w:widowControl/>
      </w:pPr>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rPr/>
        <w:tc>
          <w:tcPr>
            <w:tcW w:type="dxa" w:w="936"/>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4"/>
              </w:rPr>
              <w:t>5</w:t>
            </w:r>
          </w:p>
        </w:tc>
        <w:tc>
          <w:tcPr>
            <w:tcW w:type="dxa" w:w="9432"/>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1"/>
              </w:rPr>
              <w:t>Relapse Prevention, Termination, Discharge, and Continuity</w:t>
            </w:r>
          </w:p>
        </w:tc>
      </w:tr>
    </w:tbl>
    <w:p>
      <w:pPr>
        <w:widowControl/>
        <w:spacing w:after="0"/>
      </w:pPr>
    </w:p>
    <w:p>
      <w:pPr>
        <w:widowControl/>
        <w:spacing w:before="0" w:after="80"/>
      </w:pPr>
      <w:r>
        <w:rPr>
          <w:rFonts w:ascii="Arial" w:hAnsi="Arial" w:eastAsia="Arial"/>
          <w:i/>
          <w:color w:val="4B5563"/>
          <w:sz w:val="18"/>
        </w:rPr>
        <w:t>Termination planning begins when treatment begins because goals, progress criteria, and the expected course should be transparent from the start.</w:t>
      </w:r>
    </w:p>
    <w:p>
      <w:pPr>
        <w:pStyle w:val="Heading2"/>
        <w:keepNext/>
        <w:widowControl/>
        <w:spacing w:before="0" w:after="80"/>
      </w:pPr>
      <w:r>
        <w:rPr>
          <w:rFonts w:ascii="Arial" w:hAnsi="Arial" w:eastAsia="Arial"/>
        </w:rPr>
        <w:t>Types of Ending or Transition</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44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Ending/Transition</w:t>
            </w:r>
          </w:p>
        </w:tc>
        <w:tc>
          <w:tcPr>
            <w:tcW w:type="dxa" w:w="720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Planning Focus</w:t>
            </w:r>
          </w:p>
        </w:tc>
      </w:tr>
      <w:tr>
        <w:trPr/>
        <w:tc>
          <w:tcPr>
            <w:tcW w:type="dxa" w:w="244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Planned completion</w:t>
            </w:r>
          </w:p>
        </w:tc>
        <w:tc>
          <w:tcPr>
            <w:tcW w:type="dxa" w:w="72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Review gains, remaining needs, warning signs, maintenance skills, supports, follow-up, and return criteria.</w:t>
            </w:r>
          </w:p>
        </w:tc>
      </w:tr>
      <w:tr>
        <w:trPr/>
        <w:tc>
          <w:tcPr>
            <w:tcW w:type="dxa" w:w="244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Step-down or spacing</w:t>
            </w:r>
          </w:p>
        </w:tc>
        <w:tc>
          <w:tcPr>
            <w:tcW w:type="dxa" w:w="72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Clarify what stability supports reduced frequency and what would trigger increased care.</w:t>
            </w:r>
          </w:p>
        </w:tc>
      </w:tr>
      <w:tr>
        <w:trPr/>
        <w:tc>
          <w:tcPr>
            <w:tcW w:type="dxa" w:w="244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Transfer or referral</w:t>
            </w:r>
          </w:p>
        </w:tc>
        <w:tc>
          <w:tcPr>
            <w:tcW w:type="dxa" w:w="72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Use a warm handoff, clear role transition, records/release as appropriate, and bridge care until connection when feasible.</w:t>
            </w:r>
          </w:p>
        </w:tc>
      </w:tr>
      <w:tr>
        <w:trPr/>
        <w:tc>
          <w:tcPr>
            <w:tcW w:type="dxa" w:w="244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Client-initiated discontinuation</w:t>
            </w:r>
          </w:p>
        </w:tc>
        <w:tc>
          <w:tcPr>
            <w:tcW w:type="dxa" w:w="72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Respect choice, explore concerns without coercion, assess safety, provide recommendations and reentry information, and document.</w:t>
            </w:r>
          </w:p>
        </w:tc>
      </w:tr>
      <w:tr>
        <w:trPr/>
        <w:tc>
          <w:tcPr>
            <w:tcW w:type="dxa" w:w="244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Counselor-initiated ending</w:t>
            </w:r>
          </w:p>
        </w:tc>
        <w:tc>
          <w:tcPr>
            <w:tcW w:type="dxa" w:w="72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Use clinically and ethically supportable reasons, adequate notice when possible, referrals, emergency information, and nonabandonment safeguards.</w:t>
            </w:r>
          </w:p>
        </w:tc>
      </w:tr>
      <w:tr>
        <w:trPr/>
        <w:tc>
          <w:tcPr>
            <w:tcW w:type="dxa" w:w="244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Unplanned interruption or dropout</w:t>
            </w:r>
          </w:p>
        </w:tc>
        <w:tc>
          <w:tcPr>
            <w:tcW w:type="dxa" w:w="72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Follow policy and clinical judgment for outreach, safety check, attendance expectations, closure, referrals, and documentation.</w:t>
            </w:r>
          </w:p>
        </w:tc>
      </w:tr>
    </w:tbl>
    <w:p>
      <w:pPr>
        <w:widowControl/>
        <w:spacing w:after="0"/>
      </w:pPr>
    </w:p>
    <w:p>
      <w:pPr>
        <w:pStyle w:val="Heading2"/>
        <w:keepNext/>
        <w:widowControl/>
        <w:spacing w:before="0" w:after="80"/>
      </w:pPr>
      <w:r>
        <w:rPr>
          <w:rFonts w:ascii="Arial" w:hAnsi="Arial" w:eastAsia="Arial"/>
        </w:rPr>
        <w:t>The BRIDGE Continuity Plan</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01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Step</w:t>
            </w:r>
          </w:p>
        </w:tc>
        <w:tc>
          <w:tcPr>
            <w:tcW w:type="dxa" w:w="777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Counselor and Client Task</w:t>
            </w:r>
          </w:p>
        </w:tc>
      </w:tr>
      <w:tr>
        <w:trPr/>
        <w:tc>
          <w:tcPr>
            <w:tcW w:type="dxa" w:w="20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B - Benchmarks and remaining needs</w:t>
            </w:r>
          </w:p>
        </w:tc>
        <w:tc>
          <w:tcPr>
            <w:tcW w:type="dxa" w:w="77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Compare current functioning and measures with baseline, goals, and termination criteria.</w:t>
            </w:r>
          </w:p>
        </w:tc>
      </w:tr>
      <w:tr>
        <w:trPr/>
        <w:tc>
          <w:tcPr>
            <w:tcW w:type="dxa" w:w="20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R - Review gains and mechanisms</w:t>
            </w:r>
          </w:p>
        </w:tc>
        <w:tc>
          <w:tcPr>
            <w:tcW w:type="dxa" w:w="777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Name what changed, what the client did, which supports mattered, and which skills are reliable.</w:t>
            </w:r>
          </w:p>
        </w:tc>
      </w:tr>
      <w:tr>
        <w:trPr/>
        <w:tc>
          <w:tcPr>
            <w:tcW w:type="dxa" w:w="20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I - Identify warning signs and high-risk situations</w:t>
            </w:r>
          </w:p>
        </w:tc>
        <w:tc>
          <w:tcPr>
            <w:tcW w:type="dxa" w:w="77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List early symptoms, triggers, avoidance, substance patterns, relationship changes, and barriers that may signal recurrence.</w:t>
            </w:r>
          </w:p>
        </w:tc>
      </w:tr>
      <w:tr>
        <w:trPr/>
        <w:tc>
          <w:tcPr>
            <w:tcW w:type="dxa" w:w="20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D - Define response steps</w:t>
            </w:r>
          </w:p>
        </w:tc>
        <w:tc>
          <w:tcPr>
            <w:tcW w:type="dxa" w:w="777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Specify coping actions, support contacts, medication/medical follow-up, crisis steps, and when to seek higher care.</w:t>
            </w:r>
          </w:p>
        </w:tc>
      </w:tr>
      <w:tr>
        <w:trPr/>
        <w:tc>
          <w:tcPr>
            <w:tcW w:type="dxa" w:w="20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G - Give continuity resources</w:t>
            </w:r>
          </w:p>
        </w:tc>
        <w:tc>
          <w:tcPr>
            <w:tcW w:type="dxa" w:w="777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Confirm referrals, appointment information, records/release, community resources, and who is responsible for each next step.</w:t>
            </w:r>
          </w:p>
        </w:tc>
      </w:tr>
      <w:tr>
        <w:trPr/>
        <w:tc>
          <w:tcPr>
            <w:tcW w:type="dxa" w:w="20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E - Establish follow-up and return criteria</w:t>
            </w:r>
          </w:p>
        </w:tc>
        <w:tc>
          <w:tcPr>
            <w:tcW w:type="dxa" w:w="777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Plan booster or follow-up contact when appropriate, clarify reentry limits, and document how the client can seek future care.</w:t>
            </w:r>
          </w:p>
        </w:tc>
      </w:tr>
    </w:tbl>
    <w:p>
      <w:pPr>
        <w:widowControl/>
        <w:spacing w:after="0"/>
      </w:pPr>
    </w:p>
    <w:p>
      <w:pPr>
        <w:pStyle w:val="Heading2"/>
        <w:keepNext/>
        <w:widowControl/>
        <w:spacing w:before="0" w:after="80"/>
      </w:pPr>
      <w:r>
        <w:rPr>
          <w:rFonts w:ascii="Arial" w:hAnsi="Arial" w:eastAsia="Arial"/>
        </w:rPr>
        <w:t>Relapse Prevention Is Specific</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223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Weak Statement</w:t>
            </w:r>
          </w:p>
        </w:tc>
        <w:tc>
          <w:tcPr>
            <w:tcW w:type="dxa" w:w="741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Stronger Planning Statement</w:t>
            </w:r>
          </w:p>
        </w:tc>
      </w:tr>
      <w:tr>
        <w:trPr/>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Use coping skills if symptoms return.</w:t>
            </w:r>
          </w:p>
        </w:tc>
        <w:tc>
          <w:tcPr>
            <w:tcW w:type="dxa" w:w="74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If sleep falls below five hours for three nights and work avoidance increases, resume the evening routine, contact the support person, complete the coping plan, and contact the counselor or prescriber within two business days.</w:t>
            </w:r>
          </w:p>
        </w:tc>
      </w:tr>
      <w:tr>
        <w:trPr/>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Avoid triggers.</w:t>
            </w:r>
          </w:p>
        </w:tc>
        <w:tc>
          <w:tcPr>
            <w:tcW w:type="dxa" w:w="74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Identify the three highest-risk situations, early internal cues, one prevention step for each, and a response if exposure occurs.</w:t>
            </w:r>
          </w:p>
        </w:tc>
      </w:tr>
      <w:tr>
        <w:trPr/>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Continue self-care.</w:t>
            </w:r>
          </w:p>
        </w:tc>
        <w:tc>
          <w:tcPr>
            <w:tcW w:type="dxa" w:w="74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Schedule two weekly activities that support sleep, movement, connection, or spiritual practice and track whether they remain protective.</w:t>
            </w:r>
          </w:p>
        </w:tc>
      </w:tr>
      <w:tr>
        <w:trPr/>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Call for help if needed.</w:t>
            </w:r>
          </w:p>
        </w:tc>
        <w:tc>
          <w:tcPr>
            <w:tcW w:type="dxa" w:w="74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List the exact provider, crisis resource, support person, and level-of-care threshold for routine, urgent, and emergency needs.</w:t>
            </w:r>
          </w:p>
        </w:tc>
      </w:tr>
    </w:tbl>
    <w:p>
      <w:pPr>
        <w:widowControl/>
        <w:spacing w:after="0"/>
      </w:pPr>
    </w:p>
    <w:p>
      <w:pPr>
        <w:pStyle w:val="Heading2"/>
        <w:keepNext/>
        <w:widowControl/>
        <w:spacing w:before="0" w:after="80"/>
      </w:pPr>
      <w:r>
        <w:rPr>
          <w:rFonts w:ascii="Arial" w:hAnsi="Arial" w:eastAsia="Arial"/>
        </w:rPr>
        <w:t>Discharge and Follow-Up Documentation</w:t>
      </w:r>
    </w:p>
    <w:p>
      <w:pPr>
        <w:pStyle w:val="ListBullet"/>
        <w:keepLines/>
        <w:widowControl/>
        <w:spacing w:after="30"/>
      </w:pPr>
      <w:r>
        <w:rPr>
          <w:rFonts w:ascii="Arial" w:hAnsi="Arial" w:eastAsia="Arial"/>
          <w:color w:val="1F2937"/>
          <w:sz w:val="17"/>
        </w:rPr>
        <w:t>Reason for ending or transition and whether it was planned, transferred, or unplanned.</w:t>
      </w:r>
    </w:p>
    <w:p>
      <w:pPr>
        <w:pStyle w:val="ListBullet"/>
        <w:keepLines/>
        <w:widowControl/>
        <w:spacing w:after="30"/>
      </w:pPr>
      <w:r>
        <w:rPr>
          <w:rFonts w:ascii="Arial" w:hAnsi="Arial" w:eastAsia="Arial"/>
          <w:color w:val="1F2937"/>
          <w:sz w:val="17"/>
        </w:rPr>
        <w:t>Course of care, progress toward goals, current functioning, and important unresolved needs.</w:t>
      </w:r>
    </w:p>
    <w:p>
      <w:pPr>
        <w:pStyle w:val="ListBullet"/>
        <w:keepLines/>
        <w:widowControl/>
        <w:spacing w:after="30"/>
      </w:pPr>
      <w:r>
        <w:rPr>
          <w:rFonts w:ascii="Arial" w:hAnsi="Arial" w:eastAsia="Arial"/>
          <w:color w:val="1F2937"/>
          <w:sz w:val="17"/>
        </w:rPr>
        <w:t>Current risk status and any safety, crisis, or mandated-duty information relevant to continuity.</w:t>
      </w:r>
    </w:p>
    <w:p>
      <w:pPr>
        <w:pStyle w:val="ListBullet"/>
        <w:keepLines/>
        <w:widowControl/>
        <w:spacing w:after="30"/>
      </w:pPr>
      <w:r>
        <w:rPr>
          <w:rFonts w:ascii="Arial" w:hAnsi="Arial" w:eastAsia="Arial"/>
          <w:color w:val="1F2937"/>
          <w:sz w:val="17"/>
        </w:rPr>
        <w:t>Referrals, aftercare, medication/medical coordination, resources, and whether connection was confirmed.</w:t>
      </w:r>
    </w:p>
    <w:p>
      <w:pPr>
        <w:pStyle w:val="ListBullet"/>
        <w:keepLines/>
        <w:widowControl/>
        <w:spacing w:after="30"/>
      </w:pPr>
      <w:r>
        <w:rPr>
          <w:rFonts w:ascii="Arial" w:hAnsi="Arial" w:eastAsia="Arial"/>
          <w:color w:val="1F2937"/>
          <w:sz w:val="17"/>
        </w:rPr>
        <w:t>Relapse-prevention or maintenance plan, warning signs, and return or follow-up criteria.</w:t>
      </w:r>
    </w:p>
    <w:p>
      <w:pPr>
        <w:pStyle w:val="ListBullet"/>
        <w:keepLines/>
        <w:widowControl/>
        <w:spacing w:after="30"/>
      </w:pPr>
      <w:r>
        <w:rPr>
          <w:rFonts w:ascii="Arial" w:hAnsi="Arial" w:eastAsia="Arial"/>
          <w:color w:val="1F2937"/>
          <w:sz w:val="17"/>
        </w:rPr>
        <w:t>Outreach attempts, client preferences, informed refusal, and consultation when relevant.</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EXAM TIP</w:t>
            </w:r>
          </w:p>
          <w:p>
            <w:pPr>
              <w:widowControl/>
              <w:spacing w:after="0"/>
            </w:pPr>
            <w:r>
              <w:rPr>
                <w:rFonts w:ascii="Arial" w:hAnsi="Arial" w:eastAsia="Arial"/>
                <w:color w:val="1F2937"/>
                <w:sz w:val="16"/>
              </w:rPr>
              <w:t>Termination questions often test nonabandonment and continuity. The best answer usually combines collaboration, safety assessment, clear notice or outreach, appropriate referrals, documentation, and a realistic handoff rather than forcing treatment or ending abruptly.</w:t>
            </w:r>
          </w:p>
        </w:tc>
      </w:tr>
    </w:tbl>
    <w:p>
      <w:pPr>
        <w:widowControl/>
        <w:spacing w:after="0"/>
      </w:pPr>
    </w:p>
    <w:p>
      <w:pPr>
        <w:pStyle w:val="Heading2"/>
        <w:keepNext/>
        <w:widowControl/>
        <w:spacing w:before="0" w:after="80"/>
      </w:pPr>
      <w:r>
        <w:rPr>
          <w:rFonts w:ascii="Arial" w:hAnsi="Arial" w:eastAsia="Arial"/>
        </w:rPr>
        <w:t>Clinical Resource Toolkit: BRIDGE Relapse-Prevention and Continuity Plan</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09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BRIDGE Area</w:t>
            </w:r>
          </w:p>
        </w:tc>
        <w:tc>
          <w:tcPr>
            <w:tcW w:type="dxa" w:w="655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Client Plan</w:t>
            </w:r>
          </w:p>
        </w:tc>
      </w:tr>
      <w:tr>
        <w:trPr/>
        <w:tc>
          <w:tcPr>
            <w:tcW w:type="dxa" w:w="30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Benchmarks/remaining needs</w:t>
            </w:r>
          </w:p>
        </w:tc>
        <w:tc>
          <w:tcPr>
            <w:tcW w:type="dxa" w:w="655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r>
      <w:tr>
        <w:trPr/>
        <w:tc>
          <w:tcPr>
            <w:tcW w:type="dxa" w:w="30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Review gains/mechanisms</w:t>
            </w:r>
          </w:p>
        </w:tc>
        <w:tc>
          <w:tcPr>
            <w:tcW w:type="dxa" w:w="655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r>
      <w:tr>
        <w:trPr/>
        <w:tc>
          <w:tcPr>
            <w:tcW w:type="dxa" w:w="30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Identify warning signs</w:t>
            </w:r>
          </w:p>
        </w:tc>
        <w:tc>
          <w:tcPr>
            <w:tcW w:type="dxa" w:w="655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r>
      <w:tr>
        <w:trPr/>
        <w:tc>
          <w:tcPr>
            <w:tcW w:type="dxa" w:w="30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Define response steps</w:t>
            </w:r>
          </w:p>
        </w:tc>
        <w:tc>
          <w:tcPr>
            <w:tcW w:type="dxa" w:w="655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r>
      <w:tr>
        <w:trPr/>
        <w:tc>
          <w:tcPr>
            <w:tcW w:type="dxa" w:w="30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Give referrals/resources</w:t>
            </w:r>
          </w:p>
        </w:tc>
        <w:tc>
          <w:tcPr>
            <w:tcW w:type="dxa" w:w="655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r>
      <w:tr>
        <w:trPr/>
        <w:tc>
          <w:tcPr>
            <w:tcW w:type="dxa" w:w="30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Establish follow-up/return criteria</w:t>
            </w:r>
          </w:p>
        </w:tc>
        <w:tc>
          <w:tcPr>
            <w:tcW w:type="dxa" w:w="655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r>
    </w:tbl>
    <w:p>
      <w:pPr>
        <w:widowControl/>
        <w:spacing w:after="0"/>
      </w:pPr>
    </w:p>
    <w:p>
      <w:pPr>
        <w:pStyle w:val="Heading2"/>
        <w:keepNext/>
        <w:widowControl/>
        <w:spacing w:before="0" w:after="80"/>
      </w:pPr>
      <w:r>
        <w:rPr>
          <w:rFonts w:ascii="Arial" w:hAnsi="Arial" w:eastAsia="Arial"/>
        </w:rPr>
        <w:t>Chapter 5 Summary</w:t>
      </w:r>
    </w:p>
    <w:p>
      <w:pPr>
        <w:pStyle w:val="ListBullet"/>
        <w:keepLines/>
        <w:widowControl/>
        <w:spacing w:after="30"/>
      </w:pPr>
      <w:r>
        <w:rPr>
          <w:rFonts w:ascii="Arial" w:hAnsi="Arial" w:eastAsia="Arial"/>
          <w:color w:val="1F2937"/>
          <w:sz w:val="17"/>
        </w:rPr>
        <w:t>Termination criteria and expectations should be discussed early and revisited throughout treatment.</w:t>
      </w:r>
    </w:p>
    <w:p>
      <w:pPr>
        <w:pStyle w:val="ListBullet"/>
        <w:keepLines/>
        <w:widowControl/>
        <w:spacing w:after="30"/>
      </w:pPr>
      <w:r>
        <w:rPr>
          <w:rFonts w:ascii="Arial" w:hAnsi="Arial" w:eastAsia="Arial"/>
          <w:color w:val="1F2937"/>
          <w:sz w:val="17"/>
        </w:rPr>
        <w:t>BRIDGE connects progress review, gains, warning signs, response steps, referrals, and follow-up.</w:t>
      </w:r>
    </w:p>
    <w:p>
      <w:pPr>
        <w:pStyle w:val="ListBullet"/>
        <w:keepLines/>
        <w:widowControl/>
        <w:spacing w:after="30"/>
      </w:pPr>
      <w:r>
        <w:rPr>
          <w:rFonts w:ascii="Arial" w:hAnsi="Arial" w:eastAsia="Arial"/>
          <w:color w:val="1F2937"/>
          <w:sz w:val="17"/>
        </w:rPr>
        <w:t>Relapse-prevention plans should name specific cues, actions, people, and thresholds.</w:t>
      </w:r>
    </w:p>
    <w:p>
      <w:pPr>
        <w:pStyle w:val="ListBullet"/>
        <w:keepLines/>
        <w:widowControl/>
        <w:spacing w:after="30"/>
      </w:pPr>
      <w:r>
        <w:rPr>
          <w:rFonts w:ascii="Arial" w:hAnsi="Arial" w:eastAsia="Arial"/>
          <w:color w:val="1F2937"/>
          <w:sz w:val="17"/>
        </w:rPr>
        <w:t>Transfer and dropout require continuity, safety, outreach, referral, and documentation decisions.</w:t>
      </w:r>
    </w:p>
    <w:p>
      <w:pPr>
        <w:pStyle w:val="ListBullet"/>
        <w:keepLines/>
        <w:widowControl/>
        <w:spacing w:after="30"/>
      </w:pPr>
      <w:r>
        <w:rPr>
          <w:rFonts w:ascii="Arial" w:hAnsi="Arial" w:eastAsia="Arial"/>
          <w:color w:val="1F2937"/>
          <w:sz w:val="17"/>
        </w:rPr>
        <w:t>Planned endings reinforce client agency by identifying what the client learned and how gains will be maintained.</w:t>
      </w:r>
    </w:p>
    <w:p>
      <w:pPr>
        <w:widowControl/>
      </w:pPr>
      <w:r>
        <w:rPr>
          <w:rFonts w:ascii="Arial" w:hAnsi="Arial" w:eastAsia="Arial"/>
        </w:rPr>
        <w:br w:type="page"/>
      </w:r>
    </w:p>
    <w:p>
      <w:pPr>
        <w:pStyle w:val="Heading1"/>
        <w:keepNext/>
        <w:widowControl/>
        <w:spacing w:before="0" w:after="80"/>
      </w:pPr>
      <w:r>
        <w:rPr>
          <w:rFonts w:ascii="Arial" w:hAnsi="Arial" w:eastAsia="Arial"/>
        </w:rPr>
        <w:t>Cumulative Three-Part Case Lab</w:t>
      </w:r>
    </w:p>
    <w:tbl>
      <w:tblPr>
        <w:tblW w:type="auto" w:w="0"/>
        <w:jc w:val="center"/>
        <w:tblLayout w:type="autofit"/>
        <w:tblLook w:firstColumn="1" w:firstRow="1" w:lastColumn="0" w:lastRow="0" w:noHBand="0" w:noVBand="1" w:val="04A0"/>
      </w:tblPr>
      <w:tblGrid>
        <w:gridCol w:w="10282"/>
      </w:tblGrid>
      <w:tr>
        <w:trPr/>
        <w:tc>
          <w:tcPr>
            <w:tcW w:type="dxa" w:w="10282"/>
            <w:shd w:fill="EEF3F8"/>
            <w:tcBorders>
              <w:top w:sz="9" w:val="single" w:color="17365D"/>
              <w:left w:sz="9" w:val="single" w:color="17365D"/>
              <w:bottom w:sz="9" w:val="single" w:color="17365D"/>
              <w:right w:sz="9" w:val="single" w:color="17365D"/>
            </w:tcBorders>
            <w:tcMar>
              <w:top w:w="80" w:type="dxa"/>
              <w:start w:w="120" w:type="dxa"/>
              <w:bottom w:w="80" w:type="dxa"/>
              <w:end w:w="120" w:type="dxa"/>
            </w:tcMar>
          </w:tcPr>
          <w:p>
            <w:pPr>
              <w:widowControl/>
              <w:spacing w:after="40"/>
            </w:pPr>
            <w:r>
              <w:rPr>
                <w:rFonts w:ascii="Arial" w:hAnsi="Arial" w:eastAsia="Arial"/>
                <w:b/>
                <w:color w:val="17365D"/>
                <w:sz w:val="17"/>
              </w:rPr>
              <w:t>HOW TO USE THE CASE</w:t>
            </w:r>
          </w:p>
          <w:p>
            <w:pPr>
              <w:widowControl/>
              <w:spacing w:after="0"/>
            </w:pPr>
            <w:r>
              <w:rPr>
                <w:rFonts w:ascii="Arial" w:hAnsi="Arial" w:eastAsia="Arial"/>
                <w:color w:val="1F2937"/>
                <w:sz w:val="16"/>
              </w:rPr>
              <w:t>Read only one part at a time. Before viewing the debrief, write the working conceptualization, priority, goal, plan, measurement strategy, and transition decision supported by the information available at that point.</w:t>
            </w:r>
          </w:p>
        </w:tc>
      </w:tr>
    </w:tbl>
    <w:p>
      <w:pPr>
        <w:widowControl/>
        <w:spacing w:after="0"/>
      </w:pPr>
    </w:p>
    <w:p>
      <w:pPr>
        <w:pStyle w:val="Heading2"/>
        <w:keepNext/>
        <w:widowControl/>
        <w:spacing w:before="0" w:after="80"/>
      </w:pPr>
      <w:r>
        <w:rPr>
          <w:rFonts w:ascii="Arial" w:hAnsi="Arial" w:eastAsia="Arial"/>
        </w:rPr>
        <w:t>Case: Maya - Part 1, Intake and Prioritization</w:t>
      </w:r>
    </w:p>
    <w:p>
      <w:pPr>
        <w:widowControl/>
        <w:spacing w:before="0" w:after="80"/>
      </w:pPr>
      <w:r>
        <w:rPr>
          <w:rFonts w:ascii="Arial" w:hAnsi="Arial" w:eastAsia="Arial"/>
          <w:sz w:val="18"/>
        </w:rPr>
        <w:t>Maya Torres is a 34-year-old bilingual high school counselor who seeks help after her mother experienced a stroke. For two months, Maya has slept four to five hours, cried most evenings, missed six workdays, experienced two panic episodes while driving, and used cannabis nightly to “turn off my brain.” She says, “Sometimes I wish I could disappear, but I would never hurt myself.” She denies plan, intent, preparatory behavior, or firearm access and identifies her niece, faith community, and commitment to her students as strong reasons for living. Maya is caring for her mother before and after work, has delayed her own primary-care visits, and worries that taking leave will disappoint her family. Her stated priority is, “I need to keep my job and stop snapping at everyone.”</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96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Your Task</w:t>
            </w:r>
          </w:p>
        </w:tc>
        <w:tc>
          <w:tcPr>
            <w:tcW w:type="dxa" w:w="56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Notes</w:t>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Write a one-sentence FRAME conceptualization.</w:t>
            </w:r>
          </w:p>
        </w:tc>
        <w:tc>
          <w:tcPr>
            <w:tcW w:type="dxa" w:w="56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What must be assessed or addressed before routine goals are finalized?</w:t>
            </w:r>
          </w:p>
        </w:tc>
        <w:tc>
          <w:tcPr>
            <w:tcW w:type="dxa" w:w="56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Identify two strengths and two barriers that affect planning.</w:t>
            </w:r>
          </w:p>
        </w:tc>
        <w:tc>
          <w:tcPr>
            <w:tcW w:type="dxa" w:w="56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Which problem should become the first client-centered treatment target? Why?</w:t>
            </w:r>
          </w:p>
        </w:tc>
        <w:tc>
          <w:tcPr>
            <w:tcW w:type="dxa" w:w="56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PART 1 DEBRIEF</w:t>
            </w:r>
          </w:p>
          <w:p>
            <w:pPr>
              <w:widowControl/>
              <w:spacing w:after="0"/>
            </w:pPr>
            <w:r>
              <w:rPr>
                <w:rFonts w:ascii="Arial" w:hAnsi="Arial" w:eastAsia="Arial"/>
                <w:color w:val="1F2937"/>
                <w:sz w:val="16"/>
              </w:rPr>
              <w:t>The counselor completes a direct suicide-risk assessment and ongoing monitoring rather than ignoring or automatically hospitalizing Maya. The formulation integrates depressive and anxiety symptoms, caregiving burden, sleep loss, cannabis use, work impairment, family and cultural meaning, delayed medical care, and strong protective factors. An early target can connect sleep, emotional regulation, and work functioning to Maya’s own priority while arranging primary-care follow-up and caregiver-resource support.</w:t>
            </w:r>
          </w:p>
        </w:tc>
      </w:tr>
    </w:tbl>
    <w:p>
      <w:pPr>
        <w:widowControl/>
        <w:spacing w:after="0"/>
      </w:pPr>
    </w:p>
    <w:p>
      <w:pPr>
        <w:pStyle w:val="Heading2"/>
        <w:keepNext/>
        <w:widowControl/>
        <w:spacing w:before="0" w:after="80"/>
      </w:pPr>
      <w:r>
        <w:rPr>
          <w:rFonts w:ascii="Arial" w:hAnsi="Arial" w:eastAsia="Arial"/>
        </w:rPr>
        <w:t>Case: Maya - Part 2, Collaborative Plan</w:t>
      </w:r>
    </w:p>
    <w:p>
      <w:pPr>
        <w:widowControl/>
        <w:spacing w:before="0" w:after="80"/>
      </w:pPr>
      <w:r>
        <w:rPr>
          <w:rFonts w:ascii="Arial" w:hAnsi="Arial" w:eastAsia="Arial"/>
          <w:sz w:val="18"/>
        </w:rPr>
        <w:t>Maya agrees that keeping her job is the most meaningful initial outcome. She prefers weekly telehealth because she cannot leave her mother alone in the evenings. She is willing to reduce cannabis but is not ready to stop immediately. A brief depression measure is 17 and a brief anxiety measure is 14 at baseline. Maya says walking with her niece, attending church, and using a written schedule helped her during a previous stressful period. She has access to paid family leave but does not know how to request it.</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96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Your Task</w:t>
            </w:r>
          </w:p>
        </w:tc>
        <w:tc>
          <w:tcPr>
            <w:tcW w:type="dxa" w:w="56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Notes</w:t>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Write one SMARTER goal and two measurable objectives.</w:t>
            </w:r>
          </w:p>
        </w:tc>
        <w:tc>
          <w:tcPr>
            <w:tcW w:type="dxa" w:w="56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Use MATCH to select initial interventions, modality, referrals, and review timing.</w:t>
            </w:r>
          </w:p>
        </w:tc>
        <w:tc>
          <w:tcPr>
            <w:tcW w:type="dxa" w:w="56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How will cultural/family meaning and readiness regarding cannabis be integrated?</w:t>
            </w:r>
          </w:p>
        </w:tc>
        <w:tc>
          <w:tcPr>
            <w:tcW w:type="dxa" w:w="56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Which indicators will show whether the plan is working?</w:t>
            </w:r>
          </w:p>
        </w:tc>
        <w:tc>
          <w:tcPr>
            <w:tcW w:type="dxa" w:w="56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PART 2 DEBRIEF</w:t>
            </w:r>
          </w:p>
          <w:p>
            <w:pPr>
              <w:widowControl/>
              <w:spacing w:after="0"/>
            </w:pPr>
            <w:r>
              <w:rPr>
                <w:rFonts w:ascii="Arial" w:hAnsi="Arial" w:eastAsia="Arial"/>
                <w:color w:val="1F2937"/>
                <w:sz w:val="16"/>
              </w:rPr>
              <w:t>A strong plan uses Maya’s work-functioning goal, brief behavioral and coping objectives, collaborative cannabis-reduction steps, sleep and activity monitoring, and review of leave/caregiver resources. Telehealth may fit if privacy, emergency planning, and clinical appropriateness are adequate. Measures are paired with work attendance, sleep, panic while driving, cannabis days, client-defined stress, and engagement. The plan includes medical follow-up and a four-session review point.</w:t>
            </w:r>
          </w:p>
        </w:tc>
      </w:tr>
    </w:tbl>
    <w:p>
      <w:pPr>
        <w:widowControl/>
        <w:spacing w:after="0"/>
      </w:pPr>
    </w:p>
    <w:p>
      <w:pPr>
        <w:pStyle w:val="Heading2"/>
        <w:keepNext/>
        <w:widowControl/>
        <w:spacing w:before="0" w:after="80"/>
      </w:pPr>
      <w:r>
        <w:rPr>
          <w:rFonts w:ascii="Arial" w:hAnsi="Arial" w:eastAsia="Arial"/>
        </w:rPr>
        <w:t>Case: Maya - Part 3, Nonresponse, Revision, and Transition</w:t>
      </w:r>
    </w:p>
    <w:p>
      <w:pPr>
        <w:widowControl/>
        <w:spacing w:before="0" w:after="80"/>
      </w:pPr>
      <w:r>
        <w:rPr>
          <w:rFonts w:ascii="Arial" w:hAnsi="Arial" w:eastAsia="Arial"/>
          <w:sz w:val="18"/>
        </w:rPr>
        <w:t>After five sessions, Maya’s symptom measures have changed very little. She has missed two appointments, completed none of the between-session worksheets, and says, “Therapy feels like one more job I am failing.” She reports that evening appointments are frequently interrupted by relatives and that she did not understand why the worksheets mattered. The counselor acknowledges the mismatch and asks Maya what would make treatment more useful. Together they shift to shorter in-session practice, schedule morning sessions during protected leave time, add problem-solving around caregiving roles, and connect Maya with a caregiver-support service. Ten weeks later, Maya is sleeping six to seven hours, has returned to consistent work attendance, reports no panic while driving for one month, uses cannabis only on weekends, and rates her coping confidence as 8/10. She wants to move to monthly sessions and then finish treatment.</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96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Your Task</w:t>
            </w:r>
          </w:p>
        </w:tc>
        <w:tc>
          <w:tcPr>
            <w:tcW w:type="dxa" w:w="56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Notes</w:t>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Use MEASURE to explain why the first plan was not working.</w:t>
            </w:r>
          </w:p>
        </w:tc>
        <w:tc>
          <w:tcPr>
            <w:tcW w:type="dxa" w:w="56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What should be formally revised in the treatment plan?</w:t>
            </w:r>
          </w:p>
        </w:tc>
        <w:tc>
          <w:tcPr>
            <w:tcW w:type="dxa" w:w="56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Which evidence supports step-down rather than abrupt termination?</w:t>
            </w:r>
          </w:p>
        </w:tc>
        <w:tc>
          <w:tcPr>
            <w:tcW w:type="dxa" w:w="56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Create a brief BRIDGE plan for monthly care and planned completion.</w:t>
            </w:r>
          </w:p>
        </w:tc>
        <w:tc>
          <w:tcPr>
            <w:tcW w:type="dxa" w:w="56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PART 3 DEBRIEF</w:t>
            </w:r>
          </w:p>
          <w:p>
            <w:pPr>
              <w:widowControl/>
              <w:spacing w:after="0"/>
            </w:pPr>
            <w:r>
              <w:rPr>
                <w:rFonts w:ascii="Arial" w:hAnsi="Arial" w:eastAsia="Arial"/>
                <w:color w:val="1F2937"/>
                <w:sz w:val="16"/>
              </w:rPr>
              <w:t>Limited progress reflected plan burden, poor privacy, schedule mismatch, insufficient rationale, and alliance feedback—not proof that Maya was unmotivated. Revision was collaborative and targeted feasibility. Step-down is supported by improved sleep, work attendance, panic, cannabis use, confidence, and sustained safety. The BRIDGE plan identifies gains, warning signs, coping actions, caregiver supports, medical follow-up, cannabis-risk cues, crisis resources, monthly review, and criteria for returning to more frequent care.</w:t>
            </w:r>
          </w:p>
        </w:tc>
      </w:tr>
    </w:tbl>
    <w:p>
      <w:pPr>
        <w:widowControl/>
        <w:spacing w:after="0"/>
      </w:pPr>
    </w:p>
    <w:p>
      <w:pPr>
        <w:widowControl/>
      </w:pPr>
      <w:r>
        <w:rPr>
          <w:rFonts w:ascii="Arial" w:hAnsi="Arial" w:eastAsia="Arial"/>
        </w:rPr>
        <w:br w:type="page"/>
      </w:r>
    </w:p>
    <w:p>
      <w:pPr>
        <w:pStyle w:val="Heading1"/>
        <w:keepNext/>
        <w:widowControl/>
        <w:spacing w:before="0" w:after="80"/>
      </w:pPr>
      <w:r>
        <w:rPr>
          <w:rFonts w:ascii="Arial" w:hAnsi="Arial" w:eastAsia="Arial"/>
        </w:rPr>
        <w:t>Knowledge Check</w:t>
      </w:r>
    </w:p>
    <w:p>
      <w:pPr>
        <w:widowControl/>
        <w:spacing w:before="0" w:after="80"/>
      </w:pPr>
      <w:r>
        <w:rPr>
          <w:rFonts w:ascii="Arial" w:hAnsi="Arial" w:eastAsia="Arial"/>
          <w:sz w:val="18"/>
        </w:rPr>
        <w:t>Complete all 10 questions without using the rationale section. Record confidence before reviewing answers.</w:t>
      </w:r>
    </w:p>
    <w:p>
      <w:pPr>
        <w:keepNext/>
        <w:widowControl/>
        <w:spacing w:before="80" w:after="40"/>
      </w:pPr>
      <w:r>
        <w:rPr>
          <w:rFonts w:ascii="Arial" w:hAnsi="Arial" w:eastAsia="Arial"/>
          <w:b/>
          <w:color w:val="17365D"/>
          <w:sz w:val="16"/>
        </w:rPr>
        <w:t>LPCC-WB07-Q001 | Knowledge &amp; Recall | Easy | Primary concept: Conceptualization</w:t>
      </w:r>
    </w:p>
    <w:p>
      <w:pPr>
        <w:keepNext/>
        <w:widowControl/>
        <w:spacing w:before="0" w:after="40"/>
      </w:pPr>
      <w:r>
        <w:rPr>
          <w:rFonts w:ascii="Arial" w:hAnsi="Arial" w:eastAsia="Arial"/>
          <w:b/>
          <w:color w:val="1F2937"/>
          <w:sz w:val="18"/>
        </w:rPr>
        <w:t>Which statement best distinguishes a case conceptualization from a diagnosis?</w:t>
      </w:r>
    </w:p>
    <w:p>
      <w:pPr>
        <w:widowControl/>
        <w:spacing w:before="0" w:after="20"/>
        <w:ind w:left="72"/>
      </w:pPr>
      <w:r>
        <w:rPr>
          <w:rFonts w:ascii="Arial" w:hAnsi="Arial" w:eastAsia="Arial"/>
          <w:color w:val="1F2937"/>
          <w:sz w:val="17"/>
        </w:rPr>
        <w:t>A. A conceptualization is a list of all diagnostic criteria the client meets.</w:t>
      </w:r>
    </w:p>
    <w:p>
      <w:pPr>
        <w:widowControl/>
        <w:spacing w:before="0" w:after="20"/>
        <w:ind w:left="72"/>
      </w:pPr>
      <w:r>
        <w:rPr>
          <w:rFonts w:ascii="Arial" w:hAnsi="Arial" w:eastAsia="Arial"/>
          <w:color w:val="1F2937"/>
          <w:sz w:val="17"/>
        </w:rPr>
        <w:t>B. A conceptualization is a revisable explanation integrating symptoms, function, risk, context, strengths, and maintaining factors.</w:t>
      </w:r>
    </w:p>
    <w:p>
      <w:pPr>
        <w:widowControl/>
        <w:spacing w:before="0" w:after="20"/>
        <w:ind w:left="72"/>
      </w:pPr>
      <w:r>
        <w:rPr>
          <w:rFonts w:ascii="Arial" w:hAnsi="Arial" w:eastAsia="Arial"/>
          <w:color w:val="1F2937"/>
          <w:sz w:val="17"/>
        </w:rPr>
        <w:t>C. A conceptualization is the billing code used to authorize treatment.</w:t>
      </w:r>
    </w:p>
    <w:p>
      <w:pPr>
        <w:widowControl/>
        <w:spacing w:before="0" w:after="20"/>
        <w:ind w:left="72"/>
      </w:pPr>
      <w:r>
        <w:rPr>
          <w:rFonts w:ascii="Arial" w:hAnsi="Arial" w:eastAsia="Arial"/>
          <w:color w:val="1F2937"/>
          <w:sz w:val="17"/>
        </w:rPr>
        <w:t>D. A conceptualization is the same as the final treatment plan.</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LPCC-WB07-Q002 | Application | Easy | Primary concept: Problem prioritization</w:t>
      </w:r>
    </w:p>
    <w:p>
      <w:pPr>
        <w:keepNext/>
        <w:widowControl/>
        <w:spacing w:before="0" w:after="40"/>
      </w:pPr>
      <w:r>
        <w:rPr>
          <w:rFonts w:ascii="Arial" w:hAnsi="Arial" w:eastAsia="Arial"/>
          <w:b/>
          <w:color w:val="1F2937"/>
          <w:sz w:val="18"/>
        </w:rPr>
        <w:t>A client reports moderate anxiety, unstable housing, and new chest pain with fainting. Which issue should the counselor prioritize first?</w:t>
      </w:r>
    </w:p>
    <w:p>
      <w:pPr>
        <w:widowControl/>
        <w:spacing w:before="0" w:after="20"/>
        <w:ind w:left="72"/>
      </w:pPr>
      <w:r>
        <w:rPr>
          <w:rFonts w:ascii="Arial" w:hAnsi="Arial" w:eastAsia="Arial"/>
          <w:color w:val="1F2937"/>
          <w:sz w:val="17"/>
        </w:rPr>
        <w:t>A. Teach relaxation because anxiety may cause chest pain.</w:t>
      </w:r>
    </w:p>
    <w:p>
      <w:pPr>
        <w:widowControl/>
        <w:spacing w:before="0" w:after="20"/>
        <w:ind w:left="72"/>
      </w:pPr>
      <w:r>
        <w:rPr>
          <w:rFonts w:ascii="Arial" w:hAnsi="Arial" w:eastAsia="Arial"/>
          <w:color w:val="1F2937"/>
          <w:sz w:val="17"/>
        </w:rPr>
        <w:t>B. Develop a long-term housing goal before discussing health.</w:t>
      </w:r>
    </w:p>
    <w:p>
      <w:pPr>
        <w:widowControl/>
        <w:spacing w:before="0" w:after="20"/>
        <w:ind w:left="72"/>
      </w:pPr>
      <w:r>
        <w:rPr>
          <w:rFonts w:ascii="Arial" w:hAnsi="Arial" w:eastAsia="Arial"/>
          <w:color w:val="1F2937"/>
          <w:sz w:val="17"/>
        </w:rPr>
        <w:t>C. Arrange prompt medical evaluation while assessing immediate safety and continuity needs.</w:t>
      </w:r>
    </w:p>
    <w:p>
      <w:pPr>
        <w:widowControl/>
        <w:spacing w:before="0" w:after="20"/>
        <w:ind w:left="72"/>
      </w:pPr>
      <w:r>
        <w:rPr>
          <w:rFonts w:ascii="Arial" w:hAnsi="Arial" w:eastAsia="Arial"/>
          <w:color w:val="1F2937"/>
          <w:sz w:val="17"/>
        </w:rPr>
        <w:t>D. Administer several anxiety measures to clarify severity.</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LPCC-WB07-Q003 | Knowledge &amp; Recall | Easy | Primary concept: Goal-objective distinction</w:t>
      </w:r>
    </w:p>
    <w:p>
      <w:pPr>
        <w:keepNext/>
        <w:widowControl/>
        <w:spacing w:before="0" w:after="40"/>
      </w:pPr>
      <w:r>
        <w:rPr>
          <w:rFonts w:ascii="Arial" w:hAnsi="Arial" w:eastAsia="Arial"/>
          <w:b/>
          <w:color w:val="1F2937"/>
          <w:sz w:val="18"/>
        </w:rPr>
        <w:t>Which statement is a measurable treatment objective rather than a broad goal?</w:t>
      </w:r>
    </w:p>
    <w:p>
      <w:pPr>
        <w:widowControl/>
        <w:spacing w:before="0" w:after="20"/>
        <w:ind w:left="72"/>
      </w:pPr>
      <w:r>
        <w:rPr>
          <w:rFonts w:ascii="Arial" w:hAnsi="Arial" w:eastAsia="Arial"/>
          <w:color w:val="1F2937"/>
          <w:sz w:val="17"/>
        </w:rPr>
        <w:t>A. The client will attend work on at least four scheduled days each week for the next month.</w:t>
      </w:r>
    </w:p>
    <w:p>
      <w:pPr>
        <w:widowControl/>
        <w:spacing w:before="0" w:after="20"/>
        <w:ind w:left="72"/>
      </w:pPr>
      <w:r>
        <w:rPr>
          <w:rFonts w:ascii="Arial" w:hAnsi="Arial" w:eastAsia="Arial"/>
          <w:color w:val="1F2937"/>
          <w:sz w:val="17"/>
        </w:rPr>
        <w:t>B. The client will improve overall emotional wellness.</w:t>
      </w:r>
    </w:p>
    <w:p>
      <w:pPr>
        <w:widowControl/>
        <w:spacing w:before="0" w:after="20"/>
        <w:ind w:left="72"/>
      </w:pPr>
      <w:r>
        <w:rPr>
          <w:rFonts w:ascii="Arial" w:hAnsi="Arial" w:eastAsia="Arial"/>
          <w:color w:val="1F2937"/>
          <w:sz w:val="17"/>
        </w:rPr>
        <w:t>C. The counselor will use cognitive behavioral interventions.</w:t>
      </w:r>
    </w:p>
    <w:p>
      <w:pPr>
        <w:widowControl/>
        <w:spacing w:before="0" w:after="20"/>
        <w:ind w:left="72"/>
      </w:pPr>
      <w:r>
        <w:rPr>
          <w:rFonts w:ascii="Arial" w:hAnsi="Arial" w:eastAsia="Arial"/>
          <w:color w:val="1F2937"/>
          <w:sz w:val="17"/>
        </w:rPr>
        <w:t>D. The client will process childhood experiences.</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LPCC-WB07-Q004 | Application | Moderate | Primary concept: SMARTER planning</w:t>
      </w:r>
    </w:p>
    <w:p>
      <w:pPr>
        <w:keepNext/>
        <w:widowControl/>
        <w:spacing w:before="0" w:after="40"/>
      </w:pPr>
      <w:r>
        <w:rPr>
          <w:rFonts w:ascii="Arial" w:hAnsi="Arial" w:eastAsia="Arial"/>
          <w:b/>
          <w:color w:val="1F2937"/>
          <w:sz w:val="18"/>
        </w:rPr>
        <w:t>Which objective is written most effectively?</w:t>
      </w:r>
    </w:p>
    <w:p>
      <w:pPr>
        <w:widowControl/>
        <w:spacing w:before="0" w:after="20"/>
        <w:ind w:left="72"/>
      </w:pPr>
      <w:r>
        <w:rPr>
          <w:rFonts w:ascii="Arial" w:hAnsi="Arial" w:eastAsia="Arial"/>
          <w:color w:val="1F2937"/>
          <w:sz w:val="17"/>
        </w:rPr>
        <w:t>A. The client will become less depressed soon.</w:t>
      </w:r>
    </w:p>
    <w:p>
      <w:pPr>
        <w:widowControl/>
        <w:spacing w:before="0" w:after="20"/>
        <w:ind w:left="72"/>
      </w:pPr>
      <w:r>
        <w:rPr>
          <w:rFonts w:ascii="Arial" w:hAnsi="Arial" w:eastAsia="Arial"/>
          <w:color w:val="1F2937"/>
          <w:sz w:val="17"/>
        </w:rPr>
        <w:t>B. The client will understand the causes of anxiety.</w:t>
      </w:r>
    </w:p>
    <w:p>
      <w:pPr>
        <w:widowControl/>
        <w:spacing w:before="0" w:after="20"/>
        <w:ind w:left="72"/>
      </w:pPr>
      <w:r>
        <w:rPr>
          <w:rFonts w:ascii="Arial" w:hAnsi="Arial" w:eastAsia="Arial"/>
          <w:color w:val="1F2937"/>
          <w:sz w:val="17"/>
        </w:rPr>
        <w:t>C. The client will use coping skills more often.</w:t>
      </w:r>
    </w:p>
    <w:p>
      <w:pPr>
        <w:widowControl/>
        <w:spacing w:before="0" w:after="20"/>
        <w:ind w:left="72"/>
      </w:pPr>
      <w:r>
        <w:rPr>
          <w:rFonts w:ascii="Arial" w:hAnsi="Arial" w:eastAsia="Arial"/>
          <w:color w:val="1F2937"/>
          <w:sz w:val="17"/>
        </w:rPr>
        <w:t>D. Before the four-session review, the client will complete two planned social activities each week and rate mood before and after each activity.</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LPCC-WB07-Q005 | Scenario-Based | Moderate | Primary concept: Treatment plan design</w:t>
      </w:r>
    </w:p>
    <w:p>
      <w:pPr>
        <w:keepNext/>
        <w:widowControl/>
        <w:spacing w:before="0" w:after="40"/>
      </w:pPr>
      <w:r>
        <w:rPr>
          <w:rFonts w:ascii="Arial" w:hAnsi="Arial" w:eastAsia="Arial"/>
          <w:b/>
          <w:color w:val="1F2937"/>
          <w:sz w:val="18"/>
        </w:rPr>
        <w:t>A treatment plan lists “weekly CBT” but contains no client goal, objective, measure, or review date. What is the primary problem?</w:t>
      </w:r>
    </w:p>
    <w:p>
      <w:pPr>
        <w:widowControl/>
        <w:spacing w:before="0" w:after="20"/>
        <w:ind w:left="72"/>
      </w:pPr>
      <w:r>
        <w:rPr>
          <w:rFonts w:ascii="Arial" w:hAnsi="Arial" w:eastAsia="Arial"/>
          <w:color w:val="1F2937"/>
          <w:sz w:val="17"/>
        </w:rPr>
        <w:t>A. CBT is never appropriate without medication.</w:t>
      </w:r>
    </w:p>
    <w:p>
      <w:pPr>
        <w:widowControl/>
        <w:spacing w:before="0" w:after="20"/>
        <w:ind w:left="72"/>
      </w:pPr>
      <w:r>
        <w:rPr>
          <w:rFonts w:ascii="Arial" w:hAnsi="Arial" w:eastAsia="Arial"/>
          <w:color w:val="1F2937"/>
          <w:sz w:val="17"/>
        </w:rPr>
        <w:t>B. The intervention is not connected to a collaborative, measurable treatment target.</w:t>
      </w:r>
    </w:p>
    <w:p>
      <w:pPr>
        <w:widowControl/>
        <w:spacing w:before="0" w:after="20"/>
        <w:ind w:left="72"/>
      </w:pPr>
      <w:r>
        <w:rPr>
          <w:rFonts w:ascii="Arial" w:hAnsi="Arial" w:eastAsia="Arial"/>
          <w:color w:val="1F2937"/>
          <w:sz w:val="17"/>
        </w:rPr>
        <w:t>C. Weekly treatment is always too frequent.</w:t>
      </w:r>
    </w:p>
    <w:p>
      <w:pPr>
        <w:widowControl/>
        <w:spacing w:before="0" w:after="20"/>
        <w:ind w:left="72"/>
      </w:pPr>
      <w:r>
        <w:rPr>
          <w:rFonts w:ascii="Arial" w:hAnsi="Arial" w:eastAsia="Arial"/>
          <w:color w:val="1F2937"/>
          <w:sz w:val="17"/>
        </w:rPr>
        <w:t>D. A treatment plan should contain only a diagnosis and discharge date.</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LPCC-WB07-Q006 | Scenario-Based | Moderate | Primary concept: Contraindications</w:t>
      </w:r>
    </w:p>
    <w:p>
      <w:pPr>
        <w:keepNext/>
        <w:widowControl/>
        <w:spacing w:before="0" w:after="40"/>
      </w:pPr>
      <w:r>
        <w:rPr>
          <w:rFonts w:ascii="Arial" w:hAnsi="Arial" w:eastAsia="Arial"/>
          <w:b/>
          <w:color w:val="1F2937"/>
          <w:sz w:val="18"/>
        </w:rPr>
        <w:t>A client with severe dissociation, daily intoxication, and an unsafe living environment requests immediate intensive trauma exposure. What is the best initial planning response?</w:t>
      </w:r>
    </w:p>
    <w:p>
      <w:pPr>
        <w:widowControl/>
        <w:spacing w:before="0" w:after="20"/>
        <w:ind w:left="72"/>
      </w:pPr>
      <w:r>
        <w:rPr>
          <w:rFonts w:ascii="Arial" w:hAnsi="Arial" w:eastAsia="Arial"/>
          <w:color w:val="1F2937"/>
          <w:sz w:val="17"/>
        </w:rPr>
        <w:t>A. Begin exposure immediately because the client requested it.</w:t>
      </w:r>
    </w:p>
    <w:p>
      <w:pPr>
        <w:widowControl/>
        <w:spacing w:before="0" w:after="20"/>
        <w:ind w:left="72"/>
      </w:pPr>
      <w:r>
        <w:rPr>
          <w:rFonts w:ascii="Arial" w:hAnsi="Arial" w:eastAsia="Arial"/>
          <w:color w:val="1F2937"/>
          <w:sz w:val="17"/>
        </w:rPr>
        <w:t>B. Refuse all trauma treatment permanently.</w:t>
      </w:r>
    </w:p>
    <w:p>
      <w:pPr>
        <w:widowControl/>
        <w:spacing w:before="0" w:after="20"/>
        <w:ind w:left="72"/>
      </w:pPr>
      <w:r>
        <w:rPr>
          <w:rFonts w:ascii="Arial" w:hAnsi="Arial" w:eastAsia="Arial"/>
          <w:color w:val="1F2937"/>
          <w:sz w:val="17"/>
        </w:rPr>
        <w:t>C. Assess stability, readiness, substance and environmental safety, build supports, and sequence or refer before intensive exposure.</w:t>
      </w:r>
    </w:p>
    <w:p>
      <w:pPr>
        <w:widowControl/>
        <w:spacing w:before="0" w:after="20"/>
        <w:ind w:left="72"/>
      </w:pPr>
      <w:r>
        <w:rPr>
          <w:rFonts w:ascii="Arial" w:hAnsi="Arial" w:eastAsia="Arial"/>
          <w:color w:val="1F2937"/>
          <w:sz w:val="17"/>
        </w:rPr>
        <w:t>D. Ask the client to sign a waiver accepting the risks.</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LPCC-WB07-Q007 | Application | Moderate | Primary concept: Measurement-based care</w:t>
      </w:r>
    </w:p>
    <w:p>
      <w:pPr>
        <w:keepNext/>
        <w:widowControl/>
        <w:spacing w:before="0" w:after="40"/>
      </w:pPr>
      <w:r>
        <w:rPr>
          <w:rFonts w:ascii="Arial" w:hAnsi="Arial" w:eastAsia="Arial"/>
          <w:b/>
          <w:color w:val="1F2937"/>
          <w:sz w:val="18"/>
        </w:rPr>
        <w:t>A symptom score improves, but the client reports worsening work performance and feels the treatment goal is irrelevant. What should the counselor do?</w:t>
      </w:r>
    </w:p>
    <w:p>
      <w:pPr>
        <w:widowControl/>
        <w:spacing w:before="0" w:after="20"/>
        <w:ind w:left="72"/>
      </w:pPr>
      <w:r>
        <w:rPr>
          <w:rFonts w:ascii="Arial" w:hAnsi="Arial" w:eastAsia="Arial"/>
          <w:color w:val="1F2937"/>
          <w:sz w:val="17"/>
        </w:rPr>
        <w:t>A. Review all data with the client and revise the formulation or plan as indicated.</w:t>
      </w:r>
    </w:p>
    <w:p>
      <w:pPr>
        <w:widowControl/>
        <w:spacing w:before="0" w:after="20"/>
        <w:ind w:left="72"/>
      </w:pPr>
      <w:r>
        <w:rPr>
          <w:rFonts w:ascii="Arial" w:hAnsi="Arial" w:eastAsia="Arial"/>
          <w:color w:val="1F2937"/>
          <w:sz w:val="17"/>
        </w:rPr>
        <w:t>B. Continue the same plan because standardized scores are more reliable than client report.</w:t>
      </w:r>
    </w:p>
    <w:p>
      <w:pPr>
        <w:widowControl/>
        <w:spacing w:before="0" w:after="20"/>
        <w:ind w:left="72"/>
      </w:pPr>
      <w:r>
        <w:rPr>
          <w:rFonts w:ascii="Arial" w:hAnsi="Arial" w:eastAsia="Arial"/>
          <w:color w:val="1F2937"/>
          <w:sz w:val="17"/>
        </w:rPr>
        <w:t>C. End treatment because the score proves recovery.</w:t>
      </w:r>
    </w:p>
    <w:p>
      <w:pPr>
        <w:widowControl/>
        <w:spacing w:before="0" w:after="20"/>
        <w:ind w:left="72"/>
      </w:pPr>
      <w:r>
        <w:rPr>
          <w:rFonts w:ascii="Arial" w:hAnsi="Arial" w:eastAsia="Arial"/>
          <w:color w:val="1F2937"/>
          <w:sz w:val="17"/>
        </w:rPr>
        <w:t>D. Discard all measures and rely only on intuition.</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LPCC-WB07-Q008 | Integrated Reasoning | Difficult | Primary concept: Nonresponse</w:t>
      </w:r>
    </w:p>
    <w:p>
      <w:pPr>
        <w:keepNext/>
        <w:widowControl/>
        <w:spacing w:before="0" w:after="40"/>
      </w:pPr>
      <w:r>
        <w:rPr>
          <w:rFonts w:ascii="Arial" w:hAnsi="Arial" w:eastAsia="Arial"/>
          <w:b/>
          <w:color w:val="1F2937"/>
          <w:sz w:val="18"/>
        </w:rPr>
        <w:t>After six sessions, a client has no meaningful improvement. Which action is most appropriate before simply intensifying the same intervention?</w:t>
      </w:r>
    </w:p>
    <w:p>
      <w:pPr>
        <w:widowControl/>
        <w:spacing w:before="0" w:after="20"/>
        <w:ind w:left="72"/>
      </w:pPr>
      <w:r>
        <w:rPr>
          <w:rFonts w:ascii="Arial" w:hAnsi="Arial" w:eastAsia="Arial"/>
          <w:color w:val="1F2937"/>
          <w:sz w:val="17"/>
        </w:rPr>
        <w:t>A. Assume the client is resistant and document noncompliance.</w:t>
      </w:r>
    </w:p>
    <w:p>
      <w:pPr>
        <w:widowControl/>
        <w:spacing w:before="0" w:after="20"/>
        <w:ind w:left="72"/>
      </w:pPr>
      <w:r>
        <w:rPr>
          <w:rFonts w:ascii="Arial" w:hAnsi="Arial" w:eastAsia="Arial"/>
          <w:color w:val="1F2937"/>
          <w:sz w:val="17"/>
        </w:rPr>
        <w:t>B. Add a second technique without discussing the first.</w:t>
      </w:r>
    </w:p>
    <w:p>
      <w:pPr>
        <w:widowControl/>
        <w:spacing w:before="0" w:after="20"/>
        <w:ind w:left="72"/>
      </w:pPr>
      <w:r>
        <w:rPr>
          <w:rFonts w:ascii="Arial" w:hAnsi="Arial" w:eastAsia="Arial"/>
          <w:color w:val="1F2937"/>
          <w:sz w:val="17"/>
        </w:rPr>
        <w:t>C. Wait six more sessions because change always requires twelve sessions.</w:t>
      </w:r>
    </w:p>
    <w:p>
      <w:pPr>
        <w:widowControl/>
        <w:spacing w:before="0" w:after="20"/>
        <w:ind w:left="72"/>
      </w:pPr>
      <w:r>
        <w:rPr>
          <w:rFonts w:ascii="Arial" w:hAnsi="Arial" w:eastAsia="Arial"/>
          <w:color w:val="1F2937"/>
          <w:sz w:val="17"/>
        </w:rPr>
        <w:t>D. Collaboratively reassess risk, diagnosis, goals, alliance, barriers, intervention delivery, and level of care.</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LPCC-WB07-Q009 | Scenario-Based | Difficult | Primary concept: Termination planning</w:t>
      </w:r>
    </w:p>
    <w:p>
      <w:pPr>
        <w:keepNext/>
        <w:widowControl/>
        <w:spacing w:before="0" w:after="40"/>
      </w:pPr>
      <w:r>
        <w:rPr>
          <w:rFonts w:ascii="Arial" w:hAnsi="Arial" w:eastAsia="Arial"/>
          <w:b/>
          <w:color w:val="1F2937"/>
          <w:sz w:val="18"/>
        </w:rPr>
        <w:t>When should planned termination and maintenance criteria first be discussed?</w:t>
      </w:r>
    </w:p>
    <w:p>
      <w:pPr>
        <w:widowControl/>
        <w:spacing w:before="0" w:after="20"/>
        <w:ind w:left="72"/>
      </w:pPr>
      <w:r>
        <w:rPr>
          <w:rFonts w:ascii="Arial" w:hAnsi="Arial" w:eastAsia="Arial"/>
          <w:color w:val="1F2937"/>
          <w:sz w:val="17"/>
        </w:rPr>
        <w:t>A. Only after the client announces a desire to stop.</w:t>
      </w:r>
    </w:p>
    <w:p>
      <w:pPr>
        <w:widowControl/>
        <w:spacing w:before="0" w:after="20"/>
        <w:ind w:left="72"/>
      </w:pPr>
      <w:r>
        <w:rPr>
          <w:rFonts w:ascii="Arial" w:hAnsi="Arial" w:eastAsia="Arial"/>
          <w:color w:val="1F2937"/>
          <w:sz w:val="17"/>
        </w:rPr>
        <w:t>B. At the beginning of treatment and revisited as goals and progress become clearer.</w:t>
      </w:r>
    </w:p>
    <w:p>
      <w:pPr>
        <w:widowControl/>
        <w:spacing w:before="0" w:after="20"/>
        <w:ind w:left="72"/>
      </w:pPr>
      <w:r>
        <w:rPr>
          <w:rFonts w:ascii="Arial" w:hAnsi="Arial" w:eastAsia="Arial"/>
          <w:color w:val="1F2937"/>
          <w:sz w:val="17"/>
        </w:rPr>
        <w:t>C. After all symptoms are permanently absent.</w:t>
      </w:r>
    </w:p>
    <w:p>
      <w:pPr>
        <w:widowControl/>
        <w:spacing w:before="0" w:after="20"/>
        <w:ind w:left="72"/>
      </w:pPr>
      <w:r>
        <w:rPr>
          <w:rFonts w:ascii="Arial" w:hAnsi="Arial" w:eastAsia="Arial"/>
          <w:color w:val="1F2937"/>
          <w:sz w:val="17"/>
        </w:rPr>
        <w:t>D. Only when insurance stops authorizing sessions.</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LPCC-WB07-Q010 | Integrated Reasoning | Difficult | Primary concept: Unplanned discontinuation</w:t>
      </w:r>
    </w:p>
    <w:p>
      <w:pPr>
        <w:keepNext/>
        <w:widowControl/>
        <w:spacing w:before="0" w:after="40"/>
      </w:pPr>
      <w:r>
        <w:rPr>
          <w:rFonts w:ascii="Arial" w:hAnsi="Arial" w:eastAsia="Arial"/>
          <w:b/>
          <w:color w:val="1F2937"/>
          <w:sz w:val="18"/>
        </w:rPr>
        <w:t>A client stops attending after disclosing increased depression but no imminent risk at the last session. What is the best counselor response?</w:t>
      </w:r>
    </w:p>
    <w:p>
      <w:pPr>
        <w:widowControl/>
        <w:spacing w:before="0" w:after="20"/>
        <w:ind w:left="72"/>
      </w:pPr>
      <w:r>
        <w:rPr>
          <w:rFonts w:ascii="Arial" w:hAnsi="Arial" w:eastAsia="Arial"/>
          <w:color w:val="1F2937"/>
          <w:sz w:val="17"/>
        </w:rPr>
        <w:t>A. Close the chart immediately because attendance is the client’s responsibility.</w:t>
      </w:r>
    </w:p>
    <w:p>
      <w:pPr>
        <w:widowControl/>
        <w:spacing w:before="0" w:after="20"/>
        <w:ind w:left="72"/>
      </w:pPr>
      <w:r>
        <w:rPr>
          <w:rFonts w:ascii="Arial" w:hAnsi="Arial" w:eastAsia="Arial"/>
          <w:color w:val="1F2937"/>
          <w:sz w:val="17"/>
        </w:rPr>
        <w:t>B. Continue scheduling indefinitely without outreach or documentation.</w:t>
      </w:r>
    </w:p>
    <w:p>
      <w:pPr>
        <w:widowControl/>
        <w:spacing w:before="0" w:after="20"/>
        <w:ind w:left="72"/>
      </w:pPr>
      <w:r>
        <w:rPr>
          <w:rFonts w:ascii="Arial" w:hAnsi="Arial" w:eastAsia="Arial"/>
          <w:color w:val="1F2937"/>
          <w:sz w:val="17"/>
        </w:rPr>
        <w:t>C. Follow policy and clinical judgment for timely outreach, reassess safety when contact occurs, offer referrals and reentry information, and document efforts.</w:t>
      </w:r>
    </w:p>
    <w:p>
      <w:pPr>
        <w:widowControl/>
        <w:spacing w:before="0" w:after="20"/>
        <w:ind w:left="72"/>
      </w:pPr>
      <w:r>
        <w:rPr>
          <w:rFonts w:ascii="Arial" w:hAnsi="Arial" w:eastAsia="Arial"/>
          <w:color w:val="1F2937"/>
          <w:sz w:val="17"/>
        </w:rPr>
        <w:t>D. Contact the client’s employer to require attendance.</w:t>
      </w:r>
    </w:p>
    <w:p>
      <w:pPr>
        <w:widowControl/>
        <w:spacing w:before="0" w:after="60"/>
      </w:pPr>
      <w:r>
        <w:rPr>
          <w:rFonts w:ascii="Arial" w:hAnsi="Arial" w:eastAsia="Arial"/>
          <w:i/>
          <w:color w:val="4B5563"/>
          <w:sz w:val="17"/>
        </w:rPr>
        <w:t>My answer: ______    Confidence: 1  2  3</w:t>
      </w:r>
    </w:p>
    <w:p>
      <w:pPr>
        <w:pStyle w:val="Heading2"/>
        <w:keepNext/>
        <w:widowControl/>
        <w:spacing w:before="0" w:after="80"/>
      </w:pPr>
      <w:r>
        <w:rPr>
          <w:rFonts w:ascii="Arial" w:hAnsi="Arial" w:eastAsia="Arial"/>
        </w:rPr>
        <w:t>Knowledge Check Answer Record</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79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Q</w:t>
            </w:r>
          </w:p>
        </w:tc>
        <w:tc>
          <w:tcPr>
            <w:tcW w:type="dxa" w:w="151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Answer</w:t>
            </w:r>
          </w:p>
        </w:tc>
        <w:tc>
          <w:tcPr>
            <w:tcW w:type="dxa" w:w="194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Confidence</w:t>
            </w:r>
          </w:p>
        </w:tc>
        <w:tc>
          <w:tcPr>
            <w:tcW w:type="dxa" w:w="540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Review?</w:t>
            </w:r>
          </w:p>
        </w:tc>
      </w:tr>
      <w:tr>
        <w:trPr/>
        <w:tc>
          <w:tcPr>
            <w:tcW w:type="dxa" w:w="7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w:t>
            </w:r>
          </w:p>
        </w:tc>
        <w:tc>
          <w:tcPr>
            <w:tcW w:type="dxa" w:w="15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7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2</w:t>
            </w:r>
          </w:p>
        </w:tc>
        <w:tc>
          <w:tcPr>
            <w:tcW w:type="dxa" w:w="15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7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3</w:t>
            </w:r>
          </w:p>
        </w:tc>
        <w:tc>
          <w:tcPr>
            <w:tcW w:type="dxa" w:w="15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7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4</w:t>
            </w:r>
          </w:p>
        </w:tc>
        <w:tc>
          <w:tcPr>
            <w:tcW w:type="dxa" w:w="15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7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5</w:t>
            </w:r>
          </w:p>
        </w:tc>
        <w:tc>
          <w:tcPr>
            <w:tcW w:type="dxa" w:w="15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7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6</w:t>
            </w:r>
          </w:p>
        </w:tc>
        <w:tc>
          <w:tcPr>
            <w:tcW w:type="dxa" w:w="15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7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7</w:t>
            </w:r>
          </w:p>
        </w:tc>
        <w:tc>
          <w:tcPr>
            <w:tcW w:type="dxa" w:w="15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7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8</w:t>
            </w:r>
          </w:p>
        </w:tc>
        <w:tc>
          <w:tcPr>
            <w:tcW w:type="dxa" w:w="15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7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9</w:t>
            </w:r>
          </w:p>
        </w:tc>
        <w:tc>
          <w:tcPr>
            <w:tcW w:type="dxa" w:w="15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7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10</w:t>
            </w:r>
          </w:p>
        </w:tc>
        <w:tc>
          <w:tcPr>
            <w:tcW w:type="dxa" w:w="15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bl>
    <w:p>
      <w:pPr>
        <w:widowControl/>
        <w:spacing w:after="0"/>
      </w:pPr>
    </w:p>
    <w:p>
      <w:pPr>
        <w:widowControl/>
      </w:pPr>
      <w:r>
        <w:rPr>
          <w:rFonts w:ascii="Arial" w:hAnsi="Arial" w:eastAsia="Arial"/>
        </w:rPr>
        <w:br w:type="page"/>
      </w:r>
    </w:p>
    <w:p>
      <w:pPr>
        <w:pStyle w:val="Heading1"/>
        <w:keepNext/>
        <w:widowControl/>
        <w:spacing w:before="0" w:after="80"/>
      </w:pPr>
      <w:r>
        <w:rPr>
          <w:rFonts w:ascii="Arial" w:hAnsi="Arial" w:eastAsia="Arial"/>
        </w:rPr>
        <w:t>Knowledge Check Rationales</w:t>
      </w:r>
    </w:p>
    <w:p>
      <w:pPr>
        <w:pStyle w:val="Heading2"/>
        <w:keepNext/>
        <w:widowControl/>
        <w:spacing w:before="0" w:after="80"/>
      </w:pPr>
      <w:r>
        <w:rPr>
          <w:rFonts w:ascii="Arial" w:hAnsi="Arial" w:eastAsia="Arial"/>
        </w:rPr>
        <w:t>Question 1 (LPCC-WB07-Q001)</w:t>
      </w:r>
    </w:p>
    <w:p>
      <w:pPr>
        <w:keepNext/>
        <w:widowControl/>
        <w:spacing w:before="0" w:after="40"/>
      </w:pPr>
      <w:r>
        <w:rPr>
          <w:rFonts w:ascii="Arial" w:hAnsi="Arial" w:eastAsia="Arial"/>
          <w:b/>
          <w:color w:val="17365D"/>
          <w:sz w:val="18"/>
        </w:rPr>
        <w:t>Correct Answer: B</w:t>
      </w:r>
    </w:p>
    <w:p>
      <w:pPr>
        <w:widowControl/>
        <w:spacing w:before="0" w:after="24"/>
      </w:pPr>
      <w:r>
        <w:rPr>
          <w:rFonts w:ascii="Arial" w:hAnsi="Arial" w:eastAsia="Arial"/>
          <w:color w:val="1F2937"/>
          <w:sz w:val="17"/>
        </w:rPr>
        <w:t>A. Incorrect. Diagnostic criteria may contribute to the case, but a conceptualization is broader and more individualized.</w:t>
      </w:r>
    </w:p>
    <w:p>
      <w:pPr>
        <w:widowControl/>
        <w:spacing w:before="0" w:after="24"/>
      </w:pPr>
      <w:r>
        <w:rPr>
          <w:rFonts w:ascii="Arial" w:hAnsi="Arial" w:eastAsia="Arial"/>
          <w:color w:val="1F2937"/>
          <w:sz w:val="17"/>
        </w:rPr>
        <w:t>B. Correct. A conceptualization integrates the client’s symptoms, functioning, safety, strengths, context, maintaining factors, and uncertainty into a working explanation.</w:t>
      </w:r>
    </w:p>
    <w:p>
      <w:pPr>
        <w:widowControl/>
        <w:spacing w:before="0" w:after="24"/>
      </w:pPr>
      <w:r>
        <w:rPr>
          <w:rFonts w:ascii="Arial" w:hAnsi="Arial" w:eastAsia="Arial"/>
          <w:color w:val="1F2937"/>
          <w:sz w:val="17"/>
        </w:rPr>
        <w:t>C. Incorrect. Billing codes may be required administratively but do not explain the case.</w:t>
      </w:r>
    </w:p>
    <w:p>
      <w:pPr>
        <w:widowControl/>
        <w:spacing w:before="0" w:after="24"/>
      </w:pPr>
      <w:r>
        <w:rPr>
          <w:rFonts w:ascii="Arial" w:hAnsi="Arial" w:eastAsia="Arial"/>
          <w:color w:val="1F2937"/>
          <w:sz w:val="17"/>
        </w:rPr>
        <w:t>D. Incorrect. The treatment plan is the action map developed from the conceptualization.</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When the question asks for conceptualization, look for an integrated, revisable explanation rather than a label or intervention list.</w:t>
            </w:r>
          </w:p>
        </w:tc>
      </w:tr>
    </w:tbl>
    <w:p>
      <w:pPr>
        <w:widowControl/>
        <w:spacing w:after="0"/>
      </w:pPr>
    </w:p>
    <w:p>
      <w:pPr>
        <w:pStyle w:val="Heading2"/>
        <w:keepNext/>
        <w:widowControl/>
        <w:spacing w:before="0" w:after="80"/>
      </w:pPr>
      <w:r>
        <w:rPr>
          <w:rFonts w:ascii="Arial" w:hAnsi="Arial" w:eastAsia="Arial"/>
        </w:rPr>
        <w:t>Question 2 (LPCC-WB07-Q002)</w:t>
      </w:r>
    </w:p>
    <w:p>
      <w:pPr>
        <w:keepNext/>
        <w:widowControl/>
        <w:spacing w:before="0" w:after="40"/>
      </w:pPr>
      <w:r>
        <w:rPr>
          <w:rFonts w:ascii="Arial" w:hAnsi="Arial" w:eastAsia="Arial"/>
          <w:b/>
          <w:color w:val="17365D"/>
          <w:sz w:val="18"/>
        </w:rPr>
        <w:t>Correct Answer: C</w:t>
      </w:r>
    </w:p>
    <w:p>
      <w:pPr>
        <w:widowControl/>
        <w:spacing w:before="0" w:after="24"/>
      </w:pPr>
      <w:r>
        <w:rPr>
          <w:rFonts w:ascii="Arial" w:hAnsi="Arial" w:eastAsia="Arial"/>
          <w:color w:val="1F2937"/>
          <w:sz w:val="17"/>
        </w:rPr>
        <w:t>A. Incorrect. Anxiety may contribute, but new chest pain and fainting require medical evaluation before routine relaxation training.</w:t>
      </w:r>
    </w:p>
    <w:p>
      <w:pPr>
        <w:widowControl/>
        <w:spacing w:before="0" w:after="24"/>
      </w:pPr>
      <w:r>
        <w:rPr>
          <w:rFonts w:ascii="Arial" w:hAnsi="Arial" w:eastAsia="Arial"/>
          <w:color w:val="1F2937"/>
          <w:sz w:val="17"/>
        </w:rPr>
        <w:t>B. Incorrect. Housing is important, but possible medical instability is more urgent.</w:t>
      </w:r>
    </w:p>
    <w:p>
      <w:pPr>
        <w:widowControl/>
        <w:spacing w:before="0" w:after="24"/>
      </w:pPr>
      <w:r>
        <w:rPr>
          <w:rFonts w:ascii="Arial" w:hAnsi="Arial" w:eastAsia="Arial"/>
          <w:color w:val="1F2937"/>
          <w:sz w:val="17"/>
        </w:rPr>
        <w:t>C. Correct. Medical safety is prioritized while the counselor also considers continuity, access, and emotional support.</w:t>
      </w:r>
    </w:p>
    <w:p>
      <w:pPr>
        <w:widowControl/>
        <w:spacing w:before="0" w:after="24"/>
      </w:pPr>
      <w:r>
        <w:rPr>
          <w:rFonts w:ascii="Arial" w:hAnsi="Arial" w:eastAsia="Arial"/>
          <w:color w:val="1F2937"/>
          <w:sz w:val="17"/>
        </w:rPr>
        <w:t>D. Incorrect. Additional anxiety measurement should not delay assessment of a medical red flag.</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Use the priority ladder: immediate safety and medical stability before routine treatment goals.</w:t>
            </w:r>
          </w:p>
        </w:tc>
      </w:tr>
    </w:tbl>
    <w:p>
      <w:pPr>
        <w:widowControl/>
        <w:spacing w:after="0"/>
      </w:pPr>
    </w:p>
    <w:p>
      <w:pPr>
        <w:pStyle w:val="Heading2"/>
        <w:keepNext/>
        <w:widowControl/>
        <w:spacing w:before="0" w:after="80"/>
      </w:pPr>
      <w:r>
        <w:rPr>
          <w:rFonts w:ascii="Arial" w:hAnsi="Arial" w:eastAsia="Arial"/>
        </w:rPr>
        <w:t>Question 3 (LPCC-WB07-Q003)</w:t>
      </w:r>
    </w:p>
    <w:p>
      <w:pPr>
        <w:keepNext/>
        <w:widowControl/>
        <w:spacing w:before="0" w:after="40"/>
      </w:pPr>
      <w:r>
        <w:rPr>
          <w:rFonts w:ascii="Arial" w:hAnsi="Arial" w:eastAsia="Arial"/>
          <w:b/>
          <w:color w:val="17365D"/>
          <w:sz w:val="18"/>
        </w:rPr>
        <w:t>Correct Answer: A</w:t>
      </w:r>
    </w:p>
    <w:p>
      <w:pPr>
        <w:widowControl/>
        <w:spacing w:before="0" w:after="24"/>
      </w:pPr>
      <w:r>
        <w:rPr>
          <w:rFonts w:ascii="Arial" w:hAnsi="Arial" w:eastAsia="Arial"/>
          <w:color w:val="1F2937"/>
          <w:sz w:val="17"/>
        </w:rPr>
        <w:t>A. Correct. The objective names an observable behavior, frequency, and time period.</w:t>
      </w:r>
    </w:p>
    <w:p>
      <w:pPr>
        <w:widowControl/>
        <w:spacing w:before="0" w:after="24"/>
      </w:pPr>
      <w:r>
        <w:rPr>
          <w:rFonts w:ascii="Arial" w:hAnsi="Arial" w:eastAsia="Arial"/>
          <w:color w:val="1F2937"/>
          <w:sz w:val="17"/>
        </w:rPr>
        <w:t>B. Incorrect. This is a broad direction without a measurable indicator.</w:t>
      </w:r>
    </w:p>
    <w:p>
      <w:pPr>
        <w:widowControl/>
        <w:spacing w:before="0" w:after="24"/>
      </w:pPr>
      <w:r>
        <w:rPr>
          <w:rFonts w:ascii="Arial" w:hAnsi="Arial" w:eastAsia="Arial"/>
          <w:color w:val="1F2937"/>
          <w:sz w:val="17"/>
        </w:rPr>
        <w:t>C. Incorrect. This describes a counselor intervention, not a client objective.</w:t>
      </w:r>
    </w:p>
    <w:p>
      <w:pPr>
        <w:widowControl/>
        <w:spacing w:before="0" w:after="24"/>
      </w:pPr>
      <w:r>
        <w:rPr>
          <w:rFonts w:ascii="Arial" w:hAnsi="Arial" w:eastAsia="Arial"/>
          <w:color w:val="1F2937"/>
          <w:sz w:val="17"/>
        </w:rPr>
        <w:t>D. Incorrect. “Process” is vague and does not define observable change or timing.</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Objectives answer: what will change, how much or how often, and by when or at what review point?</w:t>
            </w:r>
          </w:p>
        </w:tc>
      </w:tr>
    </w:tbl>
    <w:p>
      <w:pPr>
        <w:widowControl/>
        <w:spacing w:after="0"/>
      </w:pPr>
    </w:p>
    <w:p>
      <w:pPr>
        <w:pStyle w:val="Heading2"/>
        <w:keepNext/>
        <w:widowControl/>
        <w:spacing w:before="0" w:after="80"/>
      </w:pPr>
      <w:r>
        <w:rPr>
          <w:rFonts w:ascii="Arial" w:hAnsi="Arial" w:eastAsia="Arial"/>
        </w:rPr>
        <w:t>Question 4 (LPCC-WB07-Q004)</w:t>
      </w:r>
    </w:p>
    <w:p>
      <w:pPr>
        <w:keepNext/>
        <w:widowControl/>
        <w:spacing w:before="0" w:after="40"/>
      </w:pPr>
      <w:r>
        <w:rPr>
          <w:rFonts w:ascii="Arial" w:hAnsi="Arial" w:eastAsia="Arial"/>
          <w:b/>
          <w:color w:val="17365D"/>
          <w:sz w:val="18"/>
        </w:rPr>
        <w:t>Correct Answer: D</w:t>
      </w:r>
    </w:p>
    <w:p>
      <w:pPr>
        <w:widowControl/>
        <w:spacing w:before="0" w:after="24"/>
      </w:pPr>
      <w:r>
        <w:rPr>
          <w:rFonts w:ascii="Arial" w:hAnsi="Arial" w:eastAsia="Arial"/>
          <w:color w:val="1F2937"/>
          <w:sz w:val="17"/>
        </w:rPr>
        <w:t>A. Incorrect. “Less depressed soon” is vague and not measurable.</w:t>
      </w:r>
    </w:p>
    <w:p>
      <w:pPr>
        <w:widowControl/>
        <w:spacing w:before="0" w:after="24"/>
      </w:pPr>
      <w:r>
        <w:rPr>
          <w:rFonts w:ascii="Arial" w:hAnsi="Arial" w:eastAsia="Arial"/>
          <w:color w:val="1F2937"/>
          <w:sz w:val="17"/>
        </w:rPr>
        <w:t>B. Incorrect. “Understand” is difficult to observe and does not specify time or functional change.</w:t>
      </w:r>
    </w:p>
    <w:p>
      <w:pPr>
        <w:widowControl/>
        <w:spacing w:before="0" w:after="24"/>
      </w:pPr>
      <w:r>
        <w:rPr>
          <w:rFonts w:ascii="Arial" w:hAnsi="Arial" w:eastAsia="Arial"/>
          <w:color w:val="1F2937"/>
          <w:sz w:val="17"/>
        </w:rPr>
        <w:t>C. Incorrect. “More often” lacks a defined behavior, frequency, and review period.</w:t>
      </w:r>
    </w:p>
    <w:p>
      <w:pPr>
        <w:widowControl/>
        <w:spacing w:before="0" w:after="24"/>
      </w:pPr>
      <w:r>
        <w:rPr>
          <w:rFonts w:ascii="Arial" w:hAnsi="Arial" w:eastAsia="Arial"/>
          <w:color w:val="1F2937"/>
          <w:sz w:val="17"/>
        </w:rPr>
        <w:t>D. Correct. The objective specifies behavior, frequency, monitoring, and a review point.</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Select the objective that can be observed and reviewed, not the one that merely sounds clinically desirable.</w:t>
            </w:r>
          </w:p>
        </w:tc>
      </w:tr>
    </w:tbl>
    <w:p>
      <w:pPr>
        <w:widowControl/>
        <w:spacing w:after="0"/>
      </w:pPr>
    </w:p>
    <w:p>
      <w:pPr>
        <w:pStyle w:val="Heading2"/>
        <w:keepNext/>
        <w:widowControl/>
        <w:spacing w:before="0" w:after="80"/>
      </w:pPr>
      <w:r>
        <w:rPr>
          <w:rFonts w:ascii="Arial" w:hAnsi="Arial" w:eastAsia="Arial"/>
        </w:rPr>
        <w:t>Question 5 (LPCC-WB07-Q005)</w:t>
      </w:r>
    </w:p>
    <w:p>
      <w:pPr>
        <w:keepNext/>
        <w:widowControl/>
        <w:spacing w:before="0" w:after="40"/>
      </w:pPr>
      <w:r>
        <w:rPr>
          <w:rFonts w:ascii="Arial" w:hAnsi="Arial" w:eastAsia="Arial"/>
          <w:b/>
          <w:color w:val="17365D"/>
          <w:sz w:val="18"/>
        </w:rPr>
        <w:t>Correct Answer: B</w:t>
      </w:r>
    </w:p>
    <w:p>
      <w:pPr>
        <w:widowControl/>
        <w:spacing w:before="0" w:after="24"/>
      </w:pPr>
      <w:r>
        <w:rPr>
          <w:rFonts w:ascii="Arial" w:hAnsi="Arial" w:eastAsia="Arial"/>
          <w:color w:val="1F2937"/>
          <w:sz w:val="17"/>
        </w:rPr>
        <w:t>A. Incorrect. CBT can be used without medication when clinically appropriate.</w:t>
      </w:r>
    </w:p>
    <w:p>
      <w:pPr>
        <w:widowControl/>
        <w:spacing w:before="0" w:after="24"/>
      </w:pPr>
      <w:r>
        <w:rPr>
          <w:rFonts w:ascii="Arial" w:hAnsi="Arial" w:eastAsia="Arial"/>
          <w:color w:val="1F2937"/>
          <w:sz w:val="17"/>
        </w:rPr>
        <w:t>B. Correct. An intervention must connect to the client’s goal, measurable objective, rationale, and review process.</w:t>
      </w:r>
    </w:p>
    <w:p>
      <w:pPr>
        <w:widowControl/>
        <w:spacing w:before="0" w:after="24"/>
      </w:pPr>
      <w:r>
        <w:rPr>
          <w:rFonts w:ascii="Arial" w:hAnsi="Arial" w:eastAsia="Arial"/>
          <w:color w:val="1F2937"/>
          <w:sz w:val="17"/>
        </w:rPr>
        <w:t>C. Incorrect. Frequency depends on need, setting, and plan; weekly care is not inherently inappropriate.</w:t>
      </w:r>
    </w:p>
    <w:p>
      <w:pPr>
        <w:widowControl/>
        <w:spacing w:before="0" w:after="24"/>
      </w:pPr>
      <w:r>
        <w:rPr>
          <w:rFonts w:ascii="Arial" w:hAnsi="Arial" w:eastAsia="Arial"/>
          <w:color w:val="1F2937"/>
          <w:sz w:val="17"/>
        </w:rPr>
        <w:t>D. Incorrect. A useful treatment plan contains more than diagnosis and discharge date.</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A technique name is not a treatment plan. Look for the missing clinical link between need, goal, action, and measurement.</w:t>
            </w:r>
          </w:p>
        </w:tc>
      </w:tr>
    </w:tbl>
    <w:p>
      <w:pPr>
        <w:widowControl/>
        <w:spacing w:after="0"/>
      </w:pPr>
    </w:p>
    <w:p>
      <w:pPr>
        <w:pStyle w:val="Heading2"/>
        <w:keepNext/>
        <w:widowControl/>
        <w:spacing w:before="0" w:after="80"/>
      </w:pPr>
      <w:r>
        <w:rPr>
          <w:rFonts w:ascii="Arial" w:hAnsi="Arial" w:eastAsia="Arial"/>
        </w:rPr>
        <w:t>Question 6 (LPCC-WB07-Q006)</w:t>
      </w:r>
    </w:p>
    <w:p>
      <w:pPr>
        <w:keepNext/>
        <w:widowControl/>
        <w:spacing w:before="0" w:after="40"/>
      </w:pPr>
      <w:r>
        <w:rPr>
          <w:rFonts w:ascii="Arial" w:hAnsi="Arial" w:eastAsia="Arial"/>
          <w:b/>
          <w:color w:val="17365D"/>
          <w:sz w:val="18"/>
        </w:rPr>
        <w:t>Correct Answer: C</w:t>
      </w:r>
    </w:p>
    <w:p>
      <w:pPr>
        <w:widowControl/>
        <w:spacing w:before="0" w:after="24"/>
      </w:pPr>
      <w:r>
        <w:rPr>
          <w:rFonts w:ascii="Arial" w:hAnsi="Arial" w:eastAsia="Arial"/>
          <w:color w:val="1F2937"/>
          <w:sz w:val="17"/>
        </w:rPr>
        <w:t>A. Incorrect. Client preference matters, but informed choice does not remove safety, readiness, or contraindication concerns.</w:t>
      </w:r>
    </w:p>
    <w:p>
      <w:pPr>
        <w:widowControl/>
        <w:spacing w:before="0" w:after="24"/>
      </w:pPr>
      <w:r>
        <w:rPr>
          <w:rFonts w:ascii="Arial" w:hAnsi="Arial" w:eastAsia="Arial"/>
          <w:color w:val="1F2937"/>
          <w:sz w:val="17"/>
        </w:rPr>
        <w:t>B. Incorrect. The need to sequence or adapt treatment does not mean trauma care is permanently unavailable.</w:t>
      </w:r>
    </w:p>
    <w:p>
      <w:pPr>
        <w:widowControl/>
        <w:spacing w:before="0" w:after="24"/>
      </w:pPr>
      <w:r>
        <w:rPr>
          <w:rFonts w:ascii="Arial" w:hAnsi="Arial" w:eastAsia="Arial"/>
          <w:color w:val="1F2937"/>
          <w:sz w:val="17"/>
        </w:rPr>
        <w:t>C. Correct. Stability, consent, substance use, environmental safety, supports, and appropriate level of care should be addressed before intensive exposure.</w:t>
      </w:r>
    </w:p>
    <w:p>
      <w:pPr>
        <w:widowControl/>
        <w:spacing w:before="0" w:after="24"/>
      </w:pPr>
      <w:r>
        <w:rPr>
          <w:rFonts w:ascii="Arial" w:hAnsi="Arial" w:eastAsia="Arial"/>
          <w:color w:val="1F2937"/>
          <w:sz w:val="17"/>
        </w:rPr>
        <w:t>D. Incorrect. A waiver does not substitute for competent assessment and safe sequencing.</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When an intervention is valid but the client is unstable, choose assessment, stabilization, adaptation, or referral rather than immediate implementation.</w:t>
            </w:r>
          </w:p>
        </w:tc>
      </w:tr>
    </w:tbl>
    <w:p>
      <w:pPr>
        <w:widowControl/>
        <w:spacing w:after="0"/>
      </w:pPr>
    </w:p>
    <w:p>
      <w:pPr>
        <w:pStyle w:val="Heading2"/>
        <w:keepNext/>
        <w:widowControl/>
        <w:spacing w:before="0" w:after="80"/>
      </w:pPr>
      <w:r>
        <w:rPr>
          <w:rFonts w:ascii="Arial" w:hAnsi="Arial" w:eastAsia="Arial"/>
        </w:rPr>
        <w:t>Question 7 (LPCC-WB07-Q007)</w:t>
      </w:r>
    </w:p>
    <w:p>
      <w:pPr>
        <w:keepNext/>
        <w:widowControl/>
        <w:spacing w:before="0" w:after="40"/>
      </w:pPr>
      <w:r>
        <w:rPr>
          <w:rFonts w:ascii="Arial" w:hAnsi="Arial" w:eastAsia="Arial"/>
          <w:b/>
          <w:color w:val="17365D"/>
          <w:sz w:val="18"/>
        </w:rPr>
        <w:t>Correct Answer: A</w:t>
      </w:r>
    </w:p>
    <w:p>
      <w:pPr>
        <w:widowControl/>
        <w:spacing w:before="0" w:after="24"/>
      </w:pPr>
      <w:r>
        <w:rPr>
          <w:rFonts w:ascii="Arial" w:hAnsi="Arial" w:eastAsia="Arial"/>
          <w:color w:val="1F2937"/>
          <w:sz w:val="17"/>
        </w:rPr>
        <w:t>A. Correct. Measurement-based care combines scores with function, client meaning, and shared decision-making; the plan may need revision.</w:t>
      </w:r>
    </w:p>
    <w:p>
      <w:pPr>
        <w:widowControl/>
        <w:spacing w:before="0" w:after="24"/>
      </w:pPr>
      <w:r>
        <w:rPr>
          <w:rFonts w:ascii="Arial" w:hAnsi="Arial" w:eastAsia="Arial"/>
          <w:color w:val="1F2937"/>
          <w:sz w:val="17"/>
        </w:rPr>
        <w:t>B. Incorrect. Standardized data do not automatically outrank client experience or functional decline.</w:t>
      </w:r>
    </w:p>
    <w:p>
      <w:pPr>
        <w:widowControl/>
        <w:spacing w:before="0" w:after="24"/>
      </w:pPr>
      <w:r>
        <w:rPr>
          <w:rFonts w:ascii="Arial" w:hAnsi="Arial" w:eastAsia="Arial"/>
          <w:color w:val="1F2937"/>
          <w:sz w:val="17"/>
        </w:rPr>
        <w:t>C. Incorrect. One improved score does not prove recovery when important functioning worsens.</w:t>
      </w:r>
    </w:p>
    <w:p>
      <w:pPr>
        <w:widowControl/>
        <w:spacing w:before="0" w:after="24"/>
      </w:pPr>
      <w:r>
        <w:rPr>
          <w:rFonts w:ascii="Arial" w:hAnsi="Arial" w:eastAsia="Arial"/>
          <w:color w:val="1F2937"/>
          <w:sz w:val="17"/>
        </w:rPr>
        <w:t>D. Incorrect. Measures can add value when interpreted collaboratively and within context.</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The best answer integrates the measure with the client’s story and functional outcomes.</w:t>
            </w:r>
          </w:p>
        </w:tc>
      </w:tr>
    </w:tbl>
    <w:p>
      <w:pPr>
        <w:widowControl/>
        <w:spacing w:after="0"/>
      </w:pPr>
    </w:p>
    <w:p>
      <w:pPr>
        <w:pStyle w:val="Heading2"/>
        <w:keepNext/>
        <w:widowControl/>
        <w:spacing w:before="0" w:after="80"/>
      </w:pPr>
      <w:r>
        <w:rPr>
          <w:rFonts w:ascii="Arial" w:hAnsi="Arial" w:eastAsia="Arial"/>
        </w:rPr>
        <w:t>Question 8 (LPCC-WB07-Q008)</w:t>
      </w:r>
    </w:p>
    <w:p>
      <w:pPr>
        <w:keepNext/>
        <w:widowControl/>
        <w:spacing w:before="0" w:after="40"/>
      </w:pPr>
      <w:r>
        <w:rPr>
          <w:rFonts w:ascii="Arial" w:hAnsi="Arial" w:eastAsia="Arial"/>
          <w:b/>
          <w:color w:val="17365D"/>
          <w:sz w:val="18"/>
        </w:rPr>
        <w:t>Correct Answer: D</w:t>
      </w:r>
    </w:p>
    <w:p>
      <w:pPr>
        <w:widowControl/>
        <w:spacing w:before="0" w:after="24"/>
      </w:pPr>
      <w:r>
        <w:rPr>
          <w:rFonts w:ascii="Arial" w:hAnsi="Arial" w:eastAsia="Arial"/>
          <w:color w:val="1F2937"/>
          <w:sz w:val="17"/>
        </w:rPr>
        <w:t>A. Incorrect. Labeling the client as resistant bypasses clinical reassessment and may reflect bias or plan mismatch.</w:t>
      </w:r>
    </w:p>
    <w:p>
      <w:pPr>
        <w:widowControl/>
        <w:spacing w:before="0" w:after="24"/>
      </w:pPr>
      <w:r>
        <w:rPr>
          <w:rFonts w:ascii="Arial" w:hAnsi="Arial" w:eastAsia="Arial"/>
          <w:color w:val="1F2937"/>
          <w:sz w:val="17"/>
        </w:rPr>
        <w:t>B. Incorrect. Adding techniques without understanding nonresponse produces an unfocused plan.</w:t>
      </w:r>
    </w:p>
    <w:p>
      <w:pPr>
        <w:widowControl/>
        <w:spacing w:before="0" w:after="24"/>
      </w:pPr>
      <w:r>
        <w:rPr>
          <w:rFonts w:ascii="Arial" w:hAnsi="Arial" w:eastAsia="Arial"/>
          <w:color w:val="1F2937"/>
          <w:sz w:val="17"/>
        </w:rPr>
        <w:t>C. Incorrect. There is no universal session count that makes reassessment unnecessary.</w:t>
      </w:r>
    </w:p>
    <w:p>
      <w:pPr>
        <w:widowControl/>
        <w:spacing w:before="0" w:after="24"/>
      </w:pPr>
      <w:r>
        <w:rPr>
          <w:rFonts w:ascii="Arial" w:hAnsi="Arial" w:eastAsia="Arial"/>
          <w:color w:val="1F2937"/>
          <w:sz w:val="17"/>
        </w:rPr>
        <w:t>D. Correct. Nonresponse calls for a collaborative review of safety, diagnosis, goals, alliance, barriers, treatment delivery, and level of care.</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Before escalating the same plan, investigate why it is not working.</w:t>
            </w:r>
          </w:p>
        </w:tc>
      </w:tr>
    </w:tbl>
    <w:p>
      <w:pPr>
        <w:widowControl/>
        <w:spacing w:after="0"/>
      </w:pPr>
    </w:p>
    <w:p>
      <w:pPr>
        <w:pStyle w:val="Heading2"/>
        <w:keepNext/>
        <w:widowControl/>
        <w:spacing w:before="0" w:after="80"/>
      </w:pPr>
      <w:r>
        <w:rPr>
          <w:rFonts w:ascii="Arial" w:hAnsi="Arial" w:eastAsia="Arial"/>
        </w:rPr>
        <w:t>Question 9 (LPCC-WB07-Q009)</w:t>
      </w:r>
    </w:p>
    <w:p>
      <w:pPr>
        <w:keepNext/>
        <w:widowControl/>
        <w:spacing w:before="0" w:after="40"/>
      </w:pPr>
      <w:r>
        <w:rPr>
          <w:rFonts w:ascii="Arial" w:hAnsi="Arial" w:eastAsia="Arial"/>
          <w:b/>
          <w:color w:val="17365D"/>
          <w:sz w:val="18"/>
        </w:rPr>
        <w:t>Correct Answer: B</w:t>
      </w:r>
    </w:p>
    <w:p>
      <w:pPr>
        <w:widowControl/>
        <w:spacing w:before="0" w:after="24"/>
      </w:pPr>
      <w:r>
        <w:rPr>
          <w:rFonts w:ascii="Arial" w:hAnsi="Arial" w:eastAsia="Arial"/>
          <w:color w:val="1F2937"/>
          <w:sz w:val="17"/>
        </w:rPr>
        <w:t>A. Incorrect. Waiting until the client announces departure makes expectations and progress criteria less transparent.</w:t>
      </w:r>
    </w:p>
    <w:p>
      <w:pPr>
        <w:widowControl/>
        <w:spacing w:before="0" w:after="24"/>
      </w:pPr>
      <w:r>
        <w:rPr>
          <w:rFonts w:ascii="Arial" w:hAnsi="Arial" w:eastAsia="Arial"/>
          <w:color w:val="1F2937"/>
          <w:sz w:val="17"/>
        </w:rPr>
        <w:t>B. Correct. The expected course, review points, maintenance, and ending criteria should be introduced early and refined collaboratively.</w:t>
      </w:r>
    </w:p>
    <w:p>
      <w:pPr>
        <w:widowControl/>
        <w:spacing w:before="0" w:after="24"/>
      </w:pPr>
      <w:r>
        <w:rPr>
          <w:rFonts w:ascii="Arial" w:hAnsi="Arial" w:eastAsia="Arial"/>
          <w:color w:val="1F2937"/>
          <w:sz w:val="17"/>
        </w:rPr>
        <w:t>C. Incorrect. Planned completion does not require permanent elimination of all symptoms.</w:t>
      </w:r>
    </w:p>
    <w:p>
      <w:pPr>
        <w:widowControl/>
        <w:spacing w:before="0" w:after="24"/>
      </w:pPr>
      <w:r>
        <w:rPr>
          <w:rFonts w:ascii="Arial" w:hAnsi="Arial" w:eastAsia="Arial"/>
          <w:color w:val="1F2937"/>
          <w:sz w:val="17"/>
        </w:rPr>
        <w:t>D. Incorrect. Clinical termination planning is not determined only by insurance authorization.</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Termination is part of treatment planning, not a last-minute administrative event.</w:t>
            </w:r>
          </w:p>
        </w:tc>
      </w:tr>
    </w:tbl>
    <w:p>
      <w:pPr>
        <w:widowControl/>
        <w:spacing w:after="0"/>
      </w:pPr>
    </w:p>
    <w:p>
      <w:pPr>
        <w:pStyle w:val="Heading2"/>
        <w:keepNext/>
        <w:widowControl/>
        <w:spacing w:before="0" w:after="80"/>
      </w:pPr>
      <w:r>
        <w:rPr>
          <w:rFonts w:ascii="Arial" w:hAnsi="Arial" w:eastAsia="Arial"/>
        </w:rPr>
        <w:t>Question 10 (LPCC-WB07-Q010)</w:t>
      </w:r>
    </w:p>
    <w:p>
      <w:pPr>
        <w:keepNext/>
        <w:widowControl/>
        <w:spacing w:before="0" w:after="40"/>
      </w:pPr>
      <w:r>
        <w:rPr>
          <w:rFonts w:ascii="Arial" w:hAnsi="Arial" w:eastAsia="Arial"/>
          <w:b/>
          <w:color w:val="17365D"/>
          <w:sz w:val="18"/>
        </w:rPr>
        <w:t>Correct Answer: C</w:t>
      </w:r>
    </w:p>
    <w:p>
      <w:pPr>
        <w:widowControl/>
        <w:spacing w:before="0" w:after="24"/>
      </w:pPr>
      <w:r>
        <w:rPr>
          <w:rFonts w:ascii="Arial" w:hAnsi="Arial" w:eastAsia="Arial"/>
          <w:color w:val="1F2937"/>
          <w:sz w:val="17"/>
        </w:rPr>
        <w:t>A. Incorrect. Immediate closure may neglect continuity, risk, and reasonable outreach responsibilities.</w:t>
      </w:r>
    </w:p>
    <w:p>
      <w:pPr>
        <w:widowControl/>
        <w:spacing w:before="0" w:after="24"/>
      </w:pPr>
      <w:r>
        <w:rPr>
          <w:rFonts w:ascii="Arial" w:hAnsi="Arial" w:eastAsia="Arial"/>
          <w:color w:val="1F2937"/>
          <w:sz w:val="17"/>
        </w:rPr>
        <w:t>B. Incorrect. Indefinite scheduling without outreach or documentation is not a coherent plan.</w:t>
      </w:r>
    </w:p>
    <w:p>
      <w:pPr>
        <w:widowControl/>
        <w:spacing w:before="0" w:after="24"/>
      </w:pPr>
      <w:r>
        <w:rPr>
          <w:rFonts w:ascii="Arial" w:hAnsi="Arial" w:eastAsia="Arial"/>
          <w:color w:val="1F2937"/>
          <w:sz w:val="17"/>
        </w:rPr>
        <w:t>C. Correct. Timely outreach, safety reassessment when possible, referrals, reentry information, and documentation support continuity and nonabandonment.</w:t>
      </w:r>
    </w:p>
    <w:p>
      <w:pPr>
        <w:widowControl/>
        <w:spacing w:before="0" w:after="24"/>
      </w:pPr>
      <w:r>
        <w:rPr>
          <w:rFonts w:ascii="Arial" w:hAnsi="Arial" w:eastAsia="Arial"/>
          <w:color w:val="1F2937"/>
          <w:sz w:val="17"/>
        </w:rPr>
        <w:t>D. Incorrect. Employer contact would generally violate confidentiality absent authorization or another legal basis.</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Dropout questions usually favor reasonable outreach, safety, referral, documentation, and respect for client choice rather than coercion or abrupt closure.</w:t>
            </w:r>
          </w:p>
        </w:tc>
      </w:tr>
    </w:tbl>
    <w:p>
      <w:pPr>
        <w:widowControl/>
        <w:spacing w:after="0"/>
      </w:pPr>
    </w:p>
    <w:p>
      <w:pPr>
        <w:pStyle w:val="Heading1"/>
        <w:keepNext/>
        <w:widowControl/>
        <w:spacing w:before="0" w:after="80"/>
      </w:pPr>
      <w:r>
        <w:rPr>
          <w:rFonts w:ascii="Arial" w:hAnsi="Arial" w:eastAsia="Arial"/>
        </w:rPr>
        <w:t>Study Planning and Remediation</w:t>
      </w:r>
    </w:p>
    <w:p>
      <w:pPr>
        <w:pStyle w:val="Heading2"/>
        <w:keepNext/>
        <w:widowControl/>
        <w:spacing w:before="0" w:after="80"/>
      </w:pPr>
      <w:r>
        <w:rPr>
          <w:rFonts w:ascii="Arial" w:hAnsi="Arial" w:eastAsia="Arial"/>
        </w:rPr>
        <w:t>My Workbook 7 Results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432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Measure</w:t>
            </w:r>
          </w:p>
        </w:tc>
        <w:tc>
          <w:tcPr>
            <w:tcW w:type="dxa" w:w="525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Result</w:t>
            </w:r>
          </w:p>
        </w:tc>
      </w:tr>
      <w:tr>
        <w:trPr/>
        <w:tc>
          <w:tcPr>
            <w:tcW w:type="dxa" w:w="432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Knowledge Check Score</w:t>
            </w:r>
          </w:p>
        </w:tc>
        <w:tc>
          <w:tcPr>
            <w:tcW w:type="dxa" w:w="52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____ / 10</w:t>
            </w:r>
          </w:p>
        </w:tc>
      </w:tr>
      <w:tr>
        <w:trPr/>
        <w:tc>
          <w:tcPr>
            <w:tcW w:type="dxa" w:w="432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High-Confidence Errors</w:t>
            </w:r>
          </w:p>
        </w:tc>
        <w:tc>
          <w:tcPr>
            <w:tcW w:type="dxa" w:w="52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____</w:t>
            </w:r>
          </w:p>
        </w:tc>
      </w:tr>
      <w:tr>
        <w:trPr/>
        <w:tc>
          <w:tcPr>
            <w:tcW w:type="dxa" w:w="432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Questions Requiring Review</w:t>
            </w:r>
          </w:p>
        </w:tc>
        <w:tc>
          <w:tcPr>
            <w:tcW w:type="dxa" w:w="52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____</w:t>
            </w:r>
          </w:p>
        </w:tc>
      </w:tr>
      <w:tr>
        <w:trPr/>
        <w:tc>
          <w:tcPr>
            <w:tcW w:type="dxa" w:w="432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Primary Error Pattern</w:t>
            </w:r>
          </w:p>
        </w:tc>
        <w:tc>
          <w:tcPr>
            <w:tcW w:type="dxa" w:w="52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Priority / Goal Quality / Plan Fit / Contraindication / Measurement / Revision / Continuity</w:t>
            </w:r>
          </w:p>
        </w:tc>
      </w:tr>
    </w:tbl>
    <w:p>
      <w:pPr>
        <w:widowControl/>
        <w:spacing w:after="0"/>
      </w:pPr>
    </w:p>
    <w:p>
      <w:pPr>
        <w:pStyle w:val="Heading2"/>
        <w:keepNext/>
        <w:widowControl/>
        <w:spacing w:before="0" w:after="80"/>
      </w:pPr>
      <w:r>
        <w:rPr>
          <w:rFonts w:ascii="Arial" w:hAnsi="Arial" w:eastAsia="Arial"/>
        </w:rPr>
        <w:t>My Corrected Planning Rules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96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Error or Missed Clue</w:t>
            </w:r>
          </w:p>
        </w:tc>
        <w:tc>
          <w:tcPr>
            <w:tcW w:type="dxa" w:w="561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Corrected Rule I Will Apply Next Time</w:t>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56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56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56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56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bl>
    <w:p>
      <w:pPr>
        <w:widowControl/>
        <w:spacing w:after="0"/>
      </w:pPr>
    </w:p>
    <w:p>
      <w:pPr>
        <w:pStyle w:val="Heading2"/>
        <w:keepNext/>
        <w:widowControl/>
        <w:spacing w:before="0" w:after="80"/>
      </w:pPr>
      <w:r>
        <w:rPr>
          <w:rFonts w:ascii="Arial" w:hAnsi="Arial" w:eastAsia="Arial"/>
        </w:rPr>
        <w:t>Workbook 7 Completion Check</w:t>
      </w:r>
    </w:p>
    <w:p>
      <w:pPr>
        <w:pStyle w:val="ListBullet"/>
        <w:keepLines/>
        <w:widowControl/>
        <w:spacing w:after="30"/>
      </w:pPr>
      <w:r>
        <w:rPr>
          <w:rFonts w:ascii="Arial" w:hAnsi="Arial" w:eastAsia="Arial"/>
          <w:color w:val="1F2937"/>
          <w:sz w:val="17"/>
        </w:rPr>
        <w:t>☐ I can distinguish diagnosis, case conceptualization, and treatment planning.</w:t>
      </w:r>
    </w:p>
    <w:p>
      <w:pPr>
        <w:pStyle w:val="ListBullet"/>
        <w:keepLines/>
        <w:widowControl/>
        <w:spacing w:after="30"/>
      </w:pPr>
      <w:r>
        <w:rPr>
          <w:rFonts w:ascii="Arial" w:hAnsi="Arial" w:eastAsia="Arial"/>
          <w:color w:val="1F2937"/>
          <w:sz w:val="17"/>
        </w:rPr>
        <w:t>☐ I can use FRAME to organize facts, risk, maintaining factors, meaning, strengths, context, and uncertainty.</w:t>
      </w:r>
    </w:p>
    <w:p>
      <w:pPr>
        <w:pStyle w:val="ListBullet"/>
        <w:keepLines/>
        <w:widowControl/>
        <w:spacing w:after="30"/>
      </w:pPr>
      <w:r>
        <w:rPr>
          <w:rFonts w:ascii="Arial" w:hAnsi="Arial" w:eastAsia="Arial"/>
          <w:color w:val="1F2937"/>
          <w:sz w:val="17"/>
        </w:rPr>
        <w:t>☐ I can prioritize safety, medical stability, access, client-defined functioning, and longer-term goals.</w:t>
      </w:r>
    </w:p>
    <w:p>
      <w:pPr>
        <w:pStyle w:val="ListBullet"/>
        <w:keepLines/>
        <w:widowControl/>
        <w:spacing w:after="30"/>
      </w:pPr>
      <w:r>
        <w:rPr>
          <w:rFonts w:ascii="Arial" w:hAnsi="Arial" w:eastAsia="Arial"/>
          <w:color w:val="1F2937"/>
          <w:sz w:val="17"/>
        </w:rPr>
        <w:t>☐ I can distinguish a problem statement, goal, objective, intervention, and measure.</w:t>
      </w:r>
    </w:p>
    <w:p>
      <w:pPr>
        <w:pStyle w:val="ListBullet"/>
        <w:keepLines/>
        <w:widowControl/>
        <w:spacing w:after="30"/>
      </w:pPr>
      <w:r>
        <w:rPr>
          <w:rFonts w:ascii="Arial" w:hAnsi="Arial" w:eastAsia="Arial"/>
          <w:color w:val="1F2937"/>
          <w:sz w:val="17"/>
        </w:rPr>
        <w:t>☐ I can write collaborative SMARTER objectives.</w:t>
      </w:r>
    </w:p>
    <w:p>
      <w:pPr>
        <w:pStyle w:val="ListBullet"/>
        <w:keepLines/>
        <w:widowControl/>
        <w:spacing w:after="30"/>
      </w:pPr>
      <w:r>
        <w:rPr>
          <w:rFonts w:ascii="Arial" w:hAnsi="Arial" w:eastAsia="Arial"/>
          <w:color w:val="1F2937"/>
          <w:sz w:val="17"/>
        </w:rPr>
        <w:t>☐ I can use MATCH to connect assessment evidence, modality, interventions, preferences, contraindications, and referrals.</w:t>
      </w:r>
    </w:p>
    <w:p>
      <w:pPr>
        <w:pStyle w:val="ListBullet"/>
        <w:keepLines/>
        <w:widowControl/>
        <w:spacing w:after="30"/>
      </w:pPr>
      <w:r>
        <w:rPr>
          <w:rFonts w:ascii="Arial" w:hAnsi="Arial" w:eastAsia="Arial"/>
          <w:color w:val="1F2937"/>
          <w:sz w:val="17"/>
        </w:rPr>
        <w:t>☐ I can use MEASURE to review progress and investigate nonresponse before intensifying treatment.</w:t>
      </w:r>
    </w:p>
    <w:p>
      <w:pPr>
        <w:pStyle w:val="ListBullet"/>
        <w:keepLines/>
        <w:widowControl/>
        <w:spacing w:after="30"/>
      </w:pPr>
      <w:r>
        <w:rPr>
          <w:rFonts w:ascii="Arial" w:hAnsi="Arial" w:eastAsia="Arial"/>
          <w:color w:val="1F2937"/>
          <w:sz w:val="17"/>
        </w:rPr>
        <w:t>☐ I can identify when a plan-level revision is needed rather than only a routine progress note.</w:t>
      </w:r>
    </w:p>
    <w:p>
      <w:pPr>
        <w:pStyle w:val="ListBullet"/>
        <w:keepLines/>
        <w:widowControl/>
        <w:spacing w:after="30"/>
      </w:pPr>
      <w:r>
        <w:rPr>
          <w:rFonts w:ascii="Arial" w:hAnsi="Arial" w:eastAsia="Arial"/>
          <w:color w:val="1F2937"/>
          <w:sz w:val="17"/>
        </w:rPr>
        <w:t>☐ I can use BRIDGE to plan relapse prevention, termination, discharge, and continuity.</w:t>
      </w:r>
    </w:p>
    <w:p>
      <w:pPr>
        <w:pStyle w:val="ListBullet"/>
        <w:keepLines/>
        <w:widowControl/>
        <w:spacing w:after="30"/>
      </w:pPr>
      <w:r>
        <w:rPr>
          <w:rFonts w:ascii="Arial" w:hAnsi="Arial" w:eastAsia="Arial"/>
          <w:color w:val="1F2937"/>
          <w:sz w:val="17"/>
        </w:rPr>
        <w:t>☐ I completed the Maya case lab and all five clinical resource tools.</w:t>
      </w:r>
    </w:p>
    <w:p>
      <w:pPr>
        <w:pStyle w:val="Heading2"/>
        <w:keepNext/>
        <w:widowControl/>
        <w:spacing w:before="0" w:after="80"/>
      </w:pPr>
      <w:r>
        <w:rPr>
          <w:rFonts w:ascii="Arial" w:hAnsi="Arial" w:eastAsia="Arial"/>
        </w:rPr>
        <w:t>Next Controlled Action</w:t>
      </w:r>
    </w:p>
    <w:tbl>
      <w:tblPr>
        <w:tblW w:type="auto" w:w="0"/>
        <w:jc w:val="center"/>
        <w:tblLayout w:type="autofit"/>
        <w:tblLook w:firstColumn="1" w:firstRow="1" w:lastColumn="0" w:lastRow="0" w:noHBand="0" w:noVBand="1" w:val="04A0"/>
      </w:tblPr>
      <w:tblGrid>
        <w:gridCol w:w="10282"/>
      </w:tblGrid>
      <w:tr>
        <w:trPr/>
        <w:tc>
          <w:tcPr>
            <w:tcW w:type="dxa" w:w="10282"/>
            <w:shd w:fill="EEF3F8"/>
            <w:tcBorders>
              <w:top w:sz="9" w:val="single" w:color="17365D"/>
              <w:left w:sz="9" w:val="single" w:color="17365D"/>
              <w:bottom w:sz="9" w:val="single" w:color="17365D"/>
              <w:right w:sz="9" w:val="single" w:color="17365D"/>
            </w:tcBorders>
            <w:tcMar>
              <w:top w:w="80" w:type="dxa"/>
              <w:start w:w="120" w:type="dxa"/>
              <w:bottom w:w="80" w:type="dxa"/>
              <w:end w:w="120" w:type="dxa"/>
            </w:tcMar>
          </w:tcPr>
          <w:p>
            <w:pPr>
              <w:widowControl/>
              <w:spacing w:after="40"/>
            </w:pPr>
            <w:r>
              <w:rPr>
                <w:rFonts w:ascii="Arial" w:hAnsi="Arial" w:eastAsia="Arial"/>
                <w:b/>
                <w:color w:val="17365D"/>
                <w:sz w:val="17"/>
              </w:rPr>
              <w:t>PROCEED TO THE MATCHING PRACTICE BANK</w:t>
            </w:r>
          </w:p>
          <w:p>
            <w:pPr>
              <w:widowControl/>
              <w:spacing w:after="0"/>
            </w:pPr>
            <w:r>
              <w:rPr>
                <w:rFonts w:ascii="Arial" w:hAnsi="Arial" w:eastAsia="Arial"/>
                <w:color w:val="1F2937"/>
                <w:sz w:val="16"/>
              </w:rPr>
              <w:t>Complete the separate Workbook 7 candidate question form before opening its answer-and-rationale document. After remediation, continue to Workbook 8: Counseling Theories, Therapeutic Alliance, and Core Counseling Skills.</w:t>
            </w:r>
          </w:p>
        </w:tc>
      </w:tr>
    </w:tbl>
    <w:p>
      <w:pPr>
        <w:widowControl/>
        <w:spacing w:after="0"/>
      </w:pPr>
    </w:p>
    <w:p>
      <w:pPr>
        <w:pStyle w:val="Heading2"/>
        <w:keepNext/>
        <w:widowControl/>
        <w:spacing w:before="0" w:after="80"/>
      </w:pPr>
      <w:r>
        <w:rPr>
          <w:rFonts w:ascii="Arial" w:hAnsi="Arial" w:eastAsia="Arial"/>
        </w:rPr>
        <w:t>Official Sources and Currency Note</w:t>
      </w:r>
    </w:p>
    <w:p>
      <w:pPr>
        <w:widowControl/>
        <w:spacing w:before="0" w:after="60"/>
      </w:pPr>
      <w:r>
        <w:rPr>
          <w:rFonts w:ascii="Arial" w:hAnsi="Arial" w:eastAsia="Arial"/>
          <w:color w:val="4B5563"/>
          <w:sz w:val="16"/>
        </w:rPr>
        <w:t>Verified July 26, 2026. These sources support the examination blueprint, California LPCC scope, collaborative treatment planning, measurable objectives, measurement-based care, and progress review. CTA materials paraphrase and synthesize these sources and do not reproduce secure examination content.</w:t>
      </w:r>
    </w:p>
    <w:p>
      <w:pPr>
        <w:widowControl/>
        <w:spacing w:after="30"/>
      </w:pPr>
      <w:hyperlink r:id="rId38">
        <w:r>
          <w:rPr>
            <w:color w:val="159C9C"/>
            <w:u w:val="single"/>
            <w:rFonts w:ascii="Arial" w:hAnsi="Arial"/>
            <w:sz w:val="15"/>
          </w:rPr>
          <w:t>NBCC - NCMHCE</w:t>
        </w:r>
      </w:hyperlink>
      <w:r>
        <w:rPr>
          <w:rFonts w:ascii="Arial" w:hAnsi="Arial" w:eastAsia="Arial"/>
          <w:color w:val="1F2937"/>
          <w:sz w:val="15"/>
        </w:rPr>
        <w:t xml:space="preserve"> - Current examination information and official links to the current outline, candidate handbook, and 2027 specifications.</w:t>
      </w:r>
    </w:p>
    <w:p>
      <w:pPr>
        <w:widowControl/>
        <w:spacing w:after="30"/>
      </w:pPr>
      <w:hyperlink r:id="rId13">
        <w:r>
          <w:rPr>
            <w:color w:val="159C9C"/>
            <w:u w:val="single"/>
            <w:rFonts w:ascii="Arial" w:hAnsi="Arial"/>
            <w:sz w:val="15"/>
          </w:rPr>
          <w:t>NBCC - Current NCMHCE Content Outline</w:t>
        </w:r>
      </w:hyperlink>
      <w:r>
        <w:rPr>
          <w:rFonts w:ascii="Arial" w:hAnsi="Arial" w:eastAsia="Arial"/>
          <w:color w:val="1F2937"/>
          <w:sz w:val="15"/>
        </w:rPr>
        <w:t xml:space="preserve"> - Current domain and task alignment, including treatment planning.</w:t>
      </w:r>
    </w:p>
    <w:p>
      <w:pPr>
        <w:widowControl/>
        <w:spacing w:after="30"/>
      </w:pPr>
      <w:hyperlink r:id="rId14">
        <w:r>
          <w:rPr>
            <w:color w:val="159C9C"/>
            <w:u w:val="single"/>
            <w:rFonts w:ascii="Arial" w:hAnsi="Arial"/>
            <w:sz w:val="15"/>
          </w:rPr>
          <w:t>NBCC - NCMHCE 2027 Exam Specifications</w:t>
        </w:r>
      </w:hyperlink>
      <w:r>
        <w:rPr>
          <w:rFonts w:ascii="Arial" w:hAnsi="Arial" w:eastAsia="Arial"/>
          <w:color w:val="1F2937"/>
          <w:sz w:val="15"/>
        </w:rPr>
        <w:t xml:space="preserve"> - Specifications effective July 1, 2027, including Treatment Planning and Continuity of Care.</w:t>
      </w:r>
    </w:p>
    <w:p>
      <w:pPr>
        <w:widowControl/>
        <w:spacing w:after="30"/>
      </w:pPr>
      <w:hyperlink r:id="rId28">
        <w:r>
          <w:rPr>
            <w:color w:val="159C9C"/>
            <w:u w:val="single"/>
            <w:rFonts w:ascii="Arial" w:hAnsi="Arial"/>
            <w:sz w:val="15"/>
          </w:rPr>
          <w:t>California Business and Professions Code § 4999.20</w:t>
        </w:r>
      </w:hyperlink>
      <w:r>
        <w:rPr>
          <w:rFonts w:ascii="Arial" w:hAnsi="Arial" w:eastAsia="Arial"/>
          <w:color w:val="1F2937"/>
          <w:sz w:val="15"/>
        </w:rPr>
        <w:t xml:space="preserve"> - LPCC scope, assessment for counseling goals and objectives, assessment limits, and competence-based referral.</w:t>
      </w:r>
    </w:p>
    <w:p>
      <w:pPr>
        <w:widowControl/>
        <w:spacing w:after="30"/>
      </w:pPr>
      <w:hyperlink r:id="rId39">
        <w:r>
          <w:rPr>
            <w:color w:val="159C9C"/>
            <w:u w:val="single"/>
            <w:rFonts w:ascii="Arial" w:hAnsi="Arial"/>
            <w:sz w:val="15"/>
          </w:rPr>
          <w:t>California Business and Professions Code § 4999.32</w:t>
        </w:r>
      </w:hyperlink>
      <w:r>
        <w:rPr>
          <w:rFonts w:ascii="Arial" w:hAnsi="Arial" w:eastAsia="Arial"/>
          <w:color w:val="1F2937"/>
          <w:sz w:val="15"/>
        </w:rPr>
        <w:t xml:space="preserve"> - California LPCC education and practicum content including assessment, diagnosis, prognosis, treatment planning, and treatment.</w:t>
      </w:r>
    </w:p>
    <w:p>
      <w:pPr>
        <w:widowControl/>
        <w:spacing w:after="30"/>
      </w:pPr>
      <w:hyperlink r:id="rId40">
        <w:r>
          <w:rPr>
            <w:color w:val="159C9C"/>
            <w:u w:val="single"/>
            <w:rFonts w:ascii="Arial" w:hAnsi="Arial"/>
            <w:sz w:val="15"/>
          </w:rPr>
          <w:t>California Business and Professions Code § 4999.33</w:t>
        </w:r>
      </w:hyperlink>
      <w:r>
        <w:rPr>
          <w:rFonts w:ascii="Arial" w:hAnsi="Arial" w:eastAsia="Arial"/>
          <w:color w:val="1F2937"/>
          <w:sz w:val="15"/>
        </w:rPr>
        <w:t xml:space="preserve"> - Advanced counseling training, treatment planning, documentation, and resource use.</w:t>
      </w:r>
    </w:p>
    <w:p>
      <w:pPr>
        <w:widowControl/>
        <w:spacing w:after="30"/>
      </w:pPr>
      <w:hyperlink r:id="rId41">
        <w:r>
          <w:rPr>
            <w:color w:val="159C9C"/>
            <w:u w:val="single"/>
            <w:rFonts w:ascii="Arial" w:hAnsi="Arial"/>
            <w:sz w:val="15"/>
          </w:rPr>
          <w:t>SAMHSA - What to Expect From Treatment</w:t>
        </w:r>
      </w:hyperlink>
      <w:r>
        <w:rPr>
          <w:rFonts w:ascii="Arial" w:hAnsi="Arial" w:eastAsia="Arial"/>
          <w:color w:val="1F2937"/>
          <w:sz w:val="15"/>
        </w:rPr>
        <w:t xml:space="preserve"> - Collaborative treatment planning and written goals and next steps.</w:t>
      </w:r>
    </w:p>
    <w:p>
      <w:pPr>
        <w:widowControl/>
        <w:spacing w:after="30"/>
      </w:pPr>
      <w:hyperlink r:id="rId42">
        <w:r>
          <w:rPr>
            <w:color w:val="159C9C"/>
            <w:u w:val="single"/>
            <w:rFonts w:ascii="Arial" w:hAnsi="Arial"/>
            <w:sz w:val="15"/>
          </w:rPr>
          <w:t>SAMHSA - Developing Goals and Measurable Objectives</w:t>
        </w:r>
      </w:hyperlink>
      <w:r>
        <w:rPr>
          <w:rFonts w:ascii="Arial" w:hAnsi="Arial" w:eastAsia="Arial"/>
          <w:color w:val="1F2937"/>
          <w:sz w:val="15"/>
        </w:rPr>
        <w:t xml:space="preserve"> - Distinction between goals and measurable objectives.</w:t>
      </w:r>
    </w:p>
    <w:p>
      <w:pPr>
        <w:widowControl/>
        <w:spacing w:after="30"/>
      </w:pPr>
      <w:hyperlink r:id="rId43">
        <w:r>
          <w:rPr>
            <w:color w:val="159C9C"/>
            <w:u w:val="single"/>
            <w:rFonts w:ascii="Arial" w:hAnsi="Arial"/>
            <w:sz w:val="15"/>
          </w:rPr>
          <w:t>VA - Measurement-Based Mental Health Care</w:t>
        </w:r>
      </w:hyperlink>
      <w:r>
        <w:rPr>
          <w:rFonts w:ascii="Arial" w:hAnsi="Arial" w:eastAsia="Arial"/>
          <w:color w:val="1F2937"/>
          <w:sz w:val="15"/>
        </w:rPr>
        <w:t xml:space="preserve"> - Routine client-reported information, shared decision-making, and individualized ongoing treatment planning.</w:t>
      </w:r>
    </w:p>
    <w:p>
      <w:pPr>
        <w:widowControl/>
        <w:spacing w:after="30"/>
      </w:pPr>
      <w:hyperlink r:id="rId44">
        <w:r>
          <w:rPr>
            <w:color w:val="159C9C"/>
            <w:u w:val="single"/>
            <w:rFonts w:ascii="Arial" w:hAnsi="Arial"/>
            <w:sz w:val="15"/>
          </w:rPr>
          <w:t>VA - Mental Health Care Approach</w:t>
        </w:r>
      </w:hyperlink>
      <w:r>
        <w:rPr>
          <w:rFonts w:ascii="Arial" w:hAnsi="Arial" w:eastAsia="Arial"/>
          <w:color w:val="1F2937"/>
          <w:sz w:val="15"/>
        </w:rPr>
        <w:t xml:space="preserve"> - Recovery goals, treatment planning, benchmarks, progress monitoring, and client participation in measurement-based care.</w:t>
      </w:r>
    </w:p>
    <w:tbl>
      <w:tblPr>
        <w:tblW w:type="auto" w:w="0"/>
        <w:jc w:val="center"/>
        <w:tblLayout w:type="autofit"/>
        <w:tblLook w:firstColumn="1" w:firstRow="1" w:lastColumn="0" w:lastRow="0" w:noHBand="0" w:noVBand="1" w:val="04A0"/>
      </w:tblPr>
      <w:tblGrid>
        <w:gridCol w:w="10282"/>
      </w:tblGrid>
      <w:tr>
        <w:trPr/>
        <w:tc>
          <w:tcPr>
            <w:tcW w:type="dxa" w:w="10282"/>
            <w:shd w:fill="EEF3F8"/>
            <w:tcBorders>
              <w:top w:sz="9" w:val="single" w:color="17365D"/>
              <w:left w:sz="9" w:val="single" w:color="17365D"/>
              <w:bottom w:sz="9" w:val="single" w:color="17365D"/>
              <w:right w:sz="9" w:val="single" w:color="17365D"/>
            </w:tcBorders>
            <w:tcMar>
              <w:top w:w="80" w:type="dxa"/>
              <w:start w:w="120" w:type="dxa"/>
              <w:bottom w:w="80" w:type="dxa"/>
              <w:end w:w="120" w:type="dxa"/>
            </w:tcMar>
          </w:tcPr>
          <w:p>
            <w:pPr>
              <w:widowControl/>
              <w:spacing w:after="40"/>
            </w:pPr>
            <w:r>
              <w:rPr>
                <w:rFonts w:ascii="Arial" w:hAnsi="Arial" w:eastAsia="Arial"/>
                <w:b/>
                <w:color w:val="17365D"/>
                <w:sz w:val="17"/>
              </w:rPr>
              <w:t>WORKBOOK 7 CONTENT CONTROL</w:t>
            </w:r>
          </w:p>
          <w:p>
            <w:pPr>
              <w:widowControl/>
              <w:spacing w:after="0"/>
            </w:pPr>
            <w:r>
              <w:rPr>
                <w:rFonts w:ascii="Arial" w:hAnsi="Arial" w:eastAsia="Arial"/>
                <w:color w:val="1F2937"/>
                <w:sz w:val="16"/>
              </w:rPr>
              <w:t>Primary map: WB7-C1 through WB7-C5. Practice bank: 17 questions with one three-part NCMHCE-style mini case. Multimedia allocation: V07 / A05 / QR07. Current primary domain: Treatment Planning. 2027 primary domain: Treatment Planning and Continuity of Care. Next cumulative gate: Checkpoint 2 after Workbook 8.</w:t>
            </w:r>
          </w:p>
        </w:tc>
      </w:tr>
    </w:tbl>
    <w:p>
      <w:pPr>
        <w:widowControl/>
        <w:spacing w:after="0"/>
      </w:pPr>
    </w:p>
    <w:sectPr w:rsidR="00FC693F" w:rsidRPr="0006063C" w:rsidSect="00034616">
      <w:headerReference w:type="default" r:id="rId9"/>
      <w:footerReference w:type="default" r:id="rId10"/>
      <w:pgSz w:w="12240" w:h="15840"/>
      <w:pgMar w:top="936" w:right="979" w:bottom="893" w:left="979"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4"/>
      </w:rPr>
      <w:t xml:space="preserve">Clinical Training Academy - LPCC Student Workbook v1.0  |  Page </w:t>
    </w:r>
    <w:r>
      <w:rPr>
        <w:rFonts w:ascii="Arial" w:hAnsi="Arial" w:eastAsia="Arial"/>
        <w:color w:val="4E5B6B"/>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center"/>
          </w:pPr>
          <w:r>
            <w:rPr>
              <w:rFonts w:ascii="Arial" w:hAnsi="Arial" w:eastAsia="Arial"/>
              <w:b/>
              <w:color w:val="17365D"/>
              <w:sz w:val="15"/>
            </w:rPr>
            <w:t>CTA LPCC Workbook 7 - Case Conceptualization and Treatment Planning</w:t>
          </w:r>
        </w:p>
      </w:tc>
    </w:tr>
  </w:tbl>
  <w:p>
    <w:pPr>
      <w:spacing w:after="0"/>
      <w:pBdr>
        <w:bottom w:val="single" w:sz="5" w:space="1" w:color="159C9C"/>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www.bbs.ca.gov/exams/lpcc.html" TargetMode="External"/><Relationship Id="rId13" Type="http://schemas.openxmlformats.org/officeDocument/2006/relationships/hyperlink" Target="https://www.nbcc.org/assets/exam/ncmhce_content_outline.pdf" TargetMode="External"/><Relationship Id="rId14" Type="http://schemas.openxmlformats.org/officeDocument/2006/relationships/hyperlink" Target="https://www.nbcc.org/assets/exam/NCMHCE_exam_spec_2027.pdf" TargetMode="External"/><Relationship Id="rId15" Type="http://schemas.openxmlformats.org/officeDocument/2006/relationships/hyperlink" Target="https://www.psychiatry.org/psychiatrists/practice/dsm/updates-to-dsm" TargetMode="External"/><Relationship Id="rId16" Type="http://schemas.openxmlformats.org/officeDocument/2006/relationships/hyperlink" Target="https://www.nimh.nih.gov/health/topics/depression" TargetMode="External"/><Relationship Id="rId17" Type="http://schemas.openxmlformats.org/officeDocument/2006/relationships/hyperlink" Target="https://www.nimh.nih.gov/health/topics/bipolar-disorder" TargetMode="External"/><Relationship Id="rId18" Type="http://schemas.openxmlformats.org/officeDocument/2006/relationships/hyperlink" Target="https://www.nimh.nih.gov/health/topics/anxiety-disorders" TargetMode="External"/><Relationship Id="rId19" Type="http://schemas.openxmlformats.org/officeDocument/2006/relationships/hyperlink" Target="https://www.nimh.nih.gov/health/topics/obsessive-compulsive-disorder-ocd" TargetMode="External"/><Relationship Id="rId20" Type="http://schemas.openxmlformats.org/officeDocument/2006/relationships/hyperlink" Target="https://www.nimh.nih.gov/health/topics/post-traumatic-stress-disorder-ptsd" TargetMode="External"/><Relationship Id="rId21" Type="http://schemas.openxmlformats.org/officeDocument/2006/relationships/hyperlink" Target="https://www.healthquality.va.gov/HEALTHQUALITY/guidelines/MH/ptsd/" TargetMode="External"/><Relationship Id="rId22" Type="http://schemas.openxmlformats.org/officeDocument/2006/relationships/hyperlink" Target="https://www.nimh.nih.gov/health/topics/schizophrenia" TargetMode="External"/><Relationship Id="rId23" Type="http://schemas.openxmlformats.org/officeDocument/2006/relationships/hyperlink" Target="https://www.healthquality.va.gov/HEALTHQUALITY/guidelines/MH/scz/index.asp" TargetMode="External"/><Relationship Id="rId24" Type="http://schemas.openxmlformats.org/officeDocument/2006/relationships/hyperlink" Target="https://www.samhsa.gov/substance-use/treatment/co-occurring-disorders" TargetMode="External"/><Relationship Id="rId25" Type="http://schemas.openxmlformats.org/officeDocument/2006/relationships/hyperlink" Target="https://www.psychiatry.org/psychiatrists/practice/dsm/about-dsm" TargetMode="External"/><Relationship Id="rId26" Type="http://schemas.openxmlformats.org/officeDocument/2006/relationships/hyperlink" Target="https://www.psychiatry.org/psychiatrists/practice/dsm/updates-to-dsm/updates-to-dsm-5-tr-criteria-text" TargetMode="External"/><Relationship Id="rId27" Type="http://schemas.openxmlformats.org/officeDocument/2006/relationships/hyperlink" Target="https://www.nbcc.org/exams/ncmhce/" TargetMode="External"/><Relationship Id="rId28" Type="http://schemas.openxmlformats.org/officeDocument/2006/relationships/hyperlink" Target="https://leginfo.legislature.ca.gov/faces/codes_displaySection.xhtml?lawCode=BPC&amp;sectionNum=4999.20." TargetMode="External"/><Relationship Id="rId29" Type="http://schemas.openxmlformats.org/officeDocument/2006/relationships/hyperlink" Target="https://www.samhsa.gov/mental-health/serious-mental-illness/co-occurring-disorders" TargetMode="External"/><Relationship Id="rId30" Type="http://schemas.openxmlformats.org/officeDocument/2006/relationships/hyperlink" Target="https://www.samhsa.gov/resource/ebp/advisory-substance-use-disorder-treatment-people-co-occurring-disorders-based-tip-42" TargetMode="External"/><Relationship Id="rId31" Type="http://schemas.openxmlformats.org/officeDocument/2006/relationships/hyperlink" Target="https://www.samhsa.gov/resource/ebp/nida-modified-assist-nm-assist-clinicians-screening-tool-drug-use-general-medical" TargetMode="External"/><Relationship Id="rId32" Type="http://schemas.openxmlformats.org/officeDocument/2006/relationships/hyperlink" Target="https://rethinkingdrinking.niaaa.nih.gov/how-much-too-much/what-are-symptoms-alcohol-use-disorder-aud" TargetMode="External"/><Relationship Id="rId33" Type="http://schemas.openxmlformats.org/officeDocument/2006/relationships/hyperlink" Target="https://www.nimh.nih.gov/health/publications/attention-deficit-hyperactivity-disorder-what-you-need-to-know" TargetMode="External"/><Relationship Id="rId34" Type="http://schemas.openxmlformats.org/officeDocument/2006/relationships/hyperlink" Target="https://www.nimh.nih.gov/health/publications/autism-spectrum-disorder" TargetMode="External"/><Relationship Id="rId35" Type="http://schemas.openxmlformats.org/officeDocument/2006/relationships/hyperlink" Target="https://www.nimh.nih.gov/health/publications/eating-disorders" TargetMode="External"/><Relationship Id="rId36" Type="http://schemas.openxmlformats.org/officeDocument/2006/relationships/hyperlink" Target="https://www.nhlbi.nih.gov/health/sleep-deprivation/diagnosis-treatment" TargetMode="External"/><Relationship Id="rId37" Type="http://schemas.openxmlformats.org/officeDocument/2006/relationships/hyperlink" Target="https://library.samhsa.gov/product/advisory-evidence-based-care-clients-co-occurring-substance-use-disorders-eating-disorders/pep25-02-010" TargetMode="External"/><Relationship Id="rId38" Type="http://schemas.openxmlformats.org/officeDocument/2006/relationships/hyperlink" Target="https://www.nbcc.org/examinations/ncmhce" TargetMode="External"/><Relationship Id="rId39" Type="http://schemas.openxmlformats.org/officeDocument/2006/relationships/hyperlink" Target="https://leginfo.legislature.ca.gov/faces/codes_displaySection.xhtml?lawCode=BPC&amp;sectionNum=4999.32." TargetMode="External"/><Relationship Id="rId40" Type="http://schemas.openxmlformats.org/officeDocument/2006/relationships/hyperlink" Target="https://leginfo.legislature.ca.gov/faces/codes_displaySection.xhtml?lawCode=BPC&amp;sectionNum=4999.33." TargetMode="External"/><Relationship Id="rId41" Type="http://schemas.openxmlformats.org/officeDocument/2006/relationships/hyperlink" Target="https://www.samhsa.gov/find-support/learn-about-treatment/what-to-expect-from-treatment" TargetMode="External"/><Relationship Id="rId42" Type="http://schemas.openxmlformats.org/officeDocument/2006/relationships/hyperlink" Target="https://www.samhsa.gov/grants/how-to-apply/forms-and-resources/developing-goals-measurable-objectives" TargetMode="External"/><Relationship Id="rId43" Type="http://schemas.openxmlformats.org/officeDocument/2006/relationships/hyperlink" Target="https://www.research.va.gov/research_in_action/Measurement-Based-Mental-Health-Care.cfm" TargetMode="External"/><Relationship Id="rId44" Type="http://schemas.openxmlformats.org/officeDocument/2006/relationships/hyperlink" Target="https://www.mentalhealth.va.gov/about/index.as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7: Case Conceptualization, Treatment Planning, Measurement, Progress, and Termination</dc:title>
  <dc:subject>Collaborative formulation, goals, treatment planning, measurement-based care, progress review, relapse prevention, and termination</dc:subject>
  <dc:creator>Clinical Training and Supervision Academy</dc:creator>
  <cp:keywords>LPCC, NCMHCE, case conceptualization, treatment planning, goals, measurement-based care, progress, termination, discharge</cp:keywords>
  <dc:description>Student-facing examination-preparation workbook. Version 1.0, July 2026.</dc:description>
  <cp:lastModifiedBy/>
  <cp:revision>1</cp:revision>
  <dcterms:created xsi:type="dcterms:W3CDTF">2013-12-23T23:15:00Z</dcterms:created>
  <dcterms:modified xsi:type="dcterms:W3CDTF">2013-12-23T23:15:00Z</dcterms:modified>
  <cp:category/>
</cp:coreProperties>
</file>