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52" w:lineRule="auto"/>
        <w:jc w:val="center"/>
      </w:pPr>
      <w:r>
        <w:rPr>
          <w:rFonts w:ascii="Arial" w:hAnsi="Arial" w:eastAsia="Arial"/>
        </w:rPr>
        <w:drawing>
          <wp:inline xmlns:a="http://schemas.openxmlformats.org/drawingml/2006/main" xmlns:pic="http://schemas.openxmlformats.org/drawingml/2006/picture">
            <wp:extent cx="1234440" cy="892311"/>
            <wp:docPr id="1" name="Picture 1" descr="Clinical Training Academy stacked logo" title="Clinical Training Academy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34440" cy="892311"/>
                    </a:xfrm>
                    <a:prstGeom prst="rect"/>
                  </pic:spPr>
                </pic:pic>
              </a:graphicData>
            </a:graphic>
          </wp:inline>
        </w:drawing>
      </w:r>
    </w:p>
    <w:p>
      <w:pPr>
        <w:spacing w:before="0" w:after="40" w:line="252" w:lineRule="auto"/>
        <w:jc w:val="center"/>
      </w:pPr>
      <w:r>
        <w:rPr>
          <w:rFonts w:ascii="Arial" w:hAnsi="Arial" w:eastAsia="Arial"/>
          <w:b/>
          <w:i w:val="0"/>
          <w:color w:val="159C9C"/>
          <w:sz w:val="21"/>
        </w:rPr>
        <w:t>LPCC NCMHCE EXAM PREPARATION PROGRAM</w:t>
      </w:r>
    </w:p>
    <w:p>
      <w:pPr>
        <w:spacing w:before="0" w:after="140" w:line="252" w:lineRule="auto"/>
        <w:jc w:val="center"/>
      </w:pPr>
      <w:r>
        <w:rPr>
          <w:rFonts w:ascii="Arial" w:hAnsi="Arial" w:eastAsia="Arial"/>
          <w:b/>
          <w:i w:val="0"/>
          <w:color w:val="17365D"/>
          <w:sz w:val="24"/>
        </w:rPr>
        <w:t>Student Workbook</w:t>
      </w:r>
    </w:p>
    <w:p>
      <w:pPr>
        <w:spacing w:before="0" w:after="40" w:line="252" w:lineRule="auto"/>
        <w:jc w:val="center"/>
      </w:pPr>
      <w:r>
        <w:rPr>
          <w:rFonts w:ascii="Arial" w:hAnsi="Arial" w:eastAsia="Arial"/>
          <w:b/>
          <w:i w:val="0"/>
          <w:color w:val="17365D"/>
          <w:sz w:val="40"/>
        </w:rPr>
        <w:t>CTA LPCC Workbook 9</w:t>
      </w:r>
    </w:p>
    <w:p>
      <w:pPr>
        <w:spacing w:before="0" w:after="80" w:line="252" w:lineRule="auto"/>
        <w:jc w:val="center"/>
      </w:pPr>
      <w:r>
        <w:rPr>
          <w:rFonts w:ascii="Arial" w:hAnsi="Arial" w:eastAsia="Arial"/>
          <w:b/>
          <w:i w:val="0"/>
          <w:color w:val="159C9C"/>
          <w:sz w:val="33"/>
        </w:rPr>
        <w:t>Evidence-Based and Evidence-Informed Interventions Across Common Presenting Concerns</w:t>
      </w:r>
    </w:p>
    <w:p>
      <w:pPr>
        <w:spacing w:before="0" w:after="160" w:line="252" w:lineRule="auto"/>
        <w:jc w:val="center"/>
      </w:pPr>
      <w:r>
        <w:rPr>
          <w:rFonts w:ascii="Arial" w:hAnsi="Arial" w:eastAsia="Arial"/>
          <w:b w:val="0"/>
          <w:i/>
          <w:color w:val="1F2937"/>
          <w:sz w:val="20"/>
        </w:rPr>
        <w:t>How to select, sequence, adapt, and evaluate interventions without outrunning safety, readiness, competence, culture, access, or client preference</w:t>
      </w:r>
    </w:p>
    <w:p>
      <w:pPr>
        <w:spacing w:before="0" w:after="160" w:line="252" w:lineRule="auto"/>
        <w:jc w:val="center"/>
      </w:pPr>
      <w:r>
        <w:rPr>
          <w:rFonts w:ascii="Arial" w:hAnsi="Arial" w:eastAsia="Arial"/>
          <w:b/>
          <w:i w:val="0"/>
          <w:color w:val="17365D"/>
          <w:sz w:val="19"/>
        </w:rPr>
        <w:t>Version 1.0 - July 2026</w:t>
      </w:r>
    </w:p>
    <w:tbl>
      <w:tblPr>
        <w:tblW w:type="auto" w:w="0"/>
        <w:jc w:val="center"/>
        <w:tblLayout w:type="fixed"/>
        <w:tblLook w:firstColumn="1" w:firstRow="1" w:lastColumn="0" w:lastRow="0" w:noHBand="0" w:noVBand="1" w:val="04A0"/>
      </w:tblPr>
      <w:tblGrid>
        <w:gridCol w:w="10080"/>
      </w:tblGrid>
      <w:tr>
        <w:tc>
          <w:tcPr>
            <w:tcW w:type="dxa" w:w="10282"/>
            <w:shd w:fill="EAF1F8"/>
            <w:tcMar>
              <w:top w:w="85" w:type="dxa"/>
              <w:start w:w="105" w:type="dxa"/>
              <w:bottom w:w="85" w:type="dxa"/>
              <w:end w:w="105" w:type="dxa"/>
            </w:tcMar>
            <w:tcBorders>
              <w:top w:val="single" w:sz="8" w:color="17365D"/>
              <w:left w:val="single" w:sz="8" w:color="17365D"/>
              <w:bottom w:val="single" w:sz="8" w:color="17365D"/>
              <w:right w:val="single" w:sz="8" w:color="17365D"/>
            </w:tcBorders>
          </w:tcPr>
          <w:p>
            <w:pPr>
              <w:spacing w:after="40"/>
            </w:pPr>
            <w:r>
              <w:rPr>
                <w:rFonts w:ascii="Arial" w:hAnsi="Arial" w:eastAsia="Arial"/>
                <w:b/>
                <w:color w:val="17365D"/>
                <w:sz w:val="18"/>
              </w:rPr>
              <w:t>CURRENT NCMHCE ALIGNMENT</w:t>
            </w:r>
          </w:p>
          <w:p>
            <w:pPr>
              <w:spacing w:after="0" w:line="245" w:lineRule="auto"/>
            </w:pPr>
            <w:r>
              <w:rPr>
                <w:rFonts w:ascii="Arial" w:hAnsi="Arial" w:eastAsia="Arial"/>
                <w:color w:val="1F2937"/>
                <w:sz w:val="18"/>
              </w:rPr>
              <w:t>Primary: Counseling Skills and Interventions. Areas of Clinical Focus are embedded throughout. Secondary: Treatment Planning and Intake, Assessment, and Diagnosis.</w:t>
            </w:r>
          </w:p>
        </w:tc>
      </w:tr>
    </w:tbl>
    <w:p>
      <w:pPr>
        <w:spacing w:after="0"/>
      </w:pPr>
    </w:p>
    <w:tbl>
      <w:tblPr>
        <w:tblW w:type="auto" w:w="0"/>
        <w:jc w:val="center"/>
        <w:tblLayout w:type="fixed"/>
        <w:tblLook w:firstColumn="1" w:firstRow="1" w:lastColumn="0" w:lastRow="0" w:noHBand="0" w:noVBand="1" w:val="04A0"/>
      </w:tblPr>
      <w:tblGrid>
        <w:gridCol w:w="10080"/>
      </w:tblGrid>
      <w:tr>
        <w:tc>
          <w:tcPr>
            <w:tcW w:type="dxa" w:w="10282"/>
            <w:shd w:fill="E8F5F5"/>
            <w:tcMar>
              <w:top w:w="85" w:type="dxa"/>
              <w:start w:w="105" w:type="dxa"/>
              <w:bottom w:w="85" w:type="dxa"/>
              <w:end w:w="105" w:type="dxa"/>
            </w:tcMar>
            <w:tcBorders>
              <w:top w:val="single" w:sz="8" w:color="159C9C"/>
              <w:left w:val="single" w:sz="8" w:color="159C9C"/>
              <w:bottom w:val="single" w:sz="8" w:color="159C9C"/>
              <w:right w:val="single" w:sz="8" w:color="159C9C"/>
            </w:tcBorders>
          </w:tcPr>
          <w:p>
            <w:pPr>
              <w:spacing w:after="40"/>
            </w:pPr>
            <w:r>
              <w:rPr>
                <w:rFonts w:ascii="Arial" w:hAnsi="Arial" w:eastAsia="Arial"/>
                <w:b/>
                <w:color w:val="159C9C"/>
                <w:sz w:val="18"/>
              </w:rPr>
              <w:t>JULY 2027 BRIDGE</w:t>
            </w:r>
          </w:p>
          <w:p>
            <w:pPr>
              <w:spacing w:after="0" w:line="245" w:lineRule="auto"/>
            </w:pPr>
            <w:r>
              <w:rPr>
                <w:rFonts w:ascii="Arial" w:hAnsi="Arial" w:eastAsia="Arial"/>
                <w:color w:val="1F2937"/>
                <w:sz w:val="18"/>
              </w:rPr>
              <w:t>Primary: Provision of Interventions. Secondary: Treatment Planning and Continuity of Care and Professional Development through evidence-supported practice.</w:t>
            </w:r>
          </w:p>
        </w:tc>
      </w:tr>
    </w:tbl>
    <w:p>
      <w:pPr>
        <w:spacing w:after="0"/>
      </w:pPr>
    </w:p>
    <w:tbl>
      <w:tblPr>
        <w:tblW w:type="auto" w:w="0"/>
        <w:jc w:val="center"/>
        <w:tblLayout w:type="fixed"/>
        <w:tblLook w:firstColumn="1" w:firstRow="1" w:lastColumn="0" w:lastRow="0" w:noHBand="0" w:noVBand="1" w:val="04A0"/>
      </w:tblPr>
      <w:tblGrid>
        <w:gridCol w:w="10080"/>
      </w:tblGrid>
      <w:tr>
        <w:tc>
          <w:tcPr>
            <w:tcW w:type="dxa" w:w="10282"/>
            <w:shd w:fill="FFF7D6"/>
            <w:tcMar>
              <w:top w:w="85" w:type="dxa"/>
              <w:start w:w="105" w:type="dxa"/>
              <w:bottom w:w="85" w:type="dxa"/>
              <w:end w:w="105" w:type="dxa"/>
            </w:tcMar>
            <w:tcBorders>
              <w:top w:val="single" w:sz="8" w:color="D6B656"/>
              <w:left w:val="single" w:sz="8" w:color="D6B656"/>
              <w:bottom w:val="single" w:sz="8" w:color="D6B656"/>
              <w:right w:val="single" w:sz="8" w:color="D6B656"/>
            </w:tcBorders>
          </w:tcPr>
          <w:p>
            <w:pPr>
              <w:spacing w:after="40"/>
            </w:pPr>
            <w:r>
              <w:rPr>
                <w:rFonts w:ascii="Arial" w:hAnsi="Arial" w:eastAsia="Arial"/>
                <w:b/>
                <w:color w:val="17365D"/>
                <w:sz w:val="18"/>
              </w:rPr>
              <w:t>SCOPE AND COMPETENCE CONTROL</w:t>
            </w:r>
          </w:p>
          <w:p>
            <w:pPr>
              <w:spacing w:after="0" w:line="245" w:lineRule="auto"/>
            </w:pPr>
            <w:r>
              <w:rPr>
                <w:rFonts w:ascii="Arial" w:hAnsi="Arial" w:eastAsia="Arial"/>
                <w:color w:val="1F2937"/>
                <w:sz w:val="18"/>
              </w:rPr>
              <w:t>This workbook teaches examination reasoning and intervention selection. It does not substitute for supervised training, certification, consultation, or referral when a method requires specialized competence.</w:t>
            </w:r>
          </w:p>
        </w:tc>
      </w:tr>
    </w:tbl>
    <w:p>
      <w:pPr>
        <w:spacing w:after="0"/>
      </w:pPr>
    </w:p>
    <w:tbl>
      <w:tblPr>
        <w:tblW w:type="auto" w:w="0"/>
        <w:jc w:val="center"/>
        <w:tblLayout w:type="fixed"/>
        <w:tblLook w:firstColumn="1" w:firstRow="1" w:lastColumn="0" w:lastRow="0" w:noHBand="0" w:noVBand="1" w:val="04A0"/>
      </w:tblPr>
      <w:tblGrid>
        <w:gridCol w:w="10080"/>
      </w:tblGrid>
      <w:tr>
        <w:tc>
          <w:tcPr>
            <w:tcW w:type="dxa" w:w="10282"/>
            <w:shd w:fill="FCE8E6"/>
            <w:tcMar>
              <w:top w:w="85" w:type="dxa"/>
              <w:start w:w="105" w:type="dxa"/>
              <w:bottom w:w="85" w:type="dxa"/>
              <w:end w:w="105" w:type="dxa"/>
            </w:tcMar>
            <w:tcBorders>
              <w:top w:val="single" w:sz="8" w:color="C95F54"/>
              <w:left w:val="single" w:sz="8" w:color="C95F54"/>
              <w:bottom w:val="single" w:sz="8" w:color="C95F54"/>
              <w:right w:val="single" w:sz="8" w:color="C95F54"/>
            </w:tcBorders>
          </w:tcPr>
          <w:p>
            <w:pPr>
              <w:spacing w:after="40"/>
            </w:pPr>
            <w:r>
              <w:rPr>
                <w:rFonts w:ascii="Arial" w:hAnsi="Arial" w:eastAsia="Arial"/>
                <w:b/>
                <w:color w:val="A1372E"/>
                <w:sz w:val="18"/>
              </w:rPr>
              <w:t>NO GUARANTEE / EDUCATIONAL USE</w:t>
            </w:r>
          </w:p>
          <w:p>
            <w:pPr>
              <w:spacing w:after="0" w:line="245" w:lineRule="auto"/>
            </w:pPr>
            <w:r>
              <w:rPr>
                <w:rFonts w:ascii="Arial" w:hAnsi="Arial" w:eastAsia="Arial"/>
                <w:color w:val="1F2937"/>
                <w:sz w:val="18"/>
              </w:rPr>
              <w:t>CTA materials support preparation and professional learning but do not guarantee examination passage or authorize practice beyond California LPCC scope, competence, or applicable law.</w:t>
            </w:r>
          </w:p>
        </w:tc>
      </w:tr>
    </w:tbl>
    <w:p>
      <w:pPr>
        <w:spacing w:after="0"/>
      </w:pPr>
    </w:p>
    <w:p>
      <w:r>
        <w:rPr>
          <w:rFonts w:ascii="Arial" w:hAnsi="Arial" w:eastAsia="Arial"/>
        </w:rPr>
        <w:br w:type="page"/>
      </w:r>
    </w:p>
    <w:p>
      <w:pPr>
        <w:pStyle w:val="Heading1"/>
        <w:keepNext/>
      </w:pPr>
      <w:r>
        <w:rPr>
          <w:rFonts w:ascii="Arial" w:hAnsi="Arial" w:eastAsia="Arial"/>
        </w:rPr>
        <w:t>How to Use This Workbook</w:t>
      </w:r>
    </w:p>
    <w:p>
      <w:pPr>
        <w:spacing w:before="0" w:after="80" w:line="252" w:lineRule="auto"/>
      </w:pPr>
      <w:r>
        <w:rPr>
          <w:rFonts w:ascii="Arial" w:hAnsi="Arial" w:eastAsia="Arial"/>
          <w:b w:val="0"/>
          <w:i w:val="0"/>
          <w:sz w:val="19"/>
        </w:rPr>
        <w:t>Workbook 9 converts intervention names into a disciplined selection process. You will practice linking a current clinical target to a plausible mechanism of change, choosing an evidence-supported option that fits readiness and context, delivering the intervention with enough structure to evaluate it, and revising or referring when the response is limited. The objective is not to memorize a treatment list. The objective is to decide what fits now and why.</w:t>
      </w:r>
    </w:p>
    <w:p>
      <w:pPr>
        <w:pStyle w:val="Heading2"/>
        <w:keepNext/>
      </w:pPr>
      <w:r>
        <w:rPr>
          <w:rFonts w:ascii="Arial" w:hAnsi="Arial" w:eastAsia="Arial"/>
        </w:rPr>
        <w:t>Learning Objectives</w:t>
      </w:r>
    </w:p>
    <w:p>
      <w:pPr>
        <w:pStyle w:val="ListBullet"/>
        <w:spacing w:after="30" w:line="245" w:lineRule="auto"/>
        <w:ind w:left="288" w:hanging="173"/>
      </w:pPr>
      <w:r>
        <w:rPr>
          <w:rFonts w:ascii="Arial" w:hAnsi="Arial" w:eastAsia="Arial"/>
          <w:sz w:val="19"/>
        </w:rPr>
        <w:t>Distinguish evidence-based psychological practice, evidence-supported interventions, evidence-informed care, and unsupported technique selection.</w:t>
      </w:r>
    </w:p>
    <w:p>
      <w:pPr>
        <w:pStyle w:val="ListBullet"/>
        <w:spacing w:after="30" w:line="245" w:lineRule="auto"/>
        <w:ind w:left="288" w:hanging="173"/>
      </w:pPr>
      <w:r>
        <w:rPr>
          <w:rFonts w:ascii="Arial" w:hAnsi="Arial" w:eastAsia="Arial"/>
          <w:sz w:val="19"/>
        </w:rPr>
        <w:t>Select and sequence interventions for mood, anxiety, OCD, sleep, trauma, grief, emotion-regulation, and substance-use concerns using formulation, readiness, client preference, culture, access, and counselor competence.</w:t>
      </w:r>
    </w:p>
    <w:p>
      <w:pPr>
        <w:pStyle w:val="ListBullet"/>
        <w:spacing w:after="30" w:line="245" w:lineRule="auto"/>
        <w:ind w:left="288" w:hanging="173"/>
      </w:pPr>
      <w:r>
        <w:rPr>
          <w:rFonts w:ascii="Arial" w:hAnsi="Arial" w:eastAsia="Arial"/>
          <w:sz w:val="19"/>
        </w:rPr>
        <w:t>Explain the mechanisms and common exam uses of CBT, behavioral activation, exposure and ERP, ACT, DBT skills, mindfulness-based methods, trauma-focused approaches, motivational interviewing, contingency management, relapse prevention, psychoeducation, and homework.</w:t>
      </w:r>
    </w:p>
    <w:p>
      <w:pPr>
        <w:pStyle w:val="ListBullet"/>
        <w:spacing w:after="30" w:line="245" w:lineRule="auto"/>
        <w:ind w:left="288" w:hanging="173"/>
      </w:pPr>
      <w:r>
        <w:rPr>
          <w:rFonts w:ascii="Arial" w:hAnsi="Arial" w:eastAsia="Arial"/>
          <w:sz w:val="19"/>
        </w:rPr>
        <w:t>Recognize contraindications, premature intensity, treatment-interfering barriers, inadequate dosage or fidelity, and circumstances requiring consultation, coordinated care, higher level of care, or specialty referral.</w:t>
      </w:r>
    </w:p>
    <w:p>
      <w:pPr>
        <w:pStyle w:val="ListBullet"/>
        <w:spacing w:after="30" w:line="245" w:lineRule="auto"/>
        <w:ind w:left="288" w:hanging="173"/>
      </w:pPr>
      <w:r>
        <w:rPr>
          <w:rFonts w:ascii="Arial" w:hAnsi="Arial" w:eastAsia="Arial"/>
          <w:sz w:val="19"/>
        </w:rPr>
        <w:t>Use repeated symptom, functional, behavioral, and client-reported data to maintain, adapt, intensify, step down, replace, or transition an intervention.</w:t>
      </w:r>
    </w:p>
    <w:p>
      <w:pPr>
        <w:pStyle w:val="Heading2"/>
        <w:keepNext/>
      </w:pPr>
      <w:r>
        <w:rPr>
          <w:rFonts w:ascii="Arial" w:hAnsi="Arial" w:eastAsia="Arial"/>
        </w:rPr>
        <w:t>Why This Topic Matters</w:t>
      </w:r>
    </w:p>
    <w:p>
      <w:pPr>
        <w:spacing w:before="0" w:after="80" w:line="252" w:lineRule="auto"/>
      </w:pPr>
      <w:r>
        <w:rPr>
          <w:rFonts w:ascii="Arial" w:hAnsi="Arial" w:eastAsia="Arial"/>
          <w:b w:val="0"/>
          <w:i w:val="0"/>
          <w:sz w:val="19"/>
        </w:rPr>
        <w:t>NCMHCE items often present several interventions that are all legitimate in some circumstance. The strongest answer is usually the one that matches the current target, mechanism, phase of care, and available evidence while respecting the client’s goals, readiness, culture, access, and safety. Distractors commonly involve choosing a technique too early, using a general coping skill instead of treating the maintaining mechanism, continuing a nonresponsive plan without review, or performing a specialized intervention beyond competence.</w:t>
      </w:r>
    </w:p>
    <w:p>
      <w:pPr>
        <w:pStyle w:val="Heading2"/>
        <w:keepNext/>
      </w:pPr>
      <w:r>
        <w:rPr>
          <w:rFonts w:ascii="Arial" w:hAnsi="Arial" w:eastAsia="Arial"/>
        </w:rPr>
        <w:t>Workbook Roadmap</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936"/>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Chapter</w:t>
            </w:r>
          </w:p>
        </w:tc>
        <w:tc>
          <w:tcPr>
            <w:tcW w:type="dxa" w:w="6912"/>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Focus</w:t>
            </w:r>
          </w:p>
        </w:tc>
        <w:tc>
          <w:tcPr>
            <w:tcW w:type="dxa" w:w="2232"/>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Primary Tool</w:t>
            </w:r>
          </w:p>
        </w:tc>
      </w:tr>
      <w:tr>
        <w:trPr>
          <w:cantSplit/>
        </w:trPr>
        <w:tc>
          <w:tcPr>
            <w:tcW w:type="dxa" w:w="93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1</w:t>
            </w:r>
          </w:p>
        </w:tc>
        <w:tc>
          <w:tcPr>
            <w:tcW w:type="dxa" w:w="691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Evidence, mechanism, readiness, and intervention fit</w:t>
            </w:r>
          </w:p>
        </w:tc>
        <w:tc>
          <w:tcPr>
            <w:tcW w:type="dxa" w:w="223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EVIDENCE</w:t>
            </w:r>
          </w:p>
        </w:tc>
      </w:tr>
      <w:tr>
        <w:trPr>
          <w:cantSplit/>
        </w:trPr>
        <w:tc>
          <w:tcPr>
            <w:tcW w:type="dxa" w:w="93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2</w:t>
            </w:r>
          </w:p>
        </w:tc>
        <w:tc>
          <w:tcPr>
            <w:tcW w:type="dxa" w:w="6912"/>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Mood, anxiety, OCD, and sleep interventions</w:t>
            </w:r>
          </w:p>
        </w:tc>
        <w:tc>
          <w:tcPr>
            <w:tcW w:type="dxa" w:w="2232"/>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DOSE</w:t>
            </w:r>
          </w:p>
        </w:tc>
      </w:tr>
      <w:tr>
        <w:trPr>
          <w:cantSplit/>
        </w:trPr>
        <w:tc>
          <w:tcPr>
            <w:tcW w:type="dxa" w:w="93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3</w:t>
            </w:r>
          </w:p>
        </w:tc>
        <w:tc>
          <w:tcPr>
            <w:tcW w:type="dxa" w:w="691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Trauma, grief, and emotion-regulation interventions</w:t>
            </w:r>
          </w:p>
        </w:tc>
        <w:tc>
          <w:tcPr>
            <w:tcW w:type="dxa" w:w="223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PHASE</w:t>
            </w:r>
          </w:p>
        </w:tc>
      </w:tr>
      <w:tr>
        <w:trPr>
          <w:cantSplit/>
        </w:trPr>
        <w:tc>
          <w:tcPr>
            <w:tcW w:type="dxa" w:w="93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4</w:t>
            </w:r>
          </w:p>
        </w:tc>
        <w:tc>
          <w:tcPr>
            <w:tcW w:type="dxa" w:w="6912"/>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Substance use, motivation, and relapse prevention</w:t>
            </w:r>
          </w:p>
        </w:tc>
        <w:tc>
          <w:tcPr>
            <w:tcW w:type="dxa" w:w="2232"/>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CHANGE</w:t>
            </w:r>
          </w:p>
        </w:tc>
      </w:tr>
      <w:tr>
        <w:trPr>
          <w:cantSplit/>
        </w:trPr>
        <w:tc>
          <w:tcPr>
            <w:tcW w:type="dxa" w:w="93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5</w:t>
            </w:r>
          </w:p>
        </w:tc>
        <w:tc>
          <w:tcPr>
            <w:tcW w:type="dxa" w:w="691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Adaptation, contraindications, measurement, and referral</w:t>
            </w:r>
          </w:p>
        </w:tc>
        <w:tc>
          <w:tcPr>
            <w:tcW w:type="dxa" w:w="223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PIVOT</w:t>
            </w:r>
          </w:p>
        </w:tc>
      </w:tr>
    </w:tbl>
    <w:p>
      <w:pPr>
        <w:spacing w:after="0"/>
      </w:pPr>
    </w:p>
    <w:tbl>
      <w:tblPr>
        <w:tblW w:type="auto" w:w="0"/>
        <w:jc w:val="center"/>
        <w:tblLayout w:type="fixed"/>
        <w:tblLook w:firstColumn="1" w:firstRow="1" w:lastColumn="0" w:lastRow="0" w:noHBand="0" w:noVBand="1" w:val="04A0"/>
      </w:tblPr>
      <w:tblGrid>
        <w:gridCol w:w="10080"/>
      </w:tblGrid>
      <w:tr>
        <w:tc>
          <w:tcPr>
            <w:tcW w:type="dxa" w:w="10282"/>
            <w:shd w:fill="FFF7D6"/>
            <w:tcMar>
              <w:top w:w="85" w:type="dxa"/>
              <w:start w:w="105" w:type="dxa"/>
              <w:bottom w:w="85" w:type="dxa"/>
              <w:end w:w="105" w:type="dxa"/>
            </w:tcMar>
            <w:tcBorders>
              <w:top w:val="single" w:sz="8" w:color="D6B656"/>
              <w:left w:val="single" w:sz="8" w:color="D6B656"/>
              <w:bottom w:val="single" w:sz="8" w:color="D6B656"/>
              <w:right w:val="single" w:sz="8" w:color="D6B656"/>
            </w:tcBorders>
          </w:tcPr>
          <w:p>
            <w:pPr>
              <w:spacing w:after="40"/>
            </w:pPr>
            <w:r>
              <w:rPr>
                <w:rFonts w:ascii="Arial" w:hAnsi="Arial" w:eastAsia="Arial"/>
                <w:b/>
                <w:color w:val="17365D"/>
                <w:sz w:val="18"/>
              </w:rPr>
              <w:t>BIG IDEA</w:t>
            </w:r>
          </w:p>
          <w:p>
            <w:pPr>
              <w:spacing w:after="0" w:line="245" w:lineRule="auto"/>
            </w:pPr>
            <w:r>
              <w:rPr>
                <w:rFonts w:ascii="Arial" w:hAnsi="Arial" w:eastAsia="Arial"/>
                <w:color w:val="1F2937"/>
                <w:sz w:val="18"/>
              </w:rPr>
              <w:t>Evidence-supported does not mean universally appropriate. The best answer integrates research, formulation, client characteristics and preferences, clinical expertise, safety, access, and ongoing outcome review.</w:t>
            </w:r>
          </w:p>
        </w:tc>
      </w:tr>
    </w:tbl>
    <w:p>
      <w:pPr>
        <w:spacing w:after="0"/>
      </w:pPr>
    </w:p>
    <w:p>
      <w:r>
        <w:rPr>
          <w:rFonts w:ascii="Arial" w:hAnsi="Arial" w:eastAsia="Arial"/>
        </w:rPr>
        <w:br w:type="page"/>
      </w:r>
    </w:p>
    <w:tbl>
      <w:tblPr>
        <w:tblW w:type="auto" w:w="0"/>
        <w:jc w:val="center"/>
        <w:tblLayout w:type="fixed"/>
        <w:tblLook w:firstColumn="1" w:firstRow="1" w:lastColumn="0" w:lastRow="0" w:noHBand="0" w:noVBand="1" w:val="04A0"/>
      </w:tblPr>
      <w:tblGrid>
        <w:gridCol w:w="5141"/>
        <w:gridCol w:w="5141"/>
      </w:tblGrid>
      <w:tr>
        <w:tc>
          <w:tcPr>
            <w:tcW w:type="dxa" w:w="864"/>
            <w:shd w:fill="17365D"/>
            <w:tcMar>
              <w:top w:w="50" w:type="dxa"/>
              <w:start w:w="80" w:type="dxa"/>
              <w:bottom w:w="50" w:type="dxa"/>
              <w:end w:w="80" w:type="dxa"/>
            </w:tcMar>
            <w:tcBorders>
              <w:top w:val="nil"/>
              <w:left w:val="nil"/>
              <w:bottom w:val="nil"/>
              <w:right w:val="nil"/>
            </w:tcBorders>
          </w:tcPr>
          <w:p>
            <w:pPr>
              <w:jc w:val="center"/>
            </w:pPr>
            <w:r>
              <w:rPr>
                <w:rFonts w:ascii="Arial" w:hAnsi="Arial" w:eastAsia="Arial"/>
                <w:b/>
                <w:color w:val="FFFFFF"/>
                <w:sz w:val="26"/>
              </w:rPr>
              <w:t>1</w:t>
            </w:r>
          </w:p>
        </w:tc>
        <w:tc>
          <w:tcPr>
            <w:tcW w:type="dxa" w:w="9216"/>
            <w:shd w:fill="17365D"/>
            <w:tcMar>
              <w:top w:w="50" w:type="dxa"/>
              <w:start w:w="80" w:type="dxa"/>
              <w:bottom w:w="50" w:type="dxa"/>
              <w:end w:w="80" w:type="dxa"/>
            </w:tcMar>
            <w:tcBorders>
              <w:top w:val="nil"/>
              <w:left w:val="nil"/>
              <w:bottom w:val="nil"/>
              <w:right w:val="nil"/>
            </w:tcBorders>
          </w:tcPr>
          <w:p>
            <w:r>
              <w:rPr>
                <w:rFonts w:ascii="Arial" w:hAnsi="Arial" w:eastAsia="Arial"/>
                <w:b/>
                <w:color w:val="FFFFFF"/>
                <w:sz w:val="24"/>
              </w:rPr>
              <w:t>Evidence, Mechanism, Readiness, and Intervention Fit</w:t>
            </w:r>
          </w:p>
        </w:tc>
      </w:tr>
      <w:tr>
        <w:tc>
          <w:tcPr>
            <w:tcW w:type="dxa" w:w="10080"/>
            <w:gridSpan w:val="2"/>
            <w:shd w:fill="EAF1F8"/>
            <w:tcMar>
              <w:top w:w="55" w:type="dxa"/>
              <w:start w:w="90" w:type="dxa"/>
              <w:bottom w:w="55" w:type="dxa"/>
              <w:end w:w="90" w:type="dxa"/>
            </w:tcMar>
            <w:tcBorders>
              <w:left w:val="single" w:sz="6" w:color="159C9C"/>
              <w:bottom w:val="single" w:sz="6" w:color="159C9C"/>
              <w:right w:val="single" w:sz="6" w:color="159C9C"/>
            </w:tcBorders>
          </w:tcPr>
          <w:p>
            <w:r>
              <w:rPr>
                <w:rFonts w:ascii="Arial" w:hAnsi="Arial" w:eastAsia="Arial"/>
                <w:i/>
                <w:color w:val="17365D"/>
                <w:sz w:val="18"/>
              </w:rPr>
              <w:t>Move from “What technique do I know?” to “What target, mechanism, and client context make this intervention appropriate now?”</w:t>
            </w:r>
          </w:p>
        </w:tc>
      </w:tr>
    </w:tbl>
    <w:p>
      <w:pPr>
        <w:spacing w:after="0"/>
      </w:pPr>
    </w:p>
    <w:p>
      <w:pPr>
        <w:spacing w:before="0" w:after="80" w:line="252" w:lineRule="auto"/>
      </w:pPr>
      <w:r>
        <w:rPr>
          <w:rFonts w:ascii="Arial" w:hAnsi="Arial" w:eastAsia="Arial"/>
          <w:b w:val="0"/>
          <w:i w:val="0"/>
          <w:sz w:val="19"/>
        </w:rPr>
        <w:t>Evidence-based psychological practice is a decision process, not a brand name. It integrates the best available research with clinical expertise and the client’s characteristics, culture, preferences, circumstances, and goals. An intervention can have strong research support and still be poorly matched to a particular client, setting, phase of care, or counselor’s competence.</w:t>
      </w:r>
    </w:p>
    <w:p>
      <w:pPr>
        <w:pStyle w:val="Heading2"/>
        <w:keepNext/>
      </w:pPr>
      <w:r>
        <w:rPr>
          <w:rFonts w:ascii="Arial" w:hAnsi="Arial" w:eastAsia="Arial"/>
        </w:rPr>
        <w:t>Evidence Terms in Exam Language</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088"/>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Term</w:t>
            </w:r>
          </w:p>
        </w:tc>
        <w:tc>
          <w:tcPr>
            <w:tcW w:type="dxa" w:w="4680"/>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Meaning</w:t>
            </w:r>
          </w:p>
        </w:tc>
        <w:tc>
          <w:tcPr>
            <w:tcW w:type="dxa" w:w="3312"/>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Exam Implication</w:t>
            </w:r>
          </w:p>
        </w:tc>
      </w:tr>
      <w:tr>
        <w:trPr>
          <w:cantSplit/>
        </w:trPr>
        <w:tc>
          <w:tcPr>
            <w:tcW w:type="dxa" w:w="2088"/>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Evidence-supported intervention</w:t>
            </w:r>
          </w:p>
        </w:tc>
        <w:tc>
          <w:tcPr>
            <w:tcW w:type="dxa" w:w="468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A defined intervention has credible research support for a target population or problem.</w:t>
            </w:r>
          </w:p>
        </w:tc>
        <w:tc>
          <w:tcPr>
            <w:tcW w:type="dxa" w:w="331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Confirm the client and target resemble the evidence base; do not assume universal fit.</w:t>
            </w:r>
          </w:p>
        </w:tc>
      </w:tr>
      <w:tr>
        <w:trPr>
          <w:cantSplit/>
        </w:trPr>
        <w:tc>
          <w:tcPr>
            <w:tcW w:type="dxa" w:w="2088"/>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Evidence-based psychological practice</w:t>
            </w:r>
          </w:p>
        </w:tc>
        <w:tc>
          <w:tcPr>
            <w:tcW w:type="dxa" w:w="468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Research, clinical expertise, and client characteristics/preferences are integrated.</w:t>
            </w:r>
          </w:p>
        </w:tc>
        <w:tc>
          <w:tcPr>
            <w:tcW w:type="dxa" w:w="3312"/>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The best answer usually includes fit, collaboration, and monitoring—not research alone.</w:t>
            </w:r>
          </w:p>
        </w:tc>
      </w:tr>
      <w:tr>
        <w:trPr>
          <w:cantSplit/>
        </w:trPr>
        <w:tc>
          <w:tcPr>
            <w:tcW w:type="dxa" w:w="2088"/>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Evidence-informed care</w:t>
            </w:r>
          </w:p>
        </w:tc>
        <w:tc>
          <w:tcPr>
            <w:tcW w:type="dxa" w:w="468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Available evidence guides care when direct or complete evidence is limited.</w:t>
            </w:r>
          </w:p>
        </w:tc>
        <w:tc>
          <w:tcPr>
            <w:tcW w:type="dxa" w:w="331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Use transparent reasoning, conservative claims, measurement, and consultation.</w:t>
            </w:r>
          </w:p>
        </w:tc>
      </w:tr>
      <w:tr>
        <w:trPr>
          <w:cantSplit/>
        </w:trPr>
        <w:tc>
          <w:tcPr>
            <w:tcW w:type="dxa" w:w="2088"/>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Promising or emerging practice</w:t>
            </w:r>
          </w:p>
        </w:tc>
        <w:tc>
          <w:tcPr>
            <w:tcW w:type="dxa" w:w="468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Preliminary support exists, but certainty is limited.</w:t>
            </w:r>
          </w:p>
        </w:tc>
        <w:tc>
          <w:tcPr>
            <w:tcW w:type="dxa" w:w="3312"/>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Avoid presenting it as established; obtain informed consent and monitor carefully.</w:t>
            </w:r>
          </w:p>
        </w:tc>
      </w:tr>
      <w:tr>
        <w:trPr>
          <w:cantSplit/>
        </w:trPr>
        <w:tc>
          <w:tcPr>
            <w:tcW w:type="dxa" w:w="2088"/>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Unsupported or idiosyncratic technique</w:t>
            </w:r>
          </w:p>
        </w:tc>
        <w:tc>
          <w:tcPr>
            <w:tcW w:type="dxa" w:w="468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Rationale rests mainly on habit, popularity, or clinician preference.</w:t>
            </w:r>
          </w:p>
        </w:tc>
        <w:tc>
          <w:tcPr>
            <w:tcW w:type="dxa" w:w="331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Do not choose it over a better-supported and feasible option without a defensible reason.</w:t>
            </w:r>
          </w:p>
        </w:tc>
      </w:tr>
    </w:tbl>
    <w:p>
      <w:pPr>
        <w:spacing w:after="0"/>
      </w:pPr>
    </w:p>
    <w:p>
      <w:pPr>
        <w:pStyle w:val="Heading2"/>
        <w:keepNext/>
      </w:pPr>
      <w:r>
        <w:rPr>
          <w:rFonts w:ascii="Arial" w:hAnsi="Arial" w:eastAsia="Arial"/>
        </w:rPr>
        <w:t>Mechanism Before Method</w:t>
      </w:r>
    </w:p>
    <w:p>
      <w:pPr>
        <w:spacing w:before="0" w:after="80" w:line="252" w:lineRule="auto"/>
      </w:pPr>
      <w:r>
        <w:rPr>
          <w:rFonts w:ascii="Arial" w:hAnsi="Arial" w:eastAsia="Arial"/>
          <w:b w:val="0"/>
          <w:i w:val="0"/>
          <w:sz w:val="19"/>
        </w:rPr>
        <w:t>A mechanism is the process believed to maintain the problem or produce change. Behavioral withdrawal may maintain depression; avoidance may maintain panic or trauma-related fear; rituals and reassurance may maintain OCD; inconsistent reinforcement may maintain treatment attendance problems. The intervention should target the mechanism rather than merely resemble the diagnosis.</w:t>
      </w:r>
    </w:p>
    <w:p>
      <w:pPr>
        <w:pStyle w:val="ListBullet"/>
        <w:spacing w:after="30" w:line="245" w:lineRule="auto"/>
        <w:ind w:left="288" w:hanging="173"/>
      </w:pPr>
      <w:r>
        <w:rPr>
          <w:rFonts w:ascii="Arial" w:hAnsi="Arial" w:eastAsia="Arial"/>
          <w:b/>
          <w:sz w:val="19"/>
        </w:rPr>
        <w:t xml:space="preserve">Target first: </w:t>
      </w:r>
      <w:r>
        <w:rPr>
          <w:rFonts w:ascii="Arial" w:hAnsi="Arial" w:eastAsia="Arial"/>
          <w:sz w:val="19"/>
        </w:rPr>
        <w:t>Name the most important change needed now—safety, functioning, avoidance, rumination, ritualizing, sleep schedule, substance-related risk, or another observable problem.</w:t>
      </w:r>
    </w:p>
    <w:p>
      <w:pPr>
        <w:pStyle w:val="ListBullet"/>
        <w:spacing w:after="30" w:line="245" w:lineRule="auto"/>
        <w:ind w:left="288" w:hanging="173"/>
      </w:pPr>
      <w:r>
        <w:rPr>
          <w:rFonts w:ascii="Arial" w:hAnsi="Arial" w:eastAsia="Arial"/>
          <w:b/>
          <w:sz w:val="19"/>
        </w:rPr>
        <w:t xml:space="preserve">Mechanism next: </w:t>
      </w:r>
      <w:r>
        <w:rPr>
          <w:rFonts w:ascii="Arial" w:hAnsi="Arial" w:eastAsia="Arial"/>
          <w:sz w:val="19"/>
        </w:rPr>
        <w:t>Identify what appears to maintain the problem and what evidence is still missing.</w:t>
      </w:r>
    </w:p>
    <w:p>
      <w:pPr>
        <w:pStyle w:val="ListBullet"/>
        <w:spacing w:after="30" w:line="245" w:lineRule="auto"/>
        <w:ind w:left="288" w:hanging="173"/>
      </w:pPr>
      <w:r>
        <w:rPr>
          <w:rFonts w:ascii="Arial" w:hAnsi="Arial" w:eastAsia="Arial"/>
          <w:b/>
          <w:sz w:val="19"/>
        </w:rPr>
        <w:t xml:space="preserve">Intervention after that: </w:t>
      </w:r>
      <w:r>
        <w:rPr>
          <w:rFonts w:ascii="Arial" w:hAnsi="Arial" w:eastAsia="Arial"/>
          <w:sz w:val="19"/>
        </w:rPr>
        <w:t>Choose the least burdensome evidence-supported option likely to affect the mechanism.</w:t>
      </w:r>
    </w:p>
    <w:p>
      <w:pPr>
        <w:pStyle w:val="ListBullet"/>
        <w:spacing w:after="30" w:line="245" w:lineRule="auto"/>
        <w:ind w:left="288" w:hanging="173"/>
      </w:pPr>
      <w:r>
        <w:rPr>
          <w:rFonts w:ascii="Arial" w:hAnsi="Arial" w:eastAsia="Arial"/>
          <w:b/>
          <w:sz w:val="19"/>
        </w:rPr>
        <w:t xml:space="preserve">Delivery and measurement: </w:t>
      </w:r>
      <w:r>
        <w:rPr>
          <w:rFonts w:ascii="Arial" w:hAnsi="Arial" w:eastAsia="Arial"/>
          <w:sz w:val="19"/>
        </w:rPr>
        <w:t>Define what the counselor and client will do, how often, and what improvement will look like.</w:t>
      </w:r>
    </w:p>
    <w:p>
      <w:pPr>
        <w:pStyle w:val="Heading2"/>
        <w:keepNext/>
      </w:pPr>
      <w:r>
        <w:rPr>
          <w:rFonts w:ascii="Arial" w:hAnsi="Arial" w:eastAsia="Arial"/>
        </w:rPr>
        <w:t>The EVIDENCE Selection Filter</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1944"/>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Step</w:t>
            </w:r>
          </w:p>
        </w:tc>
        <w:tc>
          <w:tcPr>
            <w:tcW w:type="dxa" w:w="8136"/>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Question</w:t>
            </w:r>
          </w:p>
        </w:tc>
      </w:tr>
      <w:tr>
        <w:trPr>
          <w:cantSplit/>
        </w:trPr>
        <w:tc>
          <w:tcPr>
            <w:tcW w:type="dxa" w:w="194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E - Exact target</w:t>
            </w:r>
          </w:p>
        </w:tc>
        <w:tc>
          <w:tcPr>
            <w:tcW w:type="dxa" w:w="813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What specific symptom, behavior, functional impairment, or maintaining process is being treated?</w:t>
            </w:r>
          </w:p>
        </w:tc>
      </w:tr>
      <w:tr>
        <w:trPr>
          <w:cantSplit/>
        </w:trPr>
        <w:tc>
          <w:tcPr>
            <w:tcW w:type="dxa" w:w="1944"/>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V - Values and preference</w:t>
            </w:r>
          </w:p>
        </w:tc>
        <w:tc>
          <w:tcPr>
            <w:tcW w:type="dxa" w:w="813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What does the client want, fear, decline, or consider meaningful?</w:t>
            </w:r>
          </w:p>
        </w:tc>
      </w:tr>
      <w:tr>
        <w:trPr>
          <w:cantSplit/>
        </w:trPr>
        <w:tc>
          <w:tcPr>
            <w:tcW w:type="dxa" w:w="194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I - Individual context</w:t>
            </w:r>
          </w:p>
        </w:tc>
        <w:tc>
          <w:tcPr>
            <w:tcW w:type="dxa" w:w="813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How do culture, development, disability, language, relationships, setting, and access affect fit?</w:t>
            </w:r>
          </w:p>
        </w:tc>
      </w:tr>
      <w:tr>
        <w:trPr>
          <w:cantSplit/>
        </w:trPr>
        <w:tc>
          <w:tcPr>
            <w:tcW w:type="dxa" w:w="1944"/>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D - Data and diagnosis</w:t>
            </w:r>
          </w:p>
        </w:tc>
        <w:tc>
          <w:tcPr>
            <w:tcW w:type="dxa" w:w="813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What assessment findings and evidence support this choice, and what remains uncertain?</w:t>
            </w:r>
          </w:p>
        </w:tc>
      </w:tr>
      <w:tr>
        <w:trPr>
          <w:cantSplit/>
        </w:trPr>
        <w:tc>
          <w:tcPr>
            <w:tcW w:type="dxa" w:w="194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E - Expertise and scope</w:t>
            </w:r>
          </w:p>
        </w:tc>
        <w:tc>
          <w:tcPr>
            <w:tcW w:type="dxa" w:w="813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Can the counselor deliver the method competently, with needed supervision or consultation?</w:t>
            </w:r>
          </w:p>
        </w:tc>
      </w:tr>
      <w:tr>
        <w:trPr>
          <w:cantSplit/>
        </w:trPr>
        <w:tc>
          <w:tcPr>
            <w:tcW w:type="dxa" w:w="1944"/>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N - Need, safety, readiness</w:t>
            </w:r>
          </w:p>
        </w:tc>
        <w:tc>
          <w:tcPr>
            <w:tcW w:type="dxa" w:w="813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Is the timing appropriate, or must stabilization, medical care, risk response, or engagement come first?</w:t>
            </w:r>
          </w:p>
        </w:tc>
      </w:tr>
      <w:tr>
        <w:trPr>
          <w:cantSplit/>
        </w:trPr>
        <w:tc>
          <w:tcPr>
            <w:tcW w:type="dxa" w:w="194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C - Conditions of delivery</w:t>
            </w:r>
          </w:p>
        </w:tc>
        <w:tc>
          <w:tcPr>
            <w:tcW w:type="dxa" w:w="813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Are frequency, modality, homework, privacy, technology, transportation, and cost feasible?</w:t>
            </w:r>
          </w:p>
        </w:tc>
      </w:tr>
      <w:tr>
        <w:trPr>
          <w:cantSplit/>
        </w:trPr>
        <w:tc>
          <w:tcPr>
            <w:tcW w:type="dxa" w:w="1944"/>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E - Evaluate response</w:t>
            </w:r>
          </w:p>
        </w:tc>
        <w:tc>
          <w:tcPr>
            <w:tcW w:type="dxa" w:w="813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Which symptom, function, behavior, and client-feedback indicators will guide revision?</w:t>
            </w:r>
          </w:p>
        </w:tc>
      </w:tr>
    </w:tbl>
    <w:p>
      <w:pPr>
        <w:spacing w:after="0"/>
      </w:pPr>
    </w:p>
    <w:tbl>
      <w:tblPr>
        <w:tblW w:type="auto" w:w="0"/>
        <w:jc w:val="center"/>
        <w:tblLayout w:type="fixed"/>
        <w:tblLook w:firstColumn="1" w:firstRow="1" w:lastColumn="0" w:lastRow="0" w:noHBand="0" w:noVBand="1" w:val="04A0"/>
      </w:tblPr>
      <w:tblGrid>
        <w:gridCol w:w="10080"/>
      </w:tblGrid>
      <w:tr>
        <w:tc>
          <w:tcPr>
            <w:tcW w:type="dxa" w:w="10282"/>
            <w:shd w:fill="FCE8E6"/>
            <w:tcMar>
              <w:top w:w="85" w:type="dxa"/>
              <w:start w:w="105" w:type="dxa"/>
              <w:bottom w:w="85" w:type="dxa"/>
              <w:end w:w="105" w:type="dxa"/>
            </w:tcMar>
            <w:tcBorders>
              <w:top w:val="single" w:sz="8" w:color="C95F54"/>
              <w:left w:val="single" w:sz="8" w:color="C95F54"/>
              <w:bottom w:val="single" w:sz="8" w:color="C95F54"/>
              <w:right w:val="single" w:sz="8" w:color="C95F54"/>
            </w:tcBorders>
          </w:tcPr>
          <w:p>
            <w:pPr>
              <w:spacing w:after="40"/>
            </w:pPr>
            <w:r>
              <w:rPr>
                <w:rFonts w:ascii="Arial" w:hAnsi="Arial" w:eastAsia="Arial"/>
                <w:b/>
                <w:color w:val="A1372E"/>
                <w:sz w:val="18"/>
              </w:rPr>
              <w:t>COMMON TRAP</w:t>
            </w:r>
          </w:p>
          <w:p>
            <w:pPr>
              <w:spacing w:after="0" w:line="245" w:lineRule="auto"/>
            </w:pPr>
            <w:r>
              <w:rPr>
                <w:rFonts w:ascii="Arial" w:hAnsi="Arial" w:eastAsia="Arial"/>
                <w:color w:val="1F2937"/>
                <w:sz w:val="18"/>
              </w:rPr>
              <w:t>“Evidence-based” is not a synonym for “do it immediately.” A well-supported intervention may still be premature because the client is medically unstable, acutely unsafe, unable to consent, not ready for the proposed task, or better served by a specialist.</w:t>
            </w:r>
          </w:p>
        </w:tc>
      </w:tr>
    </w:tbl>
    <w:p>
      <w:pPr>
        <w:spacing w:after="0"/>
      </w:pPr>
    </w:p>
    <w:p>
      <w:pPr>
        <w:pStyle w:val="Heading2"/>
        <w:keepNext/>
        <w:keepNext/>
      </w:pPr>
      <w:r>
        <w:rPr>
          <w:rFonts w:ascii="Arial" w:hAnsi="Arial" w:eastAsia="Arial"/>
        </w:rPr>
        <w:t>Clinical Resource Toolkit: EVIDENCE Intervention Fit Grid</w:t>
      </w:r>
    </w:p>
    <w:p>
      <w:pPr>
        <w:spacing w:after="60"/>
      </w:pPr>
      <w:r>
        <w:rPr>
          <w:rFonts w:ascii="Arial" w:hAnsi="Arial" w:eastAsia="Arial"/>
          <w:i/>
          <w:color w:val="17365D"/>
          <w:sz w:val="18"/>
        </w:rPr>
        <w:t>Use one row for each plausible intervention. Compare the same target across options before selecting a plan.</w:t>
      </w:r>
    </w:p>
    <w:tbl>
      <w:tblPr>
        <w:tblW w:type="auto" w:w="0"/>
        <w:jc w:val="center"/>
        <w:tblLayout w:type="fixed"/>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1440"/>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Intervention</w:t>
            </w:r>
          </w:p>
        </w:tc>
        <w:tc>
          <w:tcPr>
            <w:tcW w:type="dxa" w:w="1800"/>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Target / mechanism</w:t>
            </w:r>
          </w:p>
        </w:tc>
        <w:tc>
          <w:tcPr>
            <w:tcW w:type="dxa" w:w="1296"/>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Research fit</w:t>
            </w:r>
          </w:p>
        </w:tc>
        <w:tc>
          <w:tcPr>
            <w:tcW w:type="dxa" w:w="1440"/>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Client / context fit</w:t>
            </w:r>
          </w:p>
        </w:tc>
        <w:tc>
          <w:tcPr>
            <w:tcW w:type="dxa" w:w="1296"/>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Safety / readiness</w:t>
            </w:r>
          </w:p>
        </w:tc>
        <w:tc>
          <w:tcPr>
            <w:tcW w:type="dxa" w:w="1368"/>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Competence / access</w:t>
            </w:r>
          </w:p>
        </w:tc>
        <w:tc>
          <w:tcPr>
            <w:tcW w:type="dxa" w:w="1440"/>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Outcome measure</w:t>
            </w:r>
          </w:p>
        </w:tc>
      </w:tr>
      <w:tr>
        <w:trPr>
          <w:cantSplit/>
          <w:trHeight w:val="504"/>
        </w:trPr>
        <w:tc>
          <w:tcPr>
            <w:tcW w:type="dxa" w:w="144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80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29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44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29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368"/>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44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r>
      <w:tr>
        <w:trPr>
          <w:cantSplit/>
          <w:trHeight w:val="504"/>
        </w:trPr>
        <w:tc>
          <w:tcPr>
            <w:tcW w:type="dxa" w:w="144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80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29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44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29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368"/>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44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r>
      <w:tr>
        <w:trPr>
          <w:cantSplit/>
          <w:trHeight w:val="504"/>
        </w:trPr>
        <w:tc>
          <w:tcPr>
            <w:tcW w:type="dxa" w:w="144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80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29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44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29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368"/>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44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r>
      <w:tr>
        <w:trPr>
          <w:cantSplit/>
          <w:trHeight w:val="504"/>
        </w:trPr>
        <w:tc>
          <w:tcPr>
            <w:tcW w:type="dxa" w:w="144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80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29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44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29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368"/>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44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r>
    </w:tbl>
    <w:p>
      <w:pPr>
        <w:spacing w:after="0"/>
      </w:pPr>
    </w:p>
    <w:p>
      <w:pPr>
        <w:pStyle w:val="Heading2"/>
        <w:keepNext/>
        <w:keepNext/>
      </w:pPr>
      <w:r>
        <w:rPr>
          <w:rFonts w:ascii="Arial" w:hAnsi="Arial" w:eastAsia="Arial"/>
        </w:rPr>
        <w:t>Chapter Summary</w:t>
      </w:r>
    </w:p>
    <w:p>
      <w:pPr>
        <w:pStyle w:val="ListBullet"/>
        <w:spacing w:after="30" w:line="245" w:lineRule="auto"/>
        <w:ind w:left="288" w:hanging="173"/>
      </w:pPr>
      <w:r>
        <w:rPr>
          <w:rFonts w:ascii="Arial" w:hAnsi="Arial" w:eastAsia="Arial"/>
          <w:sz w:val="19"/>
        </w:rPr>
        <w:t>Evidence-based practice integrates research, clinical expertise, and client characteristics, culture, preferences, and goals.</w:t>
      </w:r>
    </w:p>
    <w:p>
      <w:pPr>
        <w:pStyle w:val="ListBullet"/>
        <w:spacing w:after="30" w:line="245" w:lineRule="auto"/>
        <w:ind w:left="288" w:hanging="173"/>
      </w:pPr>
      <w:r>
        <w:rPr>
          <w:rFonts w:ascii="Arial" w:hAnsi="Arial" w:eastAsia="Arial"/>
          <w:sz w:val="19"/>
        </w:rPr>
        <w:t>Select interventions by target and mechanism—not by diagnosis label or counselor familiarity alone.</w:t>
      </w:r>
    </w:p>
    <w:p>
      <w:pPr>
        <w:pStyle w:val="ListBullet"/>
        <w:spacing w:after="30" w:line="245" w:lineRule="auto"/>
        <w:ind w:left="288" w:hanging="173"/>
      </w:pPr>
      <w:r>
        <w:rPr>
          <w:rFonts w:ascii="Arial" w:hAnsi="Arial" w:eastAsia="Arial"/>
          <w:sz w:val="19"/>
        </w:rPr>
        <w:t>Readiness, safety, access, and competence can change the correct sequence.</w:t>
      </w:r>
    </w:p>
    <w:p>
      <w:pPr>
        <w:pStyle w:val="ListBullet"/>
        <w:spacing w:after="30" w:line="245" w:lineRule="auto"/>
        <w:ind w:left="288" w:hanging="173"/>
      </w:pPr>
      <w:r>
        <w:rPr>
          <w:rFonts w:ascii="Arial" w:hAnsi="Arial" w:eastAsia="Arial"/>
          <w:sz w:val="19"/>
        </w:rPr>
        <w:t>Every intervention choice needs a delivery plan and a measurable review point.</w:t>
      </w:r>
    </w:p>
    <w:tbl>
      <w:tblPr>
        <w:tblW w:type="auto" w:w="0"/>
        <w:jc w:val="center"/>
        <w:tblLayout w:type="fixed"/>
        <w:tblLook w:firstColumn="1" w:firstRow="1" w:lastColumn="0" w:lastRow="0" w:noHBand="0" w:noVBand="1" w:val="04A0"/>
      </w:tblPr>
      <w:tblGrid>
        <w:gridCol w:w="10080"/>
      </w:tblGrid>
      <w:tr>
        <w:tc>
          <w:tcPr>
            <w:tcW w:type="dxa" w:w="10282"/>
            <w:shd w:fill="FFF7D6"/>
            <w:tcMar>
              <w:top w:w="85" w:type="dxa"/>
              <w:start w:w="105" w:type="dxa"/>
              <w:bottom w:w="85" w:type="dxa"/>
              <w:end w:w="105" w:type="dxa"/>
            </w:tcMar>
            <w:tcBorders>
              <w:top w:val="single" w:sz="8" w:color="D6B656"/>
              <w:left w:val="single" w:sz="8" w:color="D6B656"/>
              <w:bottom w:val="single" w:sz="8" w:color="D6B656"/>
              <w:right w:val="single" w:sz="8" w:color="D6B656"/>
            </w:tcBorders>
          </w:tcPr>
          <w:p>
            <w:pPr>
              <w:spacing w:after="40"/>
            </w:pPr>
            <w:r>
              <w:rPr>
                <w:rFonts w:ascii="Arial" w:hAnsi="Arial" w:eastAsia="Arial"/>
                <w:b/>
                <w:color w:val="17365D"/>
                <w:sz w:val="18"/>
              </w:rPr>
              <w:t>EXAM RULE</w:t>
            </w:r>
          </w:p>
          <w:p>
            <w:pPr>
              <w:spacing w:after="0" w:line="245" w:lineRule="auto"/>
            </w:pPr>
            <w:r>
              <w:rPr>
                <w:rFonts w:ascii="Arial" w:hAnsi="Arial" w:eastAsia="Arial"/>
                <w:color w:val="1F2937"/>
                <w:sz w:val="18"/>
              </w:rPr>
              <w:t>Choose the intervention that best fits the current target, available evidence, client readiness and preference, setting, counselor competence, and measurable next step. A famous technique is not automatically the best answer.</w:t>
            </w:r>
          </w:p>
        </w:tc>
      </w:tr>
    </w:tbl>
    <w:p>
      <w:pPr>
        <w:spacing w:after="0"/>
      </w:pPr>
    </w:p>
    <w:p>
      <w:r>
        <w:rPr>
          <w:rFonts w:ascii="Arial" w:hAnsi="Arial" w:eastAsia="Arial"/>
        </w:rPr>
        <w:br w:type="page"/>
      </w:r>
    </w:p>
    <w:tbl>
      <w:tblPr>
        <w:tblW w:type="auto" w:w="0"/>
        <w:jc w:val="center"/>
        <w:tblLayout w:type="fixed"/>
        <w:tblLook w:firstColumn="1" w:firstRow="1" w:lastColumn="0" w:lastRow="0" w:noHBand="0" w:noVBand="1" w:val="04A0"/>
      </w:tblPr>
      <w:tblGrid>
        <w:gridCol w:w="5141"/>
        <w:gridCol w:w="5141"/>
      </w:tblGrid>
      <w:tr>
        <w:tc>
          <w:tcPr>
            <w:tcW w:type="dxa" w:w="864"/>
            <w:shd w:fill="17365D"/>
            <w:tcMar>
              <w:top w:w="50" w:type="dxa"/>
              <w:start w:w="80" w:type="dxa"/>
              <w:bottom w:w="50" w:type="dxa"/>
              <w:end w:w="80" w:type="dxa"/>
            </w:tcMar>
            <w:tcBorders>
              <w:top w:val="nil"/>
              <w:left w:val="nil"/>
              <w:bottom w:val="nil"/>
              <w:right w:val="nil"/>
            </w:tcBorders>
          </w:tcPr>
          <w:p>
            <w:pPr>
              <w:jc w:val="center"/>
            </w:pPr>
            <w:r>
              <w:rPr>
                <w:rFonts w:ascii="Arial" w:hAnsi="Arial" w:eastAsia="Arial"/>
                <w:b/>
                <w:color w:val="FFFFFF"/>
                <w:sz w:val="26"/>
              </w:rPr>
              <w:t>2</w:t>
            </w:r>
          </w:p>
        </w:tc>
        <w:tc>
          <w:tcPr>
            <w:tcW w:type="dxa" w:w="9216"/>
            <w:shd w:fill="17365D"/>
            <w:tcMar>
              <w:top w:w="50" w:type="dxa"/>
              <w:start w:w="80" w:type="dxa"/>
              <w:bottom w:w="50" w:type="dxa"/>
              <w:end w:w="80" w:type="dxa"/>
            </w:tcMar>
            <w:tcBorders>
              <w:top w:val="nil"/>
              <w:left w:val="nil"/>
              <w:bottom w:val="nil"/>
              <w:right w:val="nil"/>
            </w:tcBorders>
          </w:tcPr>
          <w:p>
            <w:r>
              <w:rPr>
                <w:rFonts w:ascii="Arial" w:hAnsi="Arial" w:eastAsia="Arial"/>
                <w:b/>
                <w:color w:val="FFFFFF"/>
                <w:sz w:val="24"/>
              </w:rPr>
              <w:t>Mood, Anxiety, OCD, and Sleep Interventions</w:t>
            </w:r>
          </w:p>
        </w:tc>
      </w:tr>
      <w:tr>
        <w:tc>
          <w:tcPr>
            <w:tcW w:type="dxa" w:w="10080"/>
            <w:gridSpan w:val="2"/>
            <w:shd w:fill="EAF1F8"/>
            <w:tcMar>
              <w:top w:w="55" w:type="dxa"/>
              <w:start w:w="90" w:type="dxa"/>
              <w:bottom w:w="55" w:type="dxa"/>
              <w:end w:w="90" w:type="dxa"/>
            </w:tcMar>
            <w:tcBorders>
              <w:left w:val="single" w:sz="6" w:color="159C9C"/>
              <w:bottom w:val="single" w:sz="6" w:color="159C9C"/>
              <w:right w:val="single" w:sz="6" w:color="159C9C"/>
            </w:tcBorders>
          </w:tcPr>
          <w:p>
            <w:r>
              <w:rPr>
                <w:rFonts w:ascii="Arial" w:hAnsi="Arial" w:eastAsia="Arial"/>
                <w:i/>
                <w:color w:val="17365D"/>
                <w:sz w:val="18"/>
              </w:rPr>
              <w:t>Match common interventions to the process maintaining distress and functional impairment.</w:t>
            </w:r>
          </w:p>
        </w:tc>
      </w:tr>
    </w:tbl>
    <w:p>
      <w:pPr>
        <w:spacing w:after="0"/>
      </w:pPr>
    </w:p>
    <w:p>
      <w:pPr>
        <w:spacing w:before="0" w:after="80" w:line="252" w:lineRule="auto"/>
      </w:pPr>
      <w:r>
        <w:rPr>
          <w:rFonts w:ascii="Arial" w:hAnsi="Arial" w:eastAsia="Arial"/>
          <w:b w:val="0"/>
          <w:i w:val="0"/>
          <w:sz w:val="19"/>
        </w:rPr>
        <w:t>For common mood, anxiety, OCD, and sleep presentations, the exam often tests whether the counselor can distinguish supportive care from mechanism-focused treatment. Support, empathy, and psychoeducation matter, but they do not automatically replace behavioral practice, exposure, response prevention, activation, or structured sleep interventions when those are indicated and acceptable.</w:t>
      </w:r>
    </w:p>
    <w:p>
      <w:pPr>
        <w:pStyle w:val="Heading2"/>
        <w:keepNext/>
      </w:pPr>
      <w:r>
        <w:rPr>
          <w:rFonts w:ascii="Arial" w:hAnsi="Arial" w:eastAsia="Arial"/>
        </w:rPr>
        <w:t>High-Yield Intervention Map</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728"/>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Presenting Pattern</w:t>
            </w:r>
          </w:p>
        </w:tc>
        <w:tc>
          <w:tcPr>
            <w:tcW w:type="dxa" w:w="2232"/>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Common Maintaining Process</w:t>
            </w:r>
          </w:p>
        </w:tc>
        <w:tc>
          <w:tcPr>
            <w:tcW w:type="dxa" w:w="3960"/>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Evidence-Supported Counseling Options</w:t>
            </w:r>
          </w:p>
        </w:tc>
        <w:tc>
          <w:tcPr>
            <w:tcW w:type="dxa" w:w="2160"/>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Common Error</w:t>
            </w:r>
          </w:p>
        </w:tc>
      </w:tr>
      <w:tr>
        <w:trPr>
          <w:cantSplit/>
        </w:trPr>
        <w:tc>
          <w:tcPr>
            <w:tcW w:type="dxa" w:w="1728"/>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Depression</w:t>
            </w:r>
          </w:p>
        </w:tc>
        <w:tc>
          <w:tcPr>
            <w:tcW w:type="dxa" w:w="223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Withdrawal, reduced reinforcement, hopeless predictions, rumination, disrupted routines</w:t>
            </w:r>
          </w:p>
        </w:tc>
        <w:tc>
          <w:tcPr>
            <w:tcW w:type="dxa" w:w="396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Behavioral activation; CBT; interpersonal or problem-solving approaches; activity and sleep monitoring; coordinated medication evaluation when indicated</w:t>
            </w:r>
          </w:p>
        </w:tc>
        <w:tc>
          <w:tcPr>
            <w:tcW w:type="dxa" w:w="216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Waiting for motivation before activity; assigning an overly ambitious plan; ignoring bipolar or medical evidence</w:t>
            </w:r>
          </w:p>
        </w:tc>
      </w:tr>
      <w:tr>
        <w:trPr>
          <w:cantSplit/>
        </w:trPr>
        <w:tc>
          <w:tcPr>
            <w:tcW w:type="dxa" w:w="1728"/>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Generalized anxiety</w:t>
            </w:r>
          </w:p>
        </w:tc>
        <w:tc>
          <w:tcPr>
            <w:tcW w:type="dxa" w:w="2232"/>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Worry, intolerance of uncertainty, avoidance, reassurance, physiological arousal</w:t>
            </w:r>
          </w:p>
        </w:tc>
        <w:tc>
          <w:tcPr>
            <w:tcW w:type="dxa" w:w="396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CBT; worry awareness; behavioral experiments; exposure to uncertainty; ACT or mindfulness-based skills as appropriate</w:t>
            </w:r>
          </w:p>
        </w:tc>
        <w:tc>
          <w:tcPr>
            <w:tcW w:type="dxa" w:w="216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Using relaxation only to suppress all anxiety; reinforcing reassurance cycles</w:t>
            </w:r>
          </w:p>
        </w:tc>
      </w:tr>
      <w:tr>
        <w:trPr>
          <w:cantSplit/>
        </w:trPr>
        <w:tc>
          <w:tcPr>
            <w:tcW w:type="dxa" w:w="1728"/>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Panic</w:t>
            </w:r>
          </w:p>
        </w:tc>
        <w:tc>
          <w:tcPr>
            <w:tcW w:type="dxa" w:w="223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Catastrophic interpretation of sensations and avoidance of internal or external cues</w:t>
            </w:r>
          </w:p>
        </w:tc>
        <w:tc>
          <w:tcPr>
            <w:tcW w:type="dxa" w:w="396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Psychoeducation; interoceptive exposure; situational exposure; cognitive reappraisal; reduction of safety behaviors</w:t>
            </w:r>
          </w:p>
        </w:tc>
        <w:tc>
          <w:tcPr>
            <w:tcW w:type="dxa" w:w="216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Teaching breathing as an escape ritual; avoiding feared sensations indefinitely</w:t>
            </w:r>
          </w:p>
        </w:tc>
      </w:tr>
      <w:tr>
        <w:trPr>
          <w:cantSplit/>
        </w:trPr>
        <w:tc>
          <w:tcPr>
            <w:tcW w:type="dxa" w:w="1728"/>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OCD</w:t>
            </w:r>
          </w:p>
        </w:tc>
        <w:tc>
          <w:tcPr>
            <w:tcW w:type="dxa" w:w="2232"/>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Obsessions, rituals, neutralizing, reassurance, family accommodation</w:t>
            </w:r>
          </w:p>
        </w:tc>
        <w:tc>
          <w:tcPr>
            <w:tcW w:type="dxa" w:w="396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CBT with exposure and response prevention; cognitive methods adapted for OCD; family/support coaching when appropriate</w:t>
            </w:r>
          </w:p>
        </w:tc>
        <w:tc>
          <w:tcPr>
            <w:tcW w:type="dxa" w:w="216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Debating obsession content; providing repeated reassurance; stopping exposure whenever anxiety rises</w:t>
            </w:r>
          </w:p>
        </w:tc>
      </w:tr>
      <w:tr>
        <w:trPr>
          <w:cantSplit/>
        </w:trPr>
        <w:tc>
          <w:tcPr>
            <w:tcW w:type="dxa" w:w="1728"/>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Chronic insomnia</w:t>
            </w:r>
          </w:p>
        </w:tc>
        <w:tc>
          <w:tcPr>
            <w:tcW w:type="dxa" w:w="223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Conditioned arousal, inconsistent schedule, time awake in bed, maladaptive sleep beliefs</w:t>
            </w:r>
          </w:p>
        </w:tc>
        <w:tc>
          <w:tcPr>
            <w:tcW w:type="dxa" w:w="396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CBT-I components such as stimulus control, sleep scheduling/restriction, cognitive work, relaxation, and monitoring</w:t>
            </w:r>
          </w:p>
        </w:tc>
        <w:tc>
          <w:tcPr>
            <w:tcW w:type="dxa" w:w="216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Calling sleep hygiene alone a full treatment; missing apnea, mania, substance, medication, or medical factors</w:t>
            </w:r>
          </w:p>
        </w:tc>
      </w:tr>
    </w:tbl>
    <w:p>
      <w:pPr>
        <w:spacing w:after="0"/>
      </w:pPr>
    </w:p>
    <w:p>
      <w:pPr>
        <w:pStyle w:val="Heading2"/>
        <w:keepNext/>
      </w:pPr>
      <w:r>
        <w:rPr>
          <w:rFonts w:ascii="Arial" w:hAnsi="Arial" w:eastAsia="Arial"/>
        </w:rPr>
        <w:t>The DOSE Intervention Plan</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232"/>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Element</w:t>
            </w:r>
          </w:p>
        </w:tc>
        <w:tc>
          <w:tcPr>
            <w:tcW w:type="dxa" w:w="7848"/>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What to Specify</w:t>
            </w:r>
          </w:p>
        </w:tc>
      </w:tr>
      <w:tr>
        <w:trPr>
          <w:cantSplit/>
        </w:trPr>
        <w:tc>
          <w:tcPr>
            <w:tcW w:type="dxa" w:w="223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D - Define the target</w:t>
            </w:r>
          </w:p>
        </w:tc>
        <w:tc>
          <w:tcPr>
            <w:tcW w:type="dxa" w:w="7848"/>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A concrete symptom, behavior, impairment, or maintaining process.</w:t>
            </w:r>
          </w:p>
        </w:tc>
      </w:tr>
      <w:tr>
        <w:trPr>
          <w:cantSplit/>
        </w:trPr>
        <w:tc>
          <w:tcPr>
            <w:tcW w:type="dxa" w:w="2232"/>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O - Outline the mechanism</w:t>
            </w:r>
          </w:p>
        </w:tc>
        <w:tc>
          <w:tcPr>
            <w:tcW w:type="dxa" w:w="7848"/>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Explain in plain language how avoidance, inactivity, rituals, sleep conditioning, or another process sustains the problem.</w:t>
            </w:r>
          </w:p>
        </w:tc>
      </w:tr>
      <w:tr>
        <w:trPr>
          <w:cantSplit/>
        </w:trPr>
        <w:tc>
          <w:tcPr>
            <w:tcW w:type="dxa" w:w="223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S - Select and sequence</w:t>
            </w:r>
          </w:p>
        </w:tc>
        <w:tc>
          <w:tcPr>
            <w:tcW w:type="dxa" w:w="7848"/>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Choose the intervention, starting intensity, preparation, practice schedule, and supports.</w:t>
            </w:r>
          </w:p>
        </w:tc>
      </w:tr>
      <w:tr>
        <w:trPr>
          <w:cantSplit/>
        </w:trPr>
        <w:tc>
          <w:tcPr>
            <w:tcW w:type="dxa" w:w="2232"/>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E - Evaluate and extend</w:t>
            </w:r>
          </w:p>
        </w:tc>
        <w:tc>
          <w:tcPr>
            <w:tcW w:type="dxa" w:w="7848"/>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Track response, side effects, homework barriers, functional change, generalization, and relapse-prevention needs.</w:t>
            </w:r>
          </w:p>
        </w:tc>
      </w:tr>
    </w:tbl>
    <w:p>
      <w:pPr>
        <w:spacing w:after="0"/>
      </w:pPr>
    </w:p>
    <w:p>
      <w:pPr>
        <w:pStyle w:val="Heading2"/>
        <w:keepNext/>
      </w:pPr>
      <w:r>
        <w:rPr>
          <w:rFonts w:ascii="Arial" w:hAnsi="Arial" w:eastAsia="Arial"/>
        </w:rPr>
        <w:t>Graded Practice Beats Premature Intensity</w:t>
      </w:r>
    </w:p>
    <w:p>
      <w:pPr>
        <w:pStyle w:val="ListBullet"/>
        <w:spacing w:after="30" w:line="245" w:lineRule="auto"/>
        <w:ind w:left="288" w:hanging="173"/>
      </w:pPr>
      <w:r>
        <w:rPr>
          <w:rFonts w:ascii="Arial" w:hAnsi="Arial" w:eastAsia="Arial"/>
          <w:sz w:val="19"/>
        </w:rPr>
        <w:t>Behavioral activation begins with small, scheduled, values-linked actions rather than a vague instruction to “be more active.”</w:t>
      </w:r>
    </w:p>
    <w:p>
      <w:pPr>
        <w:pStyle w:val="ListBullet"/>
        <w:spacing w:after="30" w:line="245" w:lineRule="auto"/>
        <w:ind w:left="288" w:hanging="173"/>
      </w:pPr>
      <w:r>
        <w:rPr>
          <w:rFonts w:ascii="Arial" w:hAnsi="Arial" w:eastAsia="Arial"/>
          <w:sz w:val="19"/>
        </w:rPr>
        <w:t>Exposure is collaborative, planned, repeated, and designed to reduce avoidance or ritualizing—not to surprise, shame, or overwhelm the client.</w:t>
      </w:r>
    </w:p>
    <w:p>
      <w:pPr>
        <w:pStyle w:val="ListBullet"/>
        <w:spacing w:after="30" w:line="245" w:lineRule="auto"/>
        <w:ind w:left="288" w:hanging="173"/>
      </w:pPr>
      <w:r>
        <w:rPr>
          <w:rFonts w:ascii="Arial" w:hAnsi="Arial" w:eastAsia="Arial"/>
          <w:sz w:val="19"/>
        </w:rPr>
        <w:t>ERP includes response prevention. Exposure followed by the usual ritual can strengthen the existing cycle.</w:t>
      </w:r>
    </w:p>
    <w:p>
      <w:pPr>
        <w:pStyle w:val="ListBullet"/>
        <w:spacing w:after="30" w:line="245" w:lineRule="auto"/>
        <w:ind w:left="288" w:hanging="173"/>
      </w:pPr>
      <w:r>
        <w:rPr>
          <w:rFonts w:ascii="Arial" w:hAnsi="Arial" w:eastAsia="Arial"/>
          <w:sz w:val="19"/>
        </w:rPr>
        <w:t>CBT-I requires assessment, monitoring, and correct implementation; sleep hygiene education may be helpful but is usually insufficient by itself for chronic insomnia.</w:t>
      </w:r>
    </w:p>
    <w:p>
      <w:pPr>
        <w:pStyle w:val="ListBullet"/>
        <w:spacing w:after="30" w:line="245" w:lineRule="auto"/>
        <w:ind w:left="288" w:hanging="173"/>
      </w:pPr>
      <w:r>
        <w:rPr>
          <w:rFonts w:ascii="Arial" w:hAnsi="Arial" w:eastAsia="Arial"/>
          <w:sz w:val="19"/>
        </w:rPr>
        <w:t>When symptoms suggest mania, psychosis, substance withdrawal, neurological change, or medical instability, assessment and coordinated care take priority over routine outpatient technique delivery.</w:t>
      </w:r>
    </w:p>
    <w:tbl>
      <w:tblPr>
        <w:tblW w:type="auto" w:w="0"/>
        <w:jc w:val="center"/>
        <w:tblLayout w:type="fixed"/>
        <w:tblLook w:firstColumn="1" w:firstRow="1" w:lastColumn="0" w:lastRow="0" w:noHBand="0" w:noVBand="1" w:val="04A0"/>
      </w:tblPr>
      <w:tblGrid>
        <w:gridCol w:w="10080"/>
      </w:tblGrid>
      <w:tr>
        <w:tc>
          <w:tcPr>
            <w:tcW w:type="dxa" w:w="10282"/>
            <w:shd w:fill="E8F5F5"/>
            <w:tcMar>
              <w:top w:w="85" w:type="dxa"/>
              <w:start w:w="105" w:type="dxa"/>
              <w:bottom w:w="85" w:type="dxa"/>
              <w:end w:w="105" w:type="dxa"/>
            </w:tcMar>
            <w:tcBorders>
              <w:top w:val="single" w:sz="8" w:color="159C9C"/>
              <w:left w:val="single" w:sz="8" w:color="159C9C"/>
              <w:bottom w:val="single" w:sz="8" w:color="159C9C"/>
              <w:right w:val="single" w:sz="8" w:color="159C9C"/>
            </w:tcBorders>
          </w:tcPr>
          <w:p>
            <w:pPr>
              <w:spacing w:after="40"/>
            </w:pPr>
            <w:r>
              <w:rPr>
                <w:rFonts w:ascii="Arial" w:hAnsi="Arial" w:eastAsia="Arial"/>
                <w:b/>
                <w:color w:val="159C9C"/>
                <w:sz w:val="18"/>
              </w:rPr>
              <w:t>EXAM TIP</w:t>
            </w:r>
          </w:p>
          <w:p>
            <w:pPr>
              <w:spacing w:after="0" w:line="245" w:lineRule="auto"/>
            </w:pPr>
            <w:r>
              <w:rPr>
                <w:rFonts w:ascii="Arial" w:hAnsi="Arial" w:eastAsia="Arial"/>
                <w:color w:val="1F2937"/>
                <w:sz w:val="18"/>
              </w:rPr>
              <w:t>When two interventions are both supported, choose the one that most directly targets the identified mechanism and can be delivered safely, collaboratively, and competently at the client’s current level of readiness.</w:t>
            </w:r>
          </w:p>
        </w:tc>
      </w:tr>
    </w:tbl>
    <w:p>
      <w:pPr>
        <w:spacing w:after="0"/>
      </w:pPr>
    </w:p>
    <w:p>
      <w:pPr>
        <w:pStyle w:val="Heading2"/>
        <w:keepNext/>
        <w:keepNext/>
      </w:pPr>
      <w:r>
        <w:rPr>
          <w:rFonts w:ascii="Arial" w:hAnsi="Arial" w:eastAsia="Arial"/>
        </w:rPr>
        <w:t>Clinical Resource Toolkit: DOSE Symptom-to-Intervention Map</w:t>
      </w:r>
    </w:p>
    <w:p>
      <w:pPr>
        <w:spacing w:after="60"/>
      </w:pPr>
      <w:r>
        <w:rPr>
          <w:rFonts w:ascii="Arial" w:hAnsi="Arial" w:eastAsia="Arial"/>
          <w:i/>
          <w:color w:val="17365D"/>
          <w:sz w:val="18"/>
        </w:rPr>
        <w:t>Translate one presenting concern into a mechanism-focused, measurable intervention plan.</w:t>
      </w:r>
    </w:p>
    <w:tbl>
      <w:tblPr>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trPr>
        <w:tc>
          <w:tcPr>
            <w:tcW w:type="dxa" w:w="1512"/>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Target</w:t>
            </w:r>
          </w:p>
        </w:tc>
        <w:tc>
          <w:tcPr>
            <w:tcW w:type="dxa" w:w="1800"/>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Maintaining process</w:t>
            </w:r>
          </w:p>
        </w:tc>
        <w:tc>
          <w:tcPr>
            <w:tcW w:type="dxa" w:w="1872"/>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Selected intervention</w:t>
            </w:r>
          </w:p>
        </w:tc>
        <w:tc>
          <w:tcPr>
            <w:tcW w:type="dxa" w:w="1800"/>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First practice task</w:t>
            </w:r>
          </w:p>
        </w:tc>
        <w:tc>
          <w:tcPr>
            <w:tcW w:type="dxa" w:w="1656"/>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Barrier / accommodation</w:t>
            </w:r>
          </w:p>
        </w:tc>
        <w:tc>
          <w:tcPr>
            <w:tcW w:type="dxa" w:w="1440"/>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Measure / review date</w:t>
            </w:r>
          </w:p>
        </w:tc>
      </w:tr>
      <w:tr>
        <w:trPr>
          <w:cantSplit/>
          <w:trHeight w:val="504"/>
        </w:trPr>
        <w:tc>
          <w:tcPr>
            <w:tcW w:type="dxa" w:w="151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80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87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80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65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44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r>
      <w:tr>
        <w:trPr>
          <w:cantSplit/>
          <w:trHeight w:val="504"/>
        </w:trPr>
        <w:tc>
          <w:tcPr>
            <w:tcW w:type="dxa" w:w="1512"/>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80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872"/>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80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65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44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r>
      <w:tr>
        <w:trPr>
          <w:cantSplit/>
          <w:trHeight w:val="504"/>
        </w:trPr>
        <w:tc>
          <w:tcPr>
            <w:tcW w:type="dxa" w:w="151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80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87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80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65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44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r>
      <w:tr>
        <w:trPr>
          <w:cantSplit/>
          <w:trHeight w:val="504"/>
        </w:trPr>
        <w:tc>
          <w:tcPr>
            <w:tcW w:type="dxa" w:w="1512"/>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80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872"/>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80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65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44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r>
      <w:tr>
        <w:trPr>
          <w:cantSplit/>
          <w:trHeight w:val="504"/>
        </w:trPr>
        <w:tc>
          <w:tcPr>
            <w:tcW w:type="dxa" w:w="151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80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87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80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65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44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r>
    </w:tbl>
    <w:p>
      <w:pPr>
        <w:spacing w:after="0"/>
      </w:pPr>
    </w:p>
    <w:p>
      <w:pPr>
        <w:pStyle w:val="Heading2"/>
        <w:keepNext/>
        <w:keepNext/>
      </w:pPr>
      <w:r>
        <w:rPr>
          <w:rFonts w:ascii="Arial" w:hAnsi="Arial" w:eastAsia="Arial"/>
        </w:rPr>
        <w:t>Chapter Summary</w:t>
      </w:r>
    </w:p>
    <w:p>
      <w:pPr>
        <w:pStyle w:val="ListBullet"/>
        <w:spacing w:after="30" w:line="245" w:lineRule="auto"/>
        <w:ind w:left="288" w:hanging="173"/>
      </w:pPr>
      <w:r>
        <w:rPr>
          <w:rFonts w:ascii="Arial" w:hAnsi="Arial" w:eastAsia="Arial"/>
          <w:sz w:val="19"/>
        </w:rPr>
        <w:t>Behavioral activation targets withdrawal and reduced reinforcement in depression.</w:t>
      </w:r>
    </w:p>
    <w:p>
      <w:pPr>
        <w:pStyle w:val="ListBullet"/>
        <w:spacing w:after="30" w:line="245" w:lineRule="auto"/>
        <w:ind w:left="288" w:hanging="173"/>
      </w:pPr>
      <w:r>
        <w:rPr>
          <w:rFonts w:ascii="Arial" w:hAnsi="Arial" w:eastAsia="Arial"/>
          <w:sz w:val="19"/>
        </w:rPr>
        <w:t>Exposure-based methods target avoidance; ERP also blocks rituals and neutralizing responses.</w:t>
      </w:r>
    </w:p>
    <w:p>
      <w:pPr>
        <w:pStyle w:val="ListBullet"/>
        <w:spacing w:after="30" w:line="245" w:lineRule="auto"/>
        <w:ind w:left="288" w:hanging="173"/>
      </w:pPr>
      <w:r>
        <w:rPr>
          <w:rFonts w:ascii="Arial" w:hAnsi="Arial" w:eastAsia="Arial"/>
          <w:sz w:val="19"/>
        </w:rPr>
        <w:t>Panic treatment often includes interoceptive and situational exposure with reduction of safety behaviors.</w:t>
      </w:r>
    </w:p>
    <w:p>
      <w:pPr>
        <w:pStyle w:val="ListBullet"/>
        <w:spacing w:after="30" w:line="245" w:lineRule="auto"/>
        <w:ind w:left="288" w:hanging="173"/>
      </w:pPr>
      <w:r>
        <w:rPr>
          <w:rFonts w:ascii="Arial" w:hAnsi="Arial" w:eastAsia="Arial"/>
          <w:sz w:val="19"/>
        </w:rPr>
        <w:t>CBT-I is structured and assessment-based; sleep hygiene alone is not equivalent to CBT-I.</w:t>
      </w:r>
    </w:p>
    <w:p>
      <w:pPr>
        <w:pStyle w:val="ListBullet"/>
        <w:spacing w:after="30" w:line="245" w:lineRule="auto"/>
        <w:ind w:left="288" w:hanging="173"/>
      </w:pPr>
      <w:r>
        <w:rPr>
          <w:rFonts w:ascii="Arial" w:hAnsi="Arial" w:eastAsia="Arial"/>
          <w:sz w:val="19"/>
        </w:rPr>
        <w:t>Medical, substance-related, bipolar, psychotic, and cognitive red flags can change the intervention sequence.</w:t>
      </w:r>
    </w:p>
    <w:tbl>
      <w:tblPr>
        <w:tblW w:type="auto" w:w="0"/>
        <w:jc w:val="center"/>
        <w:tblLayout w:type="fixed"/>
        <w:tblLook w:firstColumn="1" w:firstRow="1" w:lastColumn="0" w:lastRow="0" w:noHBand="0" w:noVBand="1" w:val="04A0"/>
      </w:tblPr>
      <w:tblGrid>
        <w:gridCol w:w="10080"/>
      </w:tblGrid>
      <w:tr>
        <w:tc>
          <w:tcPr>
            <w:tcW w:type="dxa" w:w="10282"/>
            <w:shd w:fill="FFF7D6"/>
            <w:tcMar>
              <w:top w:w="85" w:type="dxa"/>
              <w:start w:w="105" w:type="dxa"/>
              <w:bottom w:w="85" w:type="dxa"/>
              <w:end w:w="105" w:type="dxa"/>
            </w:tcMar>
            <w:tcBorders>
              <w:top w:val="single" w:sz="8" w:color="D6B656"/>
              <w:left w:val="single" w:sz="8" w:color="D6B656"/>
              <w:bottom w:val="single" w:sz="8" w:color="D6B656"/>
              <w:right w:val="single" w:sz="8" w:color="D6B656"/>
            </w:tcBorders>
          </w:tcPr>
          <w:p>
            <w:pPr>
              <w:spacing w:after="40"/>
            </w:pPr>
            <w:r>
              <w:rPr>
                <w:rFonts w:ascii="Arial" w:hAnsi="Arial" w:eastAsia="Arial"/>
                <w:b/>
                <w:color w:val="17365D"/>
                <w:sz w:val="18"/>
              </w:rPr>
              <w:t>EXAM RULE</w:t>
            </w:r>
          </w:p>
          <w:p>
            <w:pPr>
              <w:spacing w:after="0" w:line="245" w:lineRule="auto"/>
            </w:pPr>
            <w:r>
              <w:rPr>
                <w:rFonts w:ascii="Arial" w:hAnsi="Arial" w:eastAsia="Arial"/>
                <w:color w:val="1F2937"/>
                <w:sz w:val="18"/>
              </w:rPr>
              <w:t>Choose the intervention that best fits the current target, available evidence, client readiness and preference, setting, counselor competence, and measurable next step. A famous technique is not automatically the best answer.</w:t>
            </w:r>
          </w:p>
        </w:tc>
      </w:tr>
    </w:tbl>
    <w:p>
      <w:pPr>
        <w:spacing w:after="0"/>
      </w:pPr>
    </w:p>
    <w:p>
      <w:r>
        <w:rPr>
          <w:rFonts w:ascii="Arial" w:hAnsi="Arial" w:eastAsia="Arial"/>
        </w:rPr>
        <w:br w:type="page"/>
      </w:r>
    </w:p>
    <w:tbl>
      <w:tblPr>
        <w:tblW w:type="auto" w:w="0"/>
        <w:jc w:val="center"/>
        <w:tblLayout w:type="fixed"/>
        <w:tblLook w:firstColumn="1" w:firstRow="1" w:lastColumn="0" w:lastRow="0" w:noHBand="0" w:noVBand="1" w:val="04A0"/>
      </w:tblPr>
      <w:tblGrid>
        <w:gridCol w:w="5141"/>
        <w:gridCol w:w="5141"/>
      </w:tblGrid>
      <w:tr>
        <w:tc>
          <w:tcPr>
            <w:tcW w:type="dxa" w:w="864"/>
            <w:shd w:fill="17365D"/>
            <w:tcMar>
              <w:top w:w="50" w:type="dxa"/>
              <w:start w:w="80" w:type="dxa"/>
              <w:bottom w:w="50" w:type="dxa"/>
              <w:end w:w="80" w:type="dxa"/>
            </w:tcMar>
            <w:tcBorders>
              <w:top w:val="nil"/>
              <w:left w:val="nil"/>
              <w:bottom w:val="nil"/>
              <w:right w:val="nil"/>
            </w:tcBorders>
          </w:tcPr>
          <w:p>
            <w:pPr>
              <w:jc w:val="center"/>
            </w:pPr>
            <w:r>
              <w:rPr>
                <w:rFonts w:ascii="Arial" w:hAnsi="Arial" w:eastAsia="Arial"/>
                <w:b/>
                <w:color w:val="FFFFFF"/>
                <w:sz w:val="26"/>
              </w:rPr>
              <w:t>3</w:t>
            </w:r>
          </w:p>
        </w:tc>
        <w:tc>
          <w:tcPr>
            <w:tcW w:type="dxa" w:w="9216"/>
            <w:shd w:fill="17365D"/>
            <w:tcMar>
              <w:top w:w="50" w:type="dxa"/>
              <w:start w:w="80" w:type="dxa"/>
              <w:bottom w:w="50" w:type="dxa"/>
              <w:end w:w="80" w:type="dxa"/>
            </w:tcMar>
            <w:tcBorders>
              <w:top w:val="nil"/>
              <w:left w:val="nil"/>
              <w:bottom w:val="nil"/>
              <w:right w:val="nil"/>
            </w:tcBorders>
          </w:tcPr>
          <w:p>
            <w:r>
              <w:rPr>
                <w:rFonts w:ascii="Arial" w:hAnsi="Arial" w:eastAsia="Arial"/>
                <w:b/>
                <w:color w:val="FFFFFF"/>
                <w:sz w:val="24"/>
              </w:rPr>
              <w:t>Trauma, Grief, and Emotion-Regulation Interventions</w:t>
            </w:r>
          </w:p>
        </w:tc>
      </w:tr>
      <w:tr>
        <w:tc>
          <w:tcPr>
            <w:tcW w:type="dxa" w:w="10080"/>
            <w:gridSpan w:val="2"/>
            <w:shd w:fill="EAF1F8"/>
            <w:tcMar>
              <w:top w:w="55" w:type="dxa"/>
              <w:start w:w="90" w:type="dxa"/>
              <w:bottom w:w="55" w:type="dxa"/>
              <w:end w:w="90" w:type="dxa"/>
            </w:tcMar>
            <w:tcBorders>
              <w:left w:val="single" w:sz="6" w:color="159C9C"/>
              <w:bottom w:val="single" w:sz="6" w:color="159C9C"/>
              <w:right w:val="single" w:sz="6" w:color="159C9C"/>
            </w:tcBorders>
          </w:tcPr>
          <w:p>
            <w:r>
              <w:rPr>
                <w:rFonts w:ascii="Arial" w:hAnsi="Arial" w:eastAsia="Arial"/>
                <w:i/>
                <w:color w:val="17365D"/>
                <w:sz w:val="18"/>
              </w:rPr>
              <w:t>Balance safety, consent, pacing, skill development, and trauma- or grief-focused work without turning stabilization into indefinite avoidance.</w:t>
            </w:r>
          </w:p>
        </w:tc>
      </w:tr>
    </w:tbl>
    <w:p>
      <w:pPr>
        <w:spacing w:after="0"/>
      </w:pPr>
    </w:p>
    <w:p>
      <w:pPr>
        <w:spacing w:before="0" w:after="80" w:line="252" w:lineRule="auto"/>
      </w:pPr>
      <w:r>
        <w:rPr>
          <w:rFonts w:ascii="Arial" w:hAnsi="Arial" w:eastAsia="Arial"/>
          <w:b w:val="0"/>
          <w:i w:val="0"/>
          <w:sz w:val="19"/>
        </w:rPr>
        <w:t>Trauma-informed care is broader than trauma-focused treatment. Trauma-informed care shapes safety, collaboration, choice, trust, and attention to power across services. Trauma-focused treatment deliberately addresses traumatic memories, meanings, avoidance, or related symptoms. A client can benefit from trauma-informed care even when trauma-focused treatment is not yet indicated, desired, or within the counselor’s competence.</w:t>
      </w:r>
    </w:p>
    <w:p>
      <w:pPr>
        <w:pStyle w:val="Heading2"/>
        <w:keepNext/>
      </w:pPr>
      <w:r>
        <w:rPr>
          <w:rFonts w:ascii="Arial" w:hAnsi="Arial" w:eastAsia="Arial"/>
        </w:rPr>
        <w:t>Intervention Families and Their Exam Uses</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944"/>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Need</w:t>
            </w:r>
          </w:p>
        </w:tc>
        <w:tc>
          <w:tcPr>
            <w:tcW w:type="dxa" w:w="4032"/>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Possible Interventions</w:t>
            </w:r>
          </w:p>
        </w:tc>
        <w:tc>
          <w:tcPr>
            <w:tcW w:type="dxa" w:w="4104"/>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Selection and Sequencing Notes</w:t>
            </w:r>
          </w:p>
        </w:tc>
      </w:tr>
      <w:tr>
        <w:trPr>
          <w:cantSplit/>
        </w:trPr>
        <w:tc>
          <w:tcPr>
            <w:tcW w:type="dxa" w:w="194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Posttraumatic stress symptoms</w:t>
            </w:r>
          </w:p>
        </w:tc>
        <w:tc>
          <w:tcPr>
            <w:tcW w:type="dxa" w:w="403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Cognitive Processing Therapy, Prolonged Exposure, EMDR, trauma-focused CBT approaches, psychoeducation, sleep and coping support</w:t>
            </w:r>
          </w:p>
        </w:tc>
        <w:tc>
          <w:tcPr>
            <w:tcW w:type="dxa" w:w="410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Use a validated trauma-focused approach when indicated, acceptable, feasible, and within competence; do not force detailed processing before consent and preparation.</w:t>
            </w:r>
          </w:p>
        </w:tc>
      </w:tr>
      <w:tr>
        <w:trPr>
          <w:cantSplit/>
        </w:trPr>
        <w:tc>
          <w:tcPr>
            <w:tcW w:type="dxa" w:w="1944"/>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Acute posttrauma response</w:t>
            </w:r>
          </w:p>
        </w:tc>
        <w:tc>
          <w:tcPr>
            <w:tcW w:type="dxa" w:w="4032"/>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Practical support, safety, stabilization, psychoeducation, connection, monitoring, and indicated referral</w:t>
            </w:r>
          </w:p>
        </w:tc>
        <w:tc>
          <w:tcPr>
            <w:tcW w:type="dxa" w:w="4104"/>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Avoid compulsory emotional debriefing or assuming a disorder immediately after trauma.</w:t>
            </w:r>
          </w:p>
        </w:tc>
      </w:tr>
      <w:tr>
        <w:trPr>
          <w:cantSplit/>
        </w:trPr>
        <w:tc>
          <w:tcPr>
            <w:tcW w:type="dxa" w:w="194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Emotion dysregulation</w:t>
            </w:r>
          </w:p>
        </w:tc>
        <w:tc>
          <w:tcPr>
            <w:tcW w:type="dxa" w:w="403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DBT-informed mindfulness, distress tolerance, emotion-regulation, interpersonal-effectiveness, and chain-analysis skills; ACT processes</w:t>
            </w:r>
          </w:p>
        </w:tc>
        <w:tc>
          <w:tcPr>
            <w:tcW w:type="dxa" w:w="410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Skills can increase safety and participation, but should not become a permanent substitute for treating the central problem.</w:t>
            </w:r>
          </w:p>
        </w:tc>
      </w:tr>
      <w:tr>
        <w:trPr>
          <w:cantSplit/>
        </w:trPr>
        <w:tc>
          <w:tcPr>
            <w:tcW w:type="dxa" w:w="1944"/>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Grief and bereavement</w:t>
            </w:r>
          </w:p>
        </w:tc>
        <w:tc>
          <w:tcPr>
            <w:tcW w:type="dxa" w:w="4032"/>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Supportive counseling, meaning-making, restoration-oriented tasks, rituals, connection, and grief-focused treatment when persistent impairment is present</w:t>
            </w:r>
          </w:p>
        </w:tc>
        <w:tc>
          <w:tcPr>
            <w:tcW w:type="dxa" w:w="4104"/>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Do not pathologize expected cultural or spiritual grief expressions; assess suicide risk, trauma, depression, substance use, and prolonged impairment separately.</w:t>
            </w:r>
          </w:p>
        </w:tc>
      </w:tr>
      <w:tr>
        <w:trPr>
          <w:cantSplit/>
        </w:trPr>
        <w:tc>
          <w:tcPr>
            <w:tcW w:type="dxa" w:w="194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Dissociation or overwhelm</w:t>
            </w:r>
          </w:p>
        </w:tc>
        <w:tc>
          <w:tcPr>
            <w:tcW w:type="dxa" w:w="403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Grounding, present-orientation, pacing, stabilization, environmental support, and specialist consultation when indicated</w:t>
            </w:r>
          </w:p>
        </w:tc>
        <w:tc>
          <w:tcPr>
            <w:tcW w:type="dxa" w:w="410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Differentiate grounding from avoidance; severe or complex presentations may require specialized assessment and treatment.</w:t>
            </w:r>
          </w:p>
        </w:tc>
      </w:tr>
    </w:tbl>
    <w:p>
      <w:pPr>
        <w:spacing w:after="0"/>
      </w:pPr>
    </w:p>
    <w:p>
      <w:pPr>
        <w:pStyle w:val="Heading2"/>
        <w:keepNext/>
      </w:pPr>
      <w:r>
        <w:rPr>
          <w:rFonts w:ascii="Arial" w:hAnsi="Arial" w:eastAsia="Arial"/>
        </w:rPr>
        <w:t>The PHASE Sequence</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376"/>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Step</w:t>
            </w:r>
          </w:p>
        </w:tc>
        <w:tc>
          <w:tcPr>
            <w:tcW w:type="dxa" w:w="7704"/>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Clinical Question</w:t>
            </w:r>
          </w:p>
        </w:tc>
      </w:tr>
      <w:tr>
        <w:trPr>
          <w:cantSplit/>
        </w:trPr>
        <w:tc>
          <w:tcPr>
            <w:tcW w:type="dxa" w:w="237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P - Protect and orient</w:t>
            </w:r>
          </w:p>
        </w:tc>
        <w:tc>
          <w:tcPr>
            <w:tcW w:type="dxa" w:w="770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Are immediate safety, medical, substance, environmental, or stabilization needs addressed?</w:t>
            </w:r>
          </w:p>
        </w:tc>
      </w:tr>
      <w:tr>
        <w:trPr>
          <w:cantSplit/>
        </w:trPr>
        <w:tc>
          <w:tcPr>
            <w:tcW w:type="dxa" w:w="237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H - Honor choice and pacing</w:t>
            </w:r>
          </w:p>
        </w:tc>
        <w:tc>
          <w:tcPr>
            <w:tcW w:type="dxa" w:w="7704"/>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Does the client understand options and consent to the current task?</w:t>
            </w:r>
          </w:p>
        </w:tc>
      </w:tr>
      <w:tr>
        <w:trPr>
          <w:cantSplit/>
        </w:trPr>
        <w:tc>
          <w:tcPr>
            <w:tcW w:type="dxa" w:w="237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A - Apply preparatory skills</w:t>
            </w:r>
          </w:p>
        </w:tc>
        <w:tc>
          <w:tcPr>
            <w:tcW w:type="dxa" w:w="770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What grounding, emotion-regulation, sleep, support, or coping skills are needed to participate?</w:t>
            </w:r>
          </w:p>
        </w:tc>
      </w:tr>
      <w:tr>
        <w:trPr>
          <w:cantSplit/>
        </w:trPr>
        <w:tc>
          <w:tcPr>
            <w:tcW w:type="dxa" w:w="237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S - Select focused work</w:t>
            </w:r>
          </w:p>
        </w:tc>
        <w:tc>
          <w:tcPr>
            <w:tcW w:type="dxa" w:w="7704"/>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Which trauma-, grief-, or emotion-focused intervention best matches the target and client preference?</w:t>
            </w:r>
          </w:p>
        </w:tc>
      </w:tr>
      <w:tr>
        <w:trPr>
          <w:cantSplit/>
        </w:trPr>
        <w:tc>
          <w:tcPr>
            <w:tcW w:type="dxa" w:w="237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E - Evaluate integration</w:t>
            </w:r>
          </w:p>
        </w:tc>
        <w:tc>
          <w:tcPr>
            <w:tcW w:type="dxa" w:w="770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Are symptoms, functioning, avoidance, safety, and daily-life participation improving?</w:t>
            </w:r>
          </w:p>
        </w:tc>
      </w:tr>
    </w:tbl>
    <w:p>
      <w:pPr>
        <w:spacing w:after="0"/>
      </w:pPr>
    </w:p>
    <w:p>
      <w:pPr>
        <w:pStyle w:val="Heading2"/>
        <w:keepNext/>
      </w:pPr>
      <w:r>
        <w:rPr>
          <w:rFonts w:ascii="Arial" w:hAnsi="Arial" w:eastAsia="Arial"/>
        </w:rPr>
        <w:t>Stabilization: Necessary, but Not Endless</w:t>
      </w:r>
    </w:p>
    <w:p>
      <w:pPr>
        <w:spacing w:before="0" w:after="80" w:line="252" w:lineRule="auto"/>
      </w:pPr>
      <w:r>
        <w:rPr>
          <w:rFonts w:ascii="Arial" w:hAnsi="Arial" w:eastAsia="Arial"/>
          <w:b w:val="0"/>
          <w:i w:val="0"/>
          <w:sz w:val="19"/>
        </w:rPr>
        <w:t>Stabilization is appropriate when the client is acutely unsafe, intoxicated, medically unstable, unable to remain oriented, or lacks the minimum support and skills needed to participate. It becomes counterproductive when the counselor repeatedly postpones indicated treatment despite adequate safety, readiness, informed consent, and support. The exam may test both errors: moving too fast and never moving forward.</w:t>
      </w:r>
    </w:p>
    <w:p>
      <w:pPr>
        <w:pStyle w:val="Heading2"/>
        <w:keepNext/>
      </w:pPr>
      <w:r>
        <w:rPr>
          <w:rFonts w:ascii="Arial" w:hAnsi="Arial" w:eastAsia="Arial"/>
        </w:rPr>
        <w:t>Mindfulness, ACT, and DBT Skills</w:t>
      </w:r>
    </w:p>
    <w:p>
      <w:pPr>
        <w:pStyle w:val="ListBullet"/>
        <w:spacing w:after="30" w:line="245" w:lineRule="auto"/>
        <w:ind w:left="288" w:hanging="173"/>
      </w:pPr>
      <w:r>
        <w:rPr>
          <w:rFonts w:ascii="Arial" w:hAnsi="Arial" w:eastAsia="Arial"/>
          <w:sz w:val="19"/>
        </w:rPr>
        <w:t>Mindfulness-based methods build nonjudgmental awareness; they are not simply relaxation and may need adaptation when internal focus intensifies distress or dissociation.</w:t>
      </w:r>
    </w:p>
    <w:p>
      <w:pPr>
        <w:pStyle w:val="ListBullet"/>
        <w:spacing w:after="30" w:line="245" w:lineRule="auto"/>
        <w:ind w:left="288" w:hanging="173"/>
      </w:pPr>
      <w:r>
        <w:rPr>
          <w:rFonts w:ascii="Arial" w:hAnsi="Arial" w:eastAsia="Arial"/>
          <w:sz w:val="19"/>
        </w:rPr>
        <w:t>ACT emphasizes openness to internal experience, present-moment awareness, values, and committed action rather than making symptom elimination the only goal.</w:t>
      </w:r>
    </w:p>
    <w:p>
      <w:pPr>
        <w:pStyle w:val="ListBullet"/>
        <w:spacing w:after="30" w:line="245" w:lineRule="auto"/>
        <w:ind w:left="288" w:hanging="173"/>
      </w:pPr>
      <w:r>
        <w:rPr>
          <w:rFonts w:ascii="Arial" w:hAnsi="Arial" w:eastAsia="Arial"/>
          <w:sz w:val="19"/>
        </w:rPr>
        <w:t>DBT skills may support crisis survival, emotion regulation, relationships, and treatment participation; comprehensive DBT is a structured model requiring appropriate training and program elements.</w:t>
      </w:r>
    </w:p>
    <w:p>
      <w:pPr>
        <w:pStyle w:val="ListBullet"/>
        <w:spacing w:after="30" w:line="245" w:lineRule="auto"/>
        <w:ind w:left="288" w:hanging="173"/>
      </w:pPr>
      <w:r>
        <w:rPr>
          <w:rFonts w:ascii="Arial" w:hAnsi="Arial" w:eastAsia="Arial"/>
          <w:sz w:val="19"/>
        </w:rPr>
        <w:t>Homework should be collaboratively designed, feasible, reviewed, and linked to the treatment mechanism. Noncompletion is data about fit, barriers, understanding, readiness, or alliance—not proof of resistance.</w:t>
      </w:r>
    </w:p>
    <w:tbl>
      <w:tblPr>
        <w:tblW w:type="auto" w:w="0"/>
        <w:jc w:val="center"/>
        <w:tblLayout w:type="fixed"/>
        <w:tblLook w:firstColumn="1" w:firstRow="1" w:lastColumn="0" w:lastRow="0" w:noHBand="0" w:noVBand="1" w:val="04A0"/>
      </w:tblPr>
      <w:tblGrid>
        <w:gridCol w:w="10080"/>
      </w:tblGrid>
      <w:tr>
        <w:tc>
          <w:tcPr>
            <w:tcW w:type="dxa" w:w="10282"/>
            <w:shd w:fill="FCE8E6"/>
            <w:tcMar>
              <w:top w:w="85" w:type="dxa"/>
              <w:start w:w="105" w:type="dxa"/>
              <w:bottom w:w="85" w:type="dxa"/>
              <w:end w:w="105" w:type="dxa"/>
            </w:tcMar>
            <w:tcBorders>
              <w:top w:val="single" w:sz="8" w:color="C95F54"/>
              <w:left w:val="single" w:sz="8" w:color="C95F54"/>
              <w:bottom w:val="single" w:sz="8" w:color="C95F54"/>
              <w:right w:val="single" w:sz="8" w:color="C95F54"/>
            </w:tcBorders>
          </w:tcPr>
          <w:p>
            <w:pPr>
              <w:spacing w:after="40"/>
            </w:pPr>
            <w:r>
              <w:rPr>
                <w:rFonts w:ascii="Arial" w:hAnsi="Arial" w:eastAsia="Arial"/>
                <w:b/>
                <w:color w:val="A1372E"/>
                <w:sz w:val="18"/>
              </w:rPr>
              <w:t>COMMON TRAP</w:t>
            </w:r>
          </w:p>
          <w:p>
            <w:pPr>
              <w:spacing w:after="0" w:line="245" w:lineRule="auto"/>
            </w:pPr>
            <w:r>
              <w:rPr>
                <w:rFonts w:ascii="Arial" w:hAnsi="Arial" w:eastAsia="Arial"/>
                <w:color w:val="1F2937"/>
                <w:sz w:val="18"/>
              </w:rPr>
              <w:t>Do not confuse grounding with permanent avoidance, validation with agreement that the client is helpless, or emotion-regulation skills with complete treatment of PTSD, prolonged grief, or another primary condition.</w:t>
            </w:r>
          </w:p>
        </w:tc>
      </w:tr>
    </w:tbl>
    <w:p>
      <w:pPr>
        <w:spacing w:after="0"/>
      </w:pPr>
    </w:p>
    <w:p>
      <w:pPr>
        <w:pStyle w:val="Heading2"/>
        <w:keepNext/>
        <w:keepNext/>
      </w:pPr>
      <w:r>
        <w:rPr>
          <w:rFonts w:ascii="Arial" w:hAnsi="Arial" w:eastAsia="Arial"/>
        </w:rPr>
        <w:t>Clinical Resource Toolkit: PHASE Trauma, Grief, and Regulation Planner</w:t>
      </w:r>
    </w:p>
    <w:p>
      <w:pPr>
        <w:spacing w:after="60"/>
      </w:pPr>
      <w:r>
        <w:rPr>
          <w:rFonts w:ascii="Arial" w:hAnsi="Arial" w:eastAsia="Arial"/>
          <w:i/>
          <w:color w:val="17365D"/>
          <w:sz w:val="18"/>
        </w:rPr>
        <w:t>Use this worksheet to decide whether the next step is stabilization, skill preparation, focused treatment, or specialty referral.</w:t>
      </w:r>
    </w:p>
    <w:tbl>
      <w:tblPr>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trPr>
        <w:tc>
          <w:tcPr>
            <w:tcW w:type="dxa" w:w="1656"/>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Safety / orientation</w:t>
            </w:r>
          </w:p>
        </w:tc>
        <w:tc>
          <w:tcPr>
            <w:tcW w:type="dxa" w:w="1656"/>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Client preference</w:t>
            </w:r>
          </w:p>
        </w:tc>
        <w:tc>
          <w:tcPr>
            <w:tcW w:type="dxa" w:w="1728"/>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Preparatory skills</w:t>
            </w:r>
          </w:p>
        </w:tc>
        <w:tc>
          <w:tcPr>
            <w:tcW w:type="dxa" w:w="1800"/>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Focused method</w:t>
            </w:r>
          </w:p>
        </w:tc>
        <w:tc>
          <w:tcPr>
            <w:tcW w:type="dxa" w:w="1656"/>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Competence / support</w:t>
            </w:r>
          </w:p>
        </w:tc>
        <w:tc>
          <w:tcPr>
            <w:tcW w:type="dxa" w:w="1584"/>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Outcome / integration</w:t>
            </w:r>
          </w:p>
        </w:tc>
      </w:tr>
      <w:tr>
        <w:trPr>
          <w:cantSplit/>
          <w:trHeight w:val="504"/>
        </w:trPr>
        <w:tc>
          <w:tcPr>
            <w:tcW w:type="dxa" w:w="165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65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728"/>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80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65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58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r>
      <w:tr>
        <w:trPr>
          <w:cantSplit/>
          <w:trHeight w:val="504"/>
        </w:trPr>
        <w:tc>
          <w:tcPr>
            <w:tcW w:type="dxa" w:w="165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65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728"/>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80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65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584"/>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r>
      <w:tr>
        <w:trPr>
          <w:cantSplit/>
          <w:trHeight w:val="504"/>
        </w:trPr>
        <w:tc>
          <w:tcPr>
            <w:tcW w:type="dxa" w:w="165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65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728"/>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80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65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58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r>
      <w:tr>
        <w:trPr>
          <w:cantSplit/>
          <w:trHeight w:val="504"/>
        </w:trPr>
        <w:tc>
          <w:tcPr>
            <w:tcW w:type="dxa" w:w="165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65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728"/>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80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65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584"/>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r>
      <w:tr>
        <w:trPr>
          <w:cantSplit/>
          <w:trHeight w:val="504"/>
        </w:trPr>
        <w:tc>
          <w:tcPr>
            <w:tcW w:type="dxa" w:w="165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65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728"/>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80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65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58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r>
    </w:tbl>
    <w:p>
      <w:pPr>
        <w:spacing w:after="0"/>
      </w:pPr>
    </w:p>
    <w:p>
      <w:pPr>
        <w:pStyle w:val="Heading2"/>
        <w:keepNext/>
        <w:keepNext/>
      </w:pPr>
      <w:r>
        <w:rPr>
          <w:rFonts w:ascii="Arial" w:hAnsi="Arial" w:eastAsia="Arial"/>
        </w:rPr>
        <w:t>Chapter Summary</w:t>
      </w:r>
    </w:p>
    <w:p>
      <w:pPr>
        <w:pStyle w:val="ListBullet"/>
        <w:spacing w:after="30" w:line="245" w:lineRule="auto"/>
        <w:ind w:left="288" w:hanging="173"/>
      </w:pPr>
      <w:r>
        <w:rPr>
          <w:rFonts w:ascii="Arial" w:hAnsi="Arial" w:eastAsia="Arial"/>
          <w:sz w:val="19"/>
        </w:rPr>
        <w:t>Trauma-informed care and trauma-focused treatment are related but not identical.</w:t>
      </w:r>
    </w:p>
    <w:p>
      <w:pPr>
        <w:pStyle w:val="ListBullet"/>
        <w:spacing w:after="30" w:line="245" w:lineRule="auto"/>
        <w:ind w:left="288" w:hanging="173"/>
      </w:pPr>
      <w:r>
        <w:rPr>
          <w:rFonts w:ascii="Arial" w:hAnsi="Arial" w:eastAsia="Arial"/>
          <w:sz w:val="19"/>
        </w:rPr>
        <w:t>Use safety, consent, readiness, and competence to determine the phase and intensity of care.</w:t>
      </w:r>
    </w:p>
    <w:p>
      <w:pPr>
        <w:pStyle w:val="ListBullet"/>
        <w:spacing w:after="30" w:line="245" w:lineRule="auto"/>
        <w:ind w:left="288" w:hanging="173"/>
      </w:pPr>
      <w:r>
        <w:rPr>
          <w:rFonts w:ascii="Arial" w:hAnsi="Arial" w:eastAsia="Arial"/>
          <w:sz w:val="19"/>
        </w:rPr>
        <w:t>Grief support should be culturally responsive and should not automatically pathologize expected mourning.</w:t>
      </w:r>
    </w:p>
    <w:p>
      <w:pPr>
        <w:pStyle w:val="ListBullet"/>
        <w:spacing w:after="30" w:line="245" w:lineRule="auto"/>
        <w:ind w:left="288" w:hanging="173"/>
      </w:pPr>
      <w:r>
        <w:rPr>
          <w:rFonts w:ascii="Arial" w:hAnsi="Arial" w:eastAsia="Arial"/>
          <w:sz w:val="19"/>
        </w:rPr>
        <w:t>ACT, mindfulness, and DBT skills are selected for a defined purpose and monitored for fit.</w:t>
      </w:r>
    </w:p>
    <w:p>
      <w:pPr>
        <w:pStyle w:val="ListBullet"/>
        <w:spacing w:after="30" w:line="245" w:lineRule="auto"/>
        <w:ind w:left="288" w:hanging="173"/>
      </w:pPr>
      <w:r>
        <w:rPr>
          <w:rFonts w:ascii="Arial" w:hAnsi="Arial" w:eastAsia="Arial"/>
          <w:sz w:val="19"/>
        </w:rPr>
        <w:t>The correct sequence avoids both premature trauma processing and indefinite stabilization.</w:t>
      </w:r>
    </w:p>
    <w:tbl>
      <w:tblPr>
        <w:tblW w:type="auto" w:w="0"/>
        <w:jc w:val="center"/>
        <w:tblLayout w:type="fixed"/>
        <w:tblLook w:firstColumn="1" w:firstRow="1" w:lastColumn="0" w:lastRow="0" w:noHBand="0" w:noVBand="1" w:val="04A0"/>
      </w:tblPr>
      <w:tblGrid>
        <w:gridCol w:w="10080"/>
      </w:tblGrid>
      <w:tr>
        <w:tc>
          <w:tcPr>
            <w:tcW w:type="dxa" w:w="10282"/>
            <w:shd w:fill="FFF7D6"/>
            <w:tcMar>
              <w:top w:w="85" w:type="dxa"/>
              <w:start w:w="105" w:type="dxa"/>
              <w:bottom w:w="85" w:type="dxa"/>
              <w:end w:w="105" w:type="dxa"/>
            </w:tcMar>
            <w:tcBorders>
              <w:top w:val="single" w:sz="8" w:color="D6B656"/>
              <w:left w:val="single" w:sz="8" w:color="D6B656"/>
              <w:bottom w:val="single" w:sz="8" w:color="D6B656"/>
              <w:right w:val="single" w:sz="8" w:color="D6B656"/>
            </w:tcBorders>
          </w:tcPr>
          <w:p>
            <w:pPr>
              <w:spacing w:after="40"/>
            </w:pPr>
            <w:r>
              <w:rPr>
                <w:rFonts w:ascii="Arial" w:hAnsi="Arial" w:eastAsia="Arial"/>
                <w:b/>
                <w:color w:val="17365D"/>
                <w:sz w:val="18"/>
              </w:rPr>
              <w:t>EXAM RULE</w:t>
            </w:r>
          </w:p>
          <w:p>
            <w:pPr>
              <w:spacing w:after="0" w:line="245" w:lineRule="auto"/>
            </w:pPr>
            <w:r>
              <w:rPr>
                <w:rFonts w:ascii="Arial" w:hAnsi="Arial" w:eastAsia="Arial"/>
                <w:color w:val="1F2937"/>
                <w:sz w:val="18"/>
              </w:rPr>
              <w:t>Choose the intervention that best fits the current target, available evidence, client readiness and preference, setting, counselor competence, and measurable next step. A famous technique is not automatically the best answer.</w:t>
            </w:r>
          </w:p>
        </w:tc>
      </w:tr>
    </w:tbl>
    <w:p>
      <w:pPr>
        <w:spacing w:after="0"/>
      </w:pPr>
    </w:p>
    <w:p>
      <w:r>
        <w:rPr>
          <w:rFonts w:ascii="Arial" w:hAnsi="Arial" w:eastAsia="Arial"/>
        </w:rPr>
        <w:br w:type="page"/>
      </w:r>
    </w:p>
    <w:tbl>
      <w:tblPr>
        <w:tblW w:type="auto" w:w="0"/>
        <w:jc w:val="center"/>
        <w:tblLayout w:type="fixed"/>
        <w:tblLook w:firstColumn="1" w:firstRow="1" w:lastColumn="0" w:lastRow="0" w:noHBand="0" w:noVBand="1" w:val="04A0"/>
      </w:tblPr>
      <w:tblGrid>
        <w:gridCol w:w="5141"/>
        <w:gridCol w:w="5141"/>
      </w:tblGrid>
      <w:tr>
        <w:tc>
          <w:tcPr>
            <w:tcW w:type="dxa" w:w="864"/>
            <w:shd w:fill="17365D"/>
            <w:tcMar>
              <w:top w:w="50" w:type="dxa"/>
              <w:start w:w="80" w:type="dxa"/>
              <w:bottom w:w="50" w:type="dxa"/>
              <w:end w:w="80" w:type="dxa"/>
            </w:tcMar>
            <w:tcBorders>
              <w:top w:val="nil"/>
              <w:left w:val="nil"/>
              <w:bottom w:val="nil"/>
              <w:right w:val="nil"/>
            </w:tcBorders>
          </w:tcPr>
          <w:p>
            <w:pPr>
              <w:jc w:val="center"/>
            </w:pPr>
            <w:r>
              <w:rPr>
                <w:rFonts w:ascii="Arial" w:hAnsi="Arial" w:eastAsia="Arial"/>
                <w:b/>
                <w:color w:val="FFFFFF"/>
                <w:sz w:val="26"/>
              </w:rPr>
              <w:t>4</w:t>
            </w:r>
          </w:p>
        </w:tc>
        <w:tc>
          <w:tcPr>
            <w:tcW w:type="dxa" w:w="9216"/>
            <w:shd w:fill="17365D"/>
            <w:tcMar>
              <w:top w:w="50" w:type="dxa"/>
              <w:start w:w="80" w:type="dxa"/>
              <w:bottom w:w="50" w:type="dxa"/>
              <w:end w:w="80" w:type="dxa"/>
            </w:tcMar>
            <w:tcBorders>
              <w:top w:val="nil"/>
              <w:left w:val="nil"/>
              <w:bottom w:val="nil"/>
              <w:right w:val="nil"/>
            </w:tcBorders>
          </w:tcPr>
          <w:p>
            <w:r>
              <w:rPr>
                <w:rFonts w:ascii="Arial" w:hAnsi="Arial" w:eastAsia="Arial"/>
                <w:b/>
                <w:color w:val="FFFFFF"/>
                <w:sz w:val="24"/>
              </w:rPr>
              <w:t>Substance Use, Motivation, and Relapse-Prevention Interventions</w:t>
            </w:r>
          </w:p>
        </w:tc>
      </w:tr>
      <w:tr>
        <w:tc>
          <w:tcPr>
            <w:tcW w:type="dxa" w:w="10080"/>
            <w:gridSpan w:val="2"/>
            <w:shd w:fill="EAF1F8"/>
            <w:tcMar>
              <w:top w:w="55" w:type="dxa"/>
              <w:start w:w="90" w:type="dxa"/>
              <w:bottom w:w="55" w:type="dxa"/>
              <w:end w:w="90" w:type="dxa"/>
            </w:tcMar>
            <w:tcBorders>
              <w:left w:val="single" w:sz="6" w:color="159C9C"/>
              <w:bottom w:val="single" w:sz="6" w:color="159C9C"/>
              <w:right w:val="single" w:sz="6" w:color="159C9C"/>
            </w:tcBorders>
          </w:tcPr>
          <w:p>
            <w:r>
              <w:rPr>
                <w:rFonts w:ascii="Arial" w:hAnsi="Arial" w:eastAsia="Arial"/>
                <w:i/>
                <w:color w:val="17365D"/>
                <w:sz w:val="18"/>
              </w:rPr>
              <w:t>Use engagement, motivation, functional analysis, skills, reinforcement, medication referral, and recovery supports without moralizing or ignoring medical risk.</w:t>
            </w:r>
          </w:p>
        </w:tc>
      </w:tr>
    </w:tbl>
    <w:p>
      <w:pPr>
        <w:spacing w:after="0"/>
      </w:pPr>
    </w:p>
    <w:p>
      <w:pPr>
        <w:spacing w:before="0" w:after="80" w:line="252" w:lineRule="auto"/>
      </w:pPr>
      <w:r>
        <w:rPr>
          <w:rFonts w:ascii="Arial" w:hAnsi="Arial" w:eastAsia="Arial"/>
          <w:b w:val="0"/>
          <w:i w:val="0"/>
          <w:sz w:val="19"/>
        </w:rPr>
        <w:t>Substance-use treatment decisions depend on the substance, pattern, severity, withdrawal risk, co-occurring conditions, motivation, environment, client goals, available services, and counselor competence. The exam frequently rewards a nonjudgmental, collaborative approach that addresses immediate risk while preserving engagement and offering evidence-supported options.</w:t>
      </w:r>
    </w:p>
    <w:p>
      <w:pPr>
        <w:pStyle w:val="Heading2"/>
        <w:keepNext/>
      </w:pPr>
      <w:r>
        <w:rPr>
          <w:rFonts w:ascii="Arial" w:hAnsi="Arial" w:eastAsia="Arial"/>
        </w:rPr>
        <w:t>High-Yield Intervention Functions</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088"/>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Intervention</w:t>
            </w:r>
          </w:p>
        </w:tc>
        <w:tc>
          <w:tcPr>
            <w:tcW w:type="dxa" w:w="3456"/>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Primary Function</w:t>
            </w:r>
          </w:p>
        </w:tc>
        <w:tc>
          <w:tcPr>
            <w:tcW w:type="dxa" w:w="4536"/>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Exam Use / Caution</w:t>
            </w:r>
          </w:p>
        </w:tc>
      </w:tr>
      <w:tr>
        <w:trPr>
          <w:cantSplit/>
        </w:trPr>
        <w:tc>
          <w:tcPr>
            <w:tcW w:type="dxa" w:w="2088"/>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Motivational interviewing (MI)</w:t>
            </w:r>
          </w:p>
        </w:tc>
        <w:tc>
          <w:tcPr>
            <w:tcW w:type="dxa" w:w="345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Explore ambivalence, strengthen change talk, and support autonomy</w:t>
            </w:r>
          </w:p>
        </w:tc>
        <w:tc>
          <w:tcPr>
            <w:tcW w:type="dxa" w:w="453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Use when motivation is mixed. Avoid arguing, shaming, or doing more persuasion than the client.</w:t>
            </w:r>
          </w:p>
        </w:tc>
      </w:tr>
      <w:tr>
        <w:trPr>
          <w:cantSplit/>
        </w:trPr>
        <w:tc>
          <w:tcPr>
            <w:tcW w:type="dxa" w:w="2088"/>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CBT and relapse prevention</w:t>
            </w:r>
          </w:p>
        </w:tc>
        <w:tc>
          <w:tcPr>
            <w:tcW w:type="dxa" w:w="345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Identify triggers, thoughts, emotions, behaviors, consequences, and coping alternatives</w:t>
            </w:r>
          </w:p>
        </w:tc>
        <w:tc>
          <w:tcPr>
            <w:tcW w:type="dxa" w:w="453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Build a specific plan for high-risk situations; review a lapse as data, not failure.</w:t>
            </w:r>
          </w:p>
        </w:tc>
      </w:tr>
      <w:tr>
        <w:trPr>
          <w:cantSplit/>
        </w:trPr>
        <w:tc>
          <w:tcPr>
            <w:tcW w:type="dxa" w:w="2088"/>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Contingency management</w:t>
            </w:r>
          </w:p>
        </w:tc>
        <w:tc>
          <w:tcPr>
            <w:tcW w:type="dxa" w:w="345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Provide systematic, immediate reinforcement for target behaviors</w:t>
            </w:r>
          </w:p>
        </w:tc>
        <w:tc>
          <w:tcPr>
            <w:tcW w:type="dxa" w:w="453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Strong evidence for some SUDs; requires program structure, ethical safeguards, and feasible reinforcement.</w:t>
            </w:r>
          </w:p>
        </w:tc>
      </w:tr>
      <w:tr>
        <w:trPr>
          <w:cantSplit/>
        </w:trPr>
        <w:tc>
          <w:tcPr>
            <w:tcW w:type="dxa" w:w="2088"/>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Community reinforcement / recovery supports</w:t>
            </w:r>
          </w:p>
        </w:tc>
        <w:tc>
          <w:tcPr>
            <w:tcW w:type="dxa" w:w="345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Increase rewarding sober activities, relationships, and environmental supports</w:t>
            </w:r>
          </w:p>
        </w:tc>
        <w:tc>
          <w:tcPr>
            <w:tcW w:type="dxa" w:w="453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Match supports to client preference; do not assume one mutual-help pathway fits everyone.</w:t>
            </w:r>
          </w:p>
        </w:tc>
      </w:tr>
      <w:tr>
        <w:trPr>
          <w:cantSplit/>
        </w:trPr>
        <w:tc>
          <w:tcPr>
            <w:tcW w:type="dxa" w:w="2088"/>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Medication referral / coordination</w:t>
            </w:r>
          </w:p>
        </w:tc>
        <w:tc>
          <w:tcPr>
            <w:tcW w:type="dxa" w:w="345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Support evidence-based pharmacologic treatment for OUD, AUD, tobacco use, and other indicated conditions</w:t>
            </w:r>
          </w:p>
        </w:tc>
        <w:tc>
          <w:tcPr>
            <w:tcW w:type="dxa" w:w="453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Counselors do not prescribe; recognize when coordinated medical treatment is central rather than optional.</w:t>
            </w:r>
          </w:p>
        </w:tc>
      </w:tr>
      <w:tr>
        <w:trPr>
          <w:cantSplit/>
        </w:trPr>
        <w:tc>
          <w:tcPr>
            <w:tcW w:type="dxa" w:w="2088"/>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Integrated co-occurring treatment</w:t>
            </w:r>
          </w:p>
        </w:tc>
        <w:tc>
          <w:tcPr>
            <w:tcW w:type="dxa" w:w="345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Address mental health and substance use together or in close coordination</w:t>
            </w:r>
          </w:p>
        </w:tc>
        <w:tc>
          <w:tcPr>
            <w:tcW w:type="dxa" w:w="453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Avoid treating one condition as irrelevant until the other disappears.</w:t>
            </w:r>
          </w:p>
        </w:tc>
      </w:tr>
    </w:tbl>
    <w:p>
      <w:pPr>
        <w:spacing w:after="0"/>
      </w:pPr>
    </w:p>
    <w:p>
      <w:pPr>
        <w:pStyle w:val="Heading2"/>
        <w:keepNext/>
      </w:pPr>
      <w:r>
        <w:rPr>
          <w:rFonts w:ascii="Arial" w:hAnsi="Arial" w:eastAsia="Arial"/>
        </w:rPr>
        <w:t>The CHANGE Conversation</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520"/>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Step</w:t>
            </w:r>
          </w:p>
        </w:tc>
        <w:tc>
          <w:tcPr>
            <w:tcW w:type="dxa" w:w="7560"/>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Counselor Action</w:t>
            </w:r>
          </w:p>
        </w:tc>
      </w:tr>
      <w:tr>
        <w:trPr>
          <w:cantSplit/>
        </w:trPr>
        <w:tc>
          <w:tcPr>
            <w:tcW w:type="dxa" w:w="252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C - Connect with values</w:t>
            </w:r>
          </w:p>
        </w:tc>
        <w:tc>
          <w:tcPr>
            <w:tcW w:type="dxa" w:w="756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Link the conversation to what matters to the client rather than the counselor’s preferred outcome.</w:t>
            </w:r>
          </w:p>
        </w:tc>
      </w:tr>
      <w:tr>
        <w:trPr>
          <w:cantSplit/>
        </w:trPr>
        <w:tc>
          <w:tcPr>
            <w:tcW w:type="dxa" w:w="252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H - Hear ambivalence</w:t>
            </w:r>
          </w:p>
        </w:tc>
        <w:tc>
          <w:tcPr>
            <w:tcW w:type="dxa" w:w="756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Reflect both reasons for change and reasons for staying the same without taking sides.</w:t>
            </w:r>
          </w:p>
        </w:tc>
      </w:tr>
      <w:tr>
        <w:trPr>
          <w:cantSplit/>
        </w:trPr>
        <w:tc>
          <w:tcPr>
            <w:tcW w:type="dxa" w:w="252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A - Ask and evoke</w:t>
            </w:r>
          </w:p>
        </w:tc>
        <w:tc>
          <w:tcPr>
            <w:tcW w:type="dxa" w:w="756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Use open questions, affirmations, reflections, summaries, and permission-based information.</w:t>
            </w:r>
          </w:p>
        </w:tc>
      </w:tr>
      <w:tr>
        <w:trPr>
          <w:cantSplit/>
        </w:trPr>
        <w:tc>
          <w:tcPr>
            <w:tcW w:type="dxa" w:w="252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N - Negotiate one next step</w:t>
            </w:r>
          </w:p>
        </w:tc>
        <w:tc>
          <w:tcPr>
            <w:tcW w:type="dxa" w:w="756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Choose a small, specific, client-endorsed action consistent with safety and readiness.</w:t>
            </w:r>
          </w:p>
        </w:tc>
      </w:tr>
      <w:tr>
        <w:trPr>
          <w:cantSplit/>
        </w:trPr>
        <w:tc>
          <w:tcPr>
            <w:tcW w:type="dxa" w:w="252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G - Generate a coping and support plan</w:t>
            </w:r>
          </w:p>
        </w:tc>
        <w:tc>
          <w:tcPr>
            <w:tcW w:type="dxa" w:w="756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Identify triggers, alternatives, supports, medications or medical care, and recovery resources.</w:t>
            </w:r>
          </w:p>
        </w:tc>
      </w:tr>
      <w:tr>
        <w:trPr>
          <w:cantSplit/>
        </w:trPr>
        <w:tc>
          <w:tcPr>
            <w:tcW w:type="dxa" w:w="252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E - Evaluate lapses and progress</w:t>
            </w:r>
          </w:p>
        </w:tc>
        <w:tc>
          <w:tcPr>
            <w:tcW w:type="dxa" w:w="756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Review outcomes nonjudgmentally, strengthen learning, and revise intensity or level of care.</w:t>
            </w:r>
          </w:p>
        </w:tc>
      </w:tr>
    </w:tbl>
    <w:p>
      <w:pPr>
        <w:spacing w:after="0"/>
      </w:pPr>
    </w:p>
    <w:p>
      <w:pPr>
        <w:pStyle w:val="Heading2"/>
        <w:keepNext/>
      </w:pPr>
      <w:r>
        <w:rPr>
          <w:rFonts w:ascii="Arial" w:hAnsi="Arial" w:eastAsia="Arial"/>
        </w:rPr>
        <w:t>Lapse, Recurrence, and Level of Care</w:t>
      </w:r>
    </w:p>
    <w:p>
      <w:pPr>
        <w:pStyle w:val="ListBullet"/>
        <w:spacing w:after="30" w:line="245" w:lineRule="auto"/>
        <w:ind w:left="288" w:hanging="173"/>
      </w:pPr>
      <w:r>
        <w:rPr>
          <w:rFonts w:ascii="Arial" w:hAnsi="Arial" w:eastAsia="Arial"/>
          <w:sz w:val="19"/>
        </w:rPr>
        <w:t>A lapse is an episode of use after a change attempt; it does not automatically equal total treatment failure.</w:t>
      </w:r>
    </w:p>
    <w:p>
      <w:pPr>
        <w:pStyle w:val="ListBullet"/>
        <w:spacing w:after="30" w:line="245" w:lineRule="auto"/>
        <w:ind w:left="288" w:hanging="173"/>
      </w:pPr>
      <w:r>
        <w:rPr>
          <w:rFonts w:ascii="Arial" w:hAnsi="Arial" w:eastAsia="Arial"/>
          <w:sz w:val="19"/>
        </w:rPr>
        <w:t>Respond first to acute safety, overdose, withdrawal, medical, violence, child-safety, or suicide concerns.</w:t>
      </w:r>
    </w:p>
    <w:p>
      <w:pPr>
        <w:pStyle w:val="ListBullet"/>
        <w:spacing w:after="30" w:line="245" w:lineRule="auto"/>
        <w:ind w:left="288" w:hanging="173"/>
      </w:pPr>
      <w:r>
        <w:rPr>
          <w:rFonts w:ascii="Arial" w:hAnsi="Arial" w:eastAsia="Arial"/>
          <w:sz w:val="19"/>
        </w:rPr>
        <w:t>Then examine triggers, access, coping, reinforcement, medication adherence, social environment, and treatment fit.</w:t>
      </w:r>
    </w:p>
    <w:p>
      <w:pPr>
        <w:pStyle w:val="ListBullet"/>
        <w:spacing w:after="30" w:line="245" w:lineRule="auto"/>
        <w:ind w:left="288" w:hanging="173"/>
      </w:pPr>
      <w:r>
        <w:rPr>
          <w:rFonts w:ascii="Arial" w:hAnsi="Arial" w:eastAsia="Arial"/>
          <w:sz w:val="19"/>
        </w:rPr>
        <w:t>Increase intensity or refer when outpatient care is insufficient, withdrawal requires medical management, or the counselor/program lacks the necessary specialty services.</w:t>
      </w:r>
    </w:p>
    <w:p>
      <w:pPr>
        <w:pStyle w:val="ListBullet"/>
        <w:spacing w:after="30" w:line="245" w:lineRule="auto"/>
        <w:ind w:left="288" w:hanging="173"/>
      </w:pPr>
      <w:r>
        <w:rPr>
          <w:rFonts w:ascii="Arial" w:hAnsi="Arial" w:eastAsia="Arial"/>
          <w:sz w:val="19"/>
        </w:rPr>
        <w:t>Harm-reduction and abstinence goals should be discussed transparently with attention to clinical risk, legal or program requirements, and the client’s values and readiness.</w:t>
      </w:r>
    </w:p>
    <w:tbl>
      <w:tblPr>
        <w:tblW w:type="auto" w:w="0"/>
        <w:jc w:val="center"/>
        <w:tblLayout w:type="fixed"/>
        <w:tblLook w:firstColumn="1" w:firstRow="1" w:lastColumn="0" w:lastRow="0" w:noHBand="0" w:noVBand="1" w:val="04A0"/>
      </w:tblPr>
      <w:tblGrid>
        <w:gridCol w:w="10080"/>
      </w:tblGrid>
      <w:tr>
        <w:tc>
          <w:tcPr>
            <w:tcW w:type="dxa" w:w="10282"/>
            <w:shd w:fill="E8F5F5"/>
            <w:tcMar>
              <w:top w:w="85" w:type="dxa"/>
              <w:start w:w="105" w:type="dxa"/>
              <w:bottom w:w="85" w:type="dxa"/>
              <w:end w:w="105" w:type="dxa"/>
            </w:tcMar>
            <w:tcBorders>
              <w:top w:val="single" w:sz="8" w:color="159C9C"/>
              <w:left w:val="single" w:sz="8" w:color="159C9C"/>
              <w:bottom w:val="single" w:sz="8" w:color="159C9C"/>
              <w:right w:val="single" w:sz="8" w:color="159C9C"/>
            </w:tcBorders>
          </w:tcPr>
          <w:p>
            <w:pPr>
              <w:spacing w:after="40"/>
            </w:pPr>
            <w:r>
              <w:rPr>
                <w:rFonts w:ascii="Arial" w:hAnsi="Arial" w:eastAsia="Arial"/>
                <w:b/>
                <w:color w:val="159C9C"/>
                <w:sz w:val="18"/>
              </w:rPr>
              <w:t>EXAM TIP</w:t>
            </w:r>
          </w:p>
          <w:p>
            <w:pPr>
              <w:spacing w:after="0" w:line="245" w:lineRule="auto"/>
            </w:pPr>
            <w:r>
              <w:rPr>
                <w:rFonts w:ascii="Arial" w:hAnsi="Arial" w:eastAsia="Arial"/>
                <w:color w:val="1F2937"/>
                <w:sz w:val="18"/>
              </w:rPr>
              <w:t>When a client is ambivalent, the best first response is often to explore and reflect the ambivalence, provide information with permission, and collaborate on a next step—not to confront, threaten discharge, or lecture.</w:t>
            </w:r>
          </w:p>
        </w:tc>
      </w:tr>
    </w:tbl>
    <w:p>
      <w:pPr>
        <w:spacing w:after="0"/>
      </w:pPr>
    </w:p>
    <w:p>
      <w:pPr>
        <w:pStyle w:val="Heading2"/>
        <w:keepNext/>
        <w:keepNext/>
      </w:pPr>
      <w:r>
        <w:rPr>
          <w:rFonts w:ascii="Arial" w:hAnsi="Arial" w:eastAsia="Arial"/>
        </w:rPr>
        <w:t>Clinical Resource Toolkit: CHANGE Motivation and Relapse-Prevention Plan</w:t>
      </w:r>
    </w:p>
    <w:p>
      <w:pPr>
        <w:spacing w:after="60"/>
      </w:pPr>
      <w:r>
        <w:rPr>
          <w:rFonts w:ascii="Arial" w:hAnsi="Arial" w:eastAsia="Arial"/>
          <w:i/>
          <w:color w:val="17365D"/>
          <w:sz w:val="18"/>
        </w:rPr>
        <w:t>Use client language. Record the smallest meaningful next step and the conditions that would require more intensive or medical care.</w:t>
      </w:r>
    </w:p>
    <w:tbl>
      <w:tblPr>
        <w:tblW w:type="auto" w:w="0"/>
        <w:jc w:val="center"/>
        <w:tblLayout w:type="fixed"/>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1368"/>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Values / goals</w:t>
            </w:r>
          </w:p>
        </w:tc>
        <w:tc>
          <w:tcPr>
            <w:tcW w:type="dxa" w:w="1440"/>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Ambivalence</w:t>
            </w:r>
          </w:p>
        </w:tc>
        <w:tc>
          <w:tcPr>
            <w:tcW w:type="dxa" w:w="1296"/>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Change talk</w:t>
            </w:r>
          </w:p>
        </w:tc>
        <w:tc>
          <w:tcPr>
            <w:tcW w:type="dxa" w:w="1440"/>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Next step</w:t>
            </w:r>
          </w:p>
        </w:tc>
        <w:tc>
          <w:tcPr>
            <w:tcW w:type="dxa" w:w="1584"/>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Triggers / coping</w:t>
            </w:r>
          </w:p>
        </w:tc>
        <w:tc>
          <w:tcPr>
            <w:tcW w:type="dxa" w:w="1584"/>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Supports / referrals</w:t>
            </w:r>
          </w:p>
        </w:tc>
        <w:tc>
          <w:tcPr>
            <w:tcW w:type="dxa" w:w="1368"/>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Review data</w:t>
            </w:r>
          </w:p>
        </w:tc>
      </w:tr>
      <w:tr>
        <w:trPr>
          <w:cantSplit/>
          <w:trHeight w:val="504"/>
        </w:trPr>
        <w:tc>
          <w:tcPr>
            <w:tcW w:type="dxa" w:w="1368"/>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44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29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44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58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58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368"/>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r>
      <w:tr>
        <w:trPr>
          <w:cantSplit/>
          <w:trHeight w:val="504"/>
        </w:trPr>
        <w:tc>
          <w:tcPr>
            <w:tcW w:type="dxa" w:w="1368"/>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44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29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44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584"/>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584"/>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368"/>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r>
      <w:tr>
        <w:trPr>
          <w:cantSplit/>
          <w:trHeight w:val="504"/>
        </w:trPr>
        <w:tc>
          <w:tcPr>
            <w:tcW w:type="dxa" w:w="1368"/>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44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29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44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58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58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368"/>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r>
      <w:tr>
        <w:trPr>
          <w:cantSplit/>
          <w:trHeight w:val="504"/>
        </w:trPr>
        <w:tc>
          <w:tcPr>
            <w:tcW w:type="dxa" w:w="1368"/>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44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29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44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584"/>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584"/>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368"/>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r>
      <w:tr>
        <w:trPr>
          <w:cantSplit/>
          <w:trHeight w:val="504"/>
        </w:trPr>
        <w:tc>
          <w:tcPr>
            <w:tcW w:type="dxa" w:w="1368"/>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44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29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44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58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58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368"/>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r>
    </w:tbl>
    <w:p>
      <w:pPr>
        <w:spacing w:after="0"/>
      </w:pPr>
    </w:p>
    <w:p>
      <w:pPr>
        <w:pStyle w:val="Heading2"/>
        <w:keepNext/>
        <w:keepNext/>
      </w:pPr>
      <w:r>
        <w:rPr>
          <w:rFonts w:ascii="Arial" w:hAnsi="Arial" w:eastAsia="Arial"/>
        </w:rPr>
        <w:t>Chapter Summary</w:t>
      </w:r>
    </w:p>
    <w:p>
      <w:pPr>
        <w:pStyle w:val="ListBullet"/>
        <w:spacing w:after="30" w:line="245" w:lineRule="auto"/>
        <w:ind w:left="288" w:hanging="173"/>
      </w:pPr>
      <w:r>
        <w:rPr>
          <w:rFonts w:ascii="Arial" w:hAnsi="Arial" w:eastAsia="Arial"/>
          <w:sz w:val="19"/>
        </w:rPr>
        <w:t>MI supports autonomy and evokes the client’s own reasons for change.</w:t>
      </w:r>
    </w:p>
    <w:p>
      <w:pPr>
        <w:pStyle w:val="ListBullet"/>
        <w:spacing w:after="30" w:line="245" w:lineRule="auto"/>
        <w:ind w:left="288" w:hanging="173"/>
      </w:pPr>
      <w:r>
        <w:rPr>
          <w:rFonts w:ascii="Arial" w:hAnsi="Arial" w:eastAsia="Arial"/>
          <w:sz w:val="19"/>
        </w:rPr>
        <w:t>Relapse prevention uses functional analysis, coping practice, supports, and a specific response to high-risk situations.</w:t>
      </w:r>
    </w:p>
    <w:p>
      <w:pPr>
        <w:pStyle w:val="ListBullet"/>
        <w:spacing w:after="30" w:line="245" w:lineRule="auto"/>
        <w:ind w:left="288" w:hanging="173"/>
      </w:pPr>
      <w:r>
        <w:rPr>
          <w:rFonts w:ascii="Arial" w:hAnsi="Arial" w:eastAsia="Arial"/>
          <w:sz w:val="19"/>
        </w:rPr>
        <w:t>Contingency management and community reinforcement change environmental consequences and rewards.</w:t>
      </w:r>
    </w:p>
    <w:p>
      <w:pPr>
        <w:pStyle w:val="ListBullet"/>
        <w:spacing w:after="30" w:line="245" w:lineRule="auto"/>
        <w:ind w:left="288" w:hanging="173"/>
      </w:pPr>
      <w:r>
        <w:rPr>
          <w:rFonts w:ascii="Arial" w:hAnsi="Arial" w:eastAsia="Arial"/>
          <w:sz w:val="19"/>
        </w:rPr>
        <w:t>Medication referral and integrated co-occurring treatment may be essential components of quality care.</w:t>
      </w:r>
    </w:p>
    <w:p>
      <w:pPr>
        <w:pStyle w:val="ListBullet"/>
        <w:spacing w:after="30" w:line="245" w:lineRule="auto"/>
        <w:ind w:left="288" w:hanging="173"/>
      </w:pPr>
      <w:r>
        <w:rPr>
          <w:rFonts w:ascii="Arial" w:hAnsi="Arial" w:eastAsia="Arial"/>
          <w:sz w:val="19"/>
        </w:rPr>
        <w:t>A lapse calls for safety review and learning—not shame or automatic termination.</w:t>
      </w:r>
    </w:p>
    <w:tbl>
      <w:tblPr>
        <w:tblW w:type="auto" w:w="0"/>
        <w:jc w:val="center"/>
        <w:tblLayout w:type="fixed"/>
        <w:tblLook w:firstColumn="1" w:firstRow="1" w:lastColumn="0" w:lastRow="0" w:noHBand="0" w:noVBand="1" w:val="04A0"/>
      </w:tblPr>
      <w:tblGrid>
        <w:gridCol w:w="10080"/>
      </w:tblGrid>
      <w:tr>
        <w:tc>
          <w:tcPr>
            <w:tcW w:type="dxa" w:w="10282"/>
            <w:shd w:fill="FFF7D6"/>
            <w:tcMar>
              <w:top w:w="85" w:type="dxa"/>
              <w:start w:w="105" w:type="dxa"/>
              <w:bottom w:w="85" w:type="dxa"/>
              <w:end w:w="105" w:type="dxa"/>
            </w:tcMar>
            <w:tcBorders>
              <w:top w:val="single" w:sz="8" w:color="D6B656"/>
              <w:left w:val="single" w:sz="8" w:color="D6B656"/>
              <w:bottom w:val="single" w:sz="8" w:color="D6B656"/>
              <w:right w:val="single" w:sz="8" w:color="D6B656"/>
            </w:tcBorders>
          </w:tcPr>
          <w:p>
            <w:pPr>
              <w:spacing w:after="40"/>
            </w:pPr>
            <w:r>
              <w:rPr>
                <w:rFonts w:ascii="Arial" w:hAnsi="Arial" w:eastAsia="Arial"/>
                <w:b/>
                <w:color w:val="17365D"/>
                <w:sz w:val="18"/>
              </w:rPr>
              <w:t>EXAM RULE</w:t>
            </w:r>
          </w:p>
          <w:p>
            <w:pPr>
              <w:spacing w:after="0" w:line="245" w:lineRule="auto"/>
            </w:pPr>
            <w:r>
              <w:rPr>
                <w:rFonts w:ascii="Arial" w:hAnsi="Arial" w:eastAsia="Arial"/>
                <w:color w:val="1F2937"/>
                <w:sz w:val="18"/>
              </w:rPr>
              <w:t>Choose the intervention that best fits the current target, available evidence, client readiness and preference, setting, counselor competence, and measurable next step. A famous technique is not automatically the best answer.</w:t>
            </w:r>
          </w:p>
        </w:tc>
      </w:tr>
    </w:tbl>
    <w:p>
      <w:pPr>
        <w:spacing w:after="0"/>
      </w:pPr>
    </w:p>
    <w:p>
      <w:r>
        <w:rPr>
          <w:rFonts w:ascii="Arial" w:hAnsi="Arial" w:eastAsia="Arial"/>
        </w:rPr>
        <w:br w:type="page"/>
      </w:r>
    </w:p>
    <w:tbl>
      <w:tblPr>
        <w:tblW w:type="auto" w:w="0"/>
        <w:jc w:val="center"/>
        <w:tblLayout w:type="fixed"/>
        <w:tblLook w:firstColumn="1" w:firstRow="1" w:lastColumn="0" w:lastRow="0" w:noHBand="0" w:noVBand="1" w:val="04A0"/>
      </w:tblPr>
      <w:tblGrid>
        <w:gridCol w:w="5141"/>
        <w:gridCol w:w="5141"/>
      </w:tblGrid>
      <w:tr>
        <w:tc>
          <w:tcPr>
            <w:tcW w:type="dxa" w:w="864"/>
            <w:shd w:fill="17365D"/>
            <w:tcMar>
              <w:top w:w="50" w:type="dxa"/>
              <w:start w:w="80" w:type="dxa"/>
              <w:bottom w:w="50" w:type="dxa"/>
              <w:end w:w="80" w:type="dxa"/>
            </w:tcMar>
            <w:tcBorders>
              <w:top w:val="nil"/>
              <w:left w:val="nil"/>
              <w:bottom w:val="nil"/>
              <w:right w:val="nil"/>
            </w:tcBorders>
          </w:tcPr>
          <w:p>
            <w:pPr>
              <w:jc w:val="center"/>
            </w:pPr>
            <w:r>
              <w:rPr>
                <w:rFonts w:ascii="Arial" w:hAnsi="Arial" w:eastAsia="Arial"/>
                <w:b/>
                <w:color w:val="FFFFFF"/>
                <w:sz w:val="26"/>
              </w:rPr>
              <w:t>5</w:t>
            </w:r>
          </w:p>
        </w:tc>
        <w:tc>
          <w:tcPr>
            <w:tcW w:type="dxa" w:w="9216"/>
            <w:shd w:fill="17365D"/>
            <w:tcMar>
              <w:top w:w="50" w:type="dxa"/>
              <w:start w:w="80" w:type="dxa"/>
              <w:bottom w:w="50" w:type="dxa"/>
              <w:end w:w="80" w:type="dxa"/>
            </w:tcMar>
            <w:tcBorders>
              <w:top w:val="nil"/>
              <w:left w:val="nil"/>
              <w:bottom w:val="nil"/>
              <w:right w:val="nil"/>
            </w:tcBorders>
          </w:tcPr>
          <w:p>
            <w:r>
              <w:rPr>
                <w:rFonts w:ascii="Arial" w:hAnsi="Arial" w:eastAsia="Arial"/>
                <w:b/>
                <w:color w:val="FFFFFF"/>
                <w:sz w:val="24"/>
              </w:rPr>
              <w:t>Adaptation, Contraindications, Measurement, and Specialized Referral</w:t>
            </w:r>
          </w:p>
        </w:tc>
      </w:tr>
      <w:tr>
        <w:tc>
          <w:tcPr>
            <w:tcW w:type="dxa" w:w="10080"/>
            <w:gridSpan w:val="2"/>
            <w:shd w:fill="EAF1F8"/>
            <w:tcMar>
              <w:top w:w="55" w:type="dxa"/>
              <w:start w:w="90" w:type="dxa"/>
              <w:bottom w:w="55" w:type="dxa"/>
              <w:end w:w="90" w:type="dxa"/>
            </w:tcMar>
            <w:tcBorders>
              <w:left w:val="single" w:sz="6" w:color="159C9C"/>
              <w:bottom w:val="single" w:sz="6" w:color="159C9C"/>
              <w:right w:val="single" w:sz="6" w:color="159C9C"/>
            </w:tcBorders>
          </w:tcPr>
          <w:p>
            <w:r>
              <w:rPr>
                <w:rFonts w:ascii="Arial" w:hAnsi="Arial" w:eastAsia="Arial"/>
                <w:i/>
                <w:color w:val="17365D"/>
                <w:sz w:val="18"/>
              </w:rPr>
              <w:t>Preserve the active ingredients of treatment while responding to culture, disability, access, setting, nonresponse, and scope limits.</w:t>
            </w:r>
          </w:p>
        </w:tc>
      </w:tr>
    </w:tbl>
    <w:p>
      <w:pPr>
        <w:spacing w:after="0"/>
      </w:pPr>
    </w:p>
    <w:p>
      <w:pPr>
        <w:spacing w:before="0" w:after="80" w:line="252" w:lineRule="auto"/>
      </w:pPr>
      <w:r>
        <w:rPr>
          <w:rFonts w:ascii="Arial" w:hAnsi="Arial" w:eastAsia="Arial"/>
          <w:b w:val="0"/>
          <w:i w:val="0"/>
          <w:sz w:val="19"/>
        </w:rPr>
        <w:t>Good adaptation improves access and fit without quietly removing the mechanism that makes the intervention work. A counselor may adjust language, examples, pacing, materials, modality, caregiver involvement, homework format, or session structure. However, exposure without meaningful contact with feared cues, ERP without response prevention, or behavioral activation without planned behavior change may no longer be the intended intervention.</w:t>
      </w:r>
    </w:p>
    <w:p>
      <w:pPr>
        <w:pStyle w:val="Heading2"/>
        <w:keepNext/>
      </w:pPr>
      <w:r>
        <w:rPr>
          <w:rFonts w:ascii="Arial" w:hAnsi="Arial" w:eastAsia="Arial"/>
        </w:rPr>
        <w:t>Fidelity and Responsiveness</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3168"/>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Preserve</w:t>
            </w:r>
          </w:p>
        </w:tc>
        <w:tc>
          <w:tcPr>
            <w:tcW w:type="dxa" w:w="3744"/>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Adapt Thoughtfully</w:t>
            </w:r>
          </w:p>
        </w:tc>
        <w:tc>
          <w:tcPr>
            <w:tcW w:type="dxa" w:w="3168"/>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Reconsider or Refer</w:t>
            </w:r>
          </w:p>
        </w:tc>
      </w:tr>
      <w:tr>
        <w:trPr>
          <w:cantSplit/>
        </w:trPr>
        <w:tc>
          <w:tcPr>
            <w:tcW w:type="dxa" w:w="3168"/>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The core mechanism and essential treatment tasks</w:t>
            </w:r>
          </w:p>
        </w:tc>
        <w:tc>
          <w:tcPr>
            <w:tcW w:type="dxa" w:w="374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Language, examples, pacing, accessibility, cultural framing, scheduling, technology, caregiver or support involvement</w:t>
            </w:r>
          </w:p>
        </w:tc>
        <w:tc>
          <w:tcPr>
            <w:tcW w:type="dxa" w:w="3168"/>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When adaptation removes the active ingredient, the client cannot participate safely, or the clinician lacks competence</w:t>
            </w:r>
          </w:p>
        </w:tc>
      </w:tr>
      <w:tr>
        <w:trPr>
          <w:cantSplit/>
        </w:trPr>
        <w:tc>
          <w:tcPr>
            <w:tcW w:type="dxa" w:w="3168"/>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Collaborative goals and informed consent</w:t>
            </w:r>
          </w:p>
        </w:tc>
        <w:tc>
          <w:tcPr>
            <w:tcW w:type="dxa" w:w="3744"/>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How rationale is explained and how choices are presented</w:t>
            </w:r>
          </w:p>
        </w:tc>
        <w:tc>
          <w:tcPr>
            <w:tcW w:type="dxa" w:w="3168"/>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When the client persistently declines the essential task and another appropriate approach should be considered</w:t>
            </w:r>
          </w:p>
        </w:tc>
      </w:tr>
      <w:tr>
        <w:trPr>
          <w:cantSplit/>
        </w:trPr>
        <w:tc>
          <w:tcPr>
            <w:tcW w:type="dxa" w:w="3168"/>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Measurement of target and functioning</w:t>
            </w:r>
          </w:p>
        </w:tc>
        <w:tc>
          <w:tcPr>
            <w:tcW w:type="dxa" w:w="374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The measure format, frequency, and accommodations</w:t>
            </w:r>
          </w:p>
        </w:tc>
        <w:tc>
          <w:tcPr>
            <w:tcW w:type="dxa" w:w="3168"/>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When measures are invalid, inaccessible, misinterpreted, or insufficient for the decision</w:t>
            </w:r>
          </w:p>
        </w:tc>
      </w:tr>
      <w:tr>
        <w:trPr>
          <w:cantSplit/>
        </w:trPr>
        <w:tc>
          <w:tcPr>
            <w:tcW w:type="dxa" w:w="3168"/>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Ethical and legal safeguards</w:t>
            </w:r>
          </w:p>
        </w:tc>
        <w:tc>
          <w:tcPr>
            <w:tcW w:type="dxa" w:w="3744"/>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Service format and coordination method</w:t>
            </w:r>
          </w:p>
        </w:tc>
        <w:tc>
          <w:tcPr>
            <w:tcW w:type="dxa" w:w="3168"/>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When medical, psychiatric, substance, cognitive, or level-of-care needs exceed the setting</w:t>
            </w:r>
          </w:p>
        </w:tc>
      </w:tr>
    </w:tbl>
    <w:p>
      <w:pPr>
        <w:spacing w:after="0"/>
      </w:pPr>
    </w:p>
    <w:p>
      <w:pPr>
        <w:pStyle w:val="Heading2"/>
        <w:keepNext/>
      </w:pPr>
      <w:r>
        <w:rPr>
          <w:rFonts w:ascii="Arial" w:hAnsi="Arial" w:eastAsia="Arial"/>
        </w:rPr>
        <w:t>The PIVOT Nonresponse Review</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376"/>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Step</w:t>
            </w:r>
          </w:p>
        </w:tc>
        <w:tc>
          <w:tcPr>
            <w:tcW w:type="dxa" w:w="7704"/>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Questions Before Changing Treatment</w:t>
            </w:r>
          </w:p>
        </w:tc>
      </w:tr>
      <w:tr>
        <w:trPr>
          <w:cantSplit/>
        </w:trPr>
        <w:tc>
          <w:tcPr>
            <w:tcW w:type="dxa" w:w="237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P - Progress and problem definition</w:t>
            </w:r>
          </w:p>
        </w:tc>
        <w:tc>
          <w:tcPr>
            <w:tcW w:type="dxa" w:w="770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Is the target measured correctly? Has functioning changed even if symptoms have not? Is the original formulation still supported?</w:t>
            </w:r>
          </w:p>
        </w:tc>
      </w:tr>
      <w:tr>
        <w:trPr>
          <w:cantSplit/>
        </w:trPr>
        <w:tc>
          <w:tcPr>
            <w:tcW w:type="dxa" w:w="237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I - Implementation and intensity</w:t>
            </w:r>
          </w:p>
        </w:tc>
        <w:tc>
          <w:tcPr>
            <w:tcW w:type="dxa" w:w="7704"/>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Was the intervention delivered with adequate frequency, duration, skill, practice, and fidelity?</w:t>
            </w:r>
          </w:p>
        </w:tc>
      </w:tr>
      <w:tr>
        <w:trPr>
          <w:cantSplit/>
        </w:trPr>
        <w:tc>
          <w:tcPr>
            <w:tcW w:type="dxa" w:w="237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V - Values, culture, and alliance</w:t>
            </w:r>
          </w:p>
        </w:tc>
        <w:tc>
          <w:tcPr>
            <w:tcW w:type="dxa" w:w="770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Does the client understand and endorse the rationale? Are power, trust, shame, stigma, language, or cultural meaning affecting participation?</w:t>
            </w:r>
          </w:p>
        </w:tc>
      </w:tr>
      <w:tr>
        <w:trPr>
          <w:cantSplit/>
        </w:trPr>
        <w:tc>
          <w:tcPr>
            <w:tcW w:type="dxa" w:w="237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O - Obstacles and contraindications</w:t>
            </w:r>
          </w:p>
        </w:tc>
        <w:tc>
          <w:tcPr>
            <w:tcW w:type="dxa" w:w="7704"/>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Are there medical factors, substances, medications, cognitive barriers, environmental danger, technology limits, cost, transportation, or competing needs?</w:t>
            </w:r>
          </w:p>
        </w:tc>
      </w:tr>
      <w:tr>
        <w:trPr>
          <w:cantSplit/>
        </w:trPr>
        <w:tc>
          <w:tcPr>
            <w:tcW w:type="dxa" w:w="237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T - Transition, titrate, or refer</w:t>
            </w:r>
          </w:p>
        </w:tc>
        <w:tc>
          <w:tcPr>
            <w:tcW w:type="dxa" w:w="770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t>Should the plan be maintained, adapted, intensified, stepped down, replaced, coordinated, or transferred to a specialist or higher level of care?</w:t>
            </w:r>
          </w:p>
        </w:tc>
      </w:tr>
    </w:tbl>
    <w:p>
      <w:pPr>
        <w:spacing w:after="0"/>
      </w:pPr>
    </w:p>
    <w:p>
      <w:pPr>
        <w:pStyle w:val="Heading2"/>
        <w:keepNext/>
      </w:pPr>
      <w:r>
        <w:rPr>
          <w:rFonts w:ascii="Arial" w:hAnsi="Arial" w:eastAsia="Arial"/>
        </w:rPr>
        <w:t>Contraindications and Sequencing Warnings</w:t>
      </w:r>
    </w:p>
    <w:p>
      <w:pPr>
        <w:pStyle w:val="ListBullet"/>
        <w:spacing w:after="30" w:line="245" w:lineRule="auto"/>
        <w:ind w:left="288" w:hanging="173"/>
      </w:pPr>
      <w:r>
        <w:rPr>
          <w:rFonts w:ascii="Arial" w:hAnsi="Arial" w:eastAsia="Arial"/>
          <w:sz w:val="19"/>
        </w:rPr>
        <w:t>Acute risk, delirium, severe withdrawal, intoxication, mania, psychosis, medical instability, or inability to consent may require a different immediate response or level of care.</w:t>
      </w:r>
    </w:p>
    <w:p>
      <w:pPr>
        <w:pStyle w:val="ListBullet"/>
        <w:spacing w:after="30" w:line="245" w:lineRule="auto"/>
        <w:ind w:left="288" w:hanging="173"/>
      </w:pPr>
      <w:r>
        <w:rPr>
          <w:rFonts w:ascii="Arial" w:hAnsi="Arial" w:eastAsia="Arial"/>
          <w:sz w:val="19"/>
        </w:rPr>
        <w:t>Exposure, trauma processing, intensive behavioral assignments, or mindfulness practices may require modification when dissociation, cognitive limitations, environmental danger, or other factors interfere with safe participation.</w:t>
      </w:r>
    </w:p>
    <w:p>
      <w:pPr>
        <w:pStyle w:val="ListBullet"/>
        <w:spacing w:after="30" w:line="245" w:lineRule="auto"/>
        <w:ind w:left="288" w:hanging="173"/>
      </w:pPr>
      <w:r>
        <w:rPr>
          <w:rFonts w:ascii="Arial" w:hAnsi="Arial" w:eastAsia="Arial"/>
          <w:sz w:val="19"/>
        </w:rPr>
        <w:t>A counselor’s enthusiasm for a method is not evidence of client fit. Countertransference, performance pressure, or investment in a favored model can delay consultation and referral.</w:t>
      </w:r>
    </w:p>
    <w:p>
      <w:pPr>
        <w:pStyle w:val="ListBullet"/>
        <w:spacing w:after="30" w:line="245" w:lineRule="auto"/>
        <w:ind w:left="288" w:hanging="173"/>
      </w:pPr>
      <w:r>
        <w:rPr>
          <w:rFonts w:ascii="Arial" w:hAnsi="Arial" w:eastAsia="Arial"/>
          <w:sz w:val="19"/>
        </w:rPr>
        <w:t>Repeatedly changing techniques without checking formulation, implementation, alliance, and dosage creates noise rather than learning.</w:t>
      </w:r>
    </w:p>
    <w:p>
      <w:pPr>
        <w:pStyle w:val="ListBullet"/>
        <w:spacing w:after="30" w:line="245" w:lineRule="auto"/>
        <w:ind w:left="288" w:hanging="173"/>
      </w:pPr>
      <w:r>
        <w:rPr>
          <w:rFonts w:ascii="Arial" w:hAnsi="Arial" w:eastAsia="Arial"/>
          <w:sz w:val="19"/>
        </w:rPr>
        <w:t>Specialty referral is a clinical intervention when it improves safety, access, competence, or treatment precision; it is not a failure of counseling.</w:t>
      </w:r>
    </w:p>
    <w:p>
      <w:pPr>
        <w:pStyle w:val="Heading2"/>
        <w:keepNext/>
      </w:pPr>
      <w:r>
        <w:rPr>
          <w:rFonts w:ascii="Arial" w:hAnsi="Arial" w:eastAsia="Arial"/>
        </w:rPr>
        <w:t>Measurement-Based Adjustment</w:t>
      </w:r>
    </w:p>
    <w:p>
      <w:pPr>
        <w:spacing w:before="0" w:after="80" w:line="252" w:lineRule="auto"/>
      </w:pPr>
      <w:r>
        <w:rPr>
          <w:rFonts w:ascii="Arial" w:hAnsi="Arial" w:eastAsia="Arial"/>
          <w:b w:val="0"/>
          <w:i w:val="0"/>
          <w:sz w:val="19"/>
        </w:rPr>
        <w:t>Use more than one indicator: symptom severity, functioning, target behavior, attendance and homework, client-reported benefit or burden, safety, and collateral or medical information when authorized. Establish the review date in advance. A single difficult week should not automatically end an effective plan, and a modest score change should not obscure worsening functioning or risk.</w:t>
      </w:r>
    </w:p>
    <w:tbl>
      <w:tblPr>
        <w:tblW w:type="auto" w:w="0"/>
        <w:jc w:val="center"/>
        <w:tblLayout w:type="fixed"/>
        <w:tblLook w:firstColumn="1" w:firstRow="1" w:lastColumn="0" w:lastRow="0" w:noHBand="0" w:noVBand="1" w:val="04A0"/>
      </w:tblPr>
      <w:tblGrid>
        <w:gridCol w:w="10080"/>
      </w:tblGrid>
      <w:tr>
        <w:tc>
          <w:tcPr>
            <w:tcW w:type="dxa" w:w="10282"/>
            <w:shd w:fill="FCE8E6"/>
            <w:tcMar>
              <w:top w:w="85" w:type="dxa"/>
              <w:start w:w="105" w:type="dxa"/>
              <w:bottom w:w="85" w:type="dxa"/>
              <w:end w:w="105" w:type="dxa"/>
            </w:tcMar>
            <w:tcBorders>
              <w:top w:val="single" w:sz="8" w:color="C95F54"/>
              <w:left w:val="single" w:sz="8" w:color="C95F54"/>
              <w:bottom w:val="single" w:sz="8" w:color="C95F54"/>
              <w:right w:val="single" w:sz="8" w:color="C95F54"/>
            </w:tcBorders>
          </w:tcPr>
          <w:p>
            <w:pPr>
              <w:spacing w:after="40"/>
            </w:pPr>
            <w:r>
              <w:rPr>
                <w:rFonts w:ascii="Arial" w:hAnsi="Arial" w:eastAsia="Arial"/>
                <w:b/>
                <w:color w:val="A1372E"/>
                <w:sz w:val="18"/>
              </w:rPr>
              <w:t>COMMON TRAP</w:t>
            </w:r>
          </w:p>
          <w:p>
            <w:pPr>
              <w:spacing w:after="0" w:line="245" w:lineRule="auto"/>
            </w:pPr>
            <w:r>
              <w:rPr>
                <w:rFonts w:ascii="Arial" w:hAnsi="Arial" w:eastAsia="Arial"/>
                <w:color w:val="1F2937"/>
                <w:sz w:val="18"/>
              </w:rPr>
              <w:t>Do not switch interventions simply because progress is slower than hoped. First verify the target, implementation, dosage, barriers, alliance, and emerging evidence. Then revise with a clear clinical reason and a new measurement plan.</w:t>
            </w:r>
          </w:p>
        </w:tc>
      </w:tr>
    </w:tbl>
    <w:p>
      <w:pPr>
        <w:spacing w:after="0"/>
      </w:pPr>
    </w:p>
    <w:p>
      <w:pPr>
        <w:pStyle w:val="Heading2"/>
        <w:keepNext/>
        <w:keepNext/>
      </w:pPr>
      <w:r>
        <w:rPr>
          <w:rFonts w:ascii="Arial" w:hAnsi="Arial" w:eastAsia="Arial"/>
        </w:rPr>
        <w:t>Clinical Resource Toolkit: PIVOT Adaptation and Nonresponse Review</w:t>
      </w:r>
    </w:p>
    <w:p>
      <w:pPr>
        <w:spacing w:after="60"/>
      </w:pPr>
      <w:r>
        <w:rPr>
          <w:rFonts w:ascii="Arial" w:hAnsi="Arial" w:eastAsia="Arial"/>
          <w:i/>
          <w:color w:val="17365D"/>
          <w:sz w:val="18"/>
        </w:rPr>
        <w:t>Complete this before abandoning, intensifying, or referring an intervention.</w:t>
      </w:r>
    </w:p>
    <w:tbl>
      <w:tblPr>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trPr>
        <w:tc>
          <w:tcPr>
            <w:tcW w:type="dxa" w:w="1656"/>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Progress / data</w:t>
            </w:r>
          </w:p>
        </w:tc>
        <w:tc>
          <w:tcPr>
            <w:tcW w:type="dxa" w:w="1656"/>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Implementation</w:t>
            </w:r>
          </w:p>
        </w:tc>
        <w:tc>
          <w:tcPr>
            <w:tcW w:type="dxa" w:w="1872"/>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Client / culture / alliance</w:t>
            </w:r>
          </w:p>
        </w:tc>
        <w:tc>
          <w:tcPr>
            <w:tcW w:type="dxa" w:w="1728"/>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Obstacles / risks</w:t>
            </w:r>
          </w:p>
        </w:tc>
        <w:tc>
          <w:tcPr>
            <w:tcW w:type="dxa" w:w="1440"/>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Decision</w:t>
            </w:r>
          </w:p>
        </w:tc>
        <w:tc>
          <w:tcPr>
            <w:tcW w:type="dxa" w:w="1728"/>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New measure / review date</w:t>
            </w:r>
          </w:p>
        </w:tc>
      </w:tr>
      <w:tr>
        <w:trPr>
          <w:cantSplit/>
          <w:trHeight w:val="504"/>
        </w:trPr>
        <w:tc>
          <w:tcPr>
            <w:tcW w:type="dxa" w:w="165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65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87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728"/>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44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728"/>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r>
      <w:tr>
        <w:trPr>
          <w:cantSplit/>
          <w:trHeight w:val="504"/>
        </w:trPr>
        <w:tc>
          <w:tcPr>
            <w:tcW w:type="dxa" w:w="165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65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872"/>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728"/>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44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728"/>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r>
      <w:tr>
        <w:trPr>
          <w:cantSplit/>
          <w:trHeight w:val="504"/>
        </w:trPr>
        <w:tc>
          <w:tcPr>
            <w:tcW w:type="dxa" w:w="165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65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87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728"/>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44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728"/>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r>
      <w:tr>
        <w:trPr>
          <w:cantSplit/>
          <w:trHeight w:val="504"/>
        </w:trPr>
        <w:tc>
          <w:tcPr>
            <w:tcW w:type="dxa" w:w="165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65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872"/>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728"/>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44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728"/>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r>
      <w:tr>
        <w:trPr>
          <w:cantSplit/>
          <w:trHeight w:val="504"/>
        </w:trPr>
        <w:tc>
          <w:tcPr>
            <w:tcW w:type="dxa" w:w="165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65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87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728"/>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44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1728"/>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r>
    </w:tbl>
    <w:p>
      <w:pPr>
        <w:spacing w:after="0"/>
      </w:pPr>
    </w:p>
    <w:p>
      <w:pPr>
        <w:pStyle w:val="Heading2"/>
        <w:keepNext/>
        <w:keepNext/>
      </w:pPr>
      <w:r>
        <w:rPr>
          <w:rFonts w:ascii="Arial" w:hAnsi="Arial" w:eastAsia="Arial"/>
        </w:rPr>
        <w:t>Chapter Summary</w:t>
      </w:r>
    </w:p>
    <w:p>
      <w:pPr>
        <w:pStyle w:val="ListBullet"/>
        <w:spacing w:after="30" w:line="245" w:lineRule="auto"/>
        <w:ind w:left="288" w:hanging="173"/>
      </w:pPr>
      <w:r>
        <w:rPr>
          <w:rFonts w:ascii="Arial" w:hAnsi="Arial" w:eastAsia="Arial"/>
          <w:sz w:val="19"/>
        </w:rPr>
        <w:t>Adapt delivery while preserving the intervention’s active ingredients.</w:t>
      </w:r>
    </w:p>
    <w:p>
      <w:pPr>
        <w:pStyle w:val="ListBullet"/>
        <w:spacing w:after="30" w:line="245" w:lineRule="auto"/>
        <w:ind w:left="288" w:hanging="173"/>
      </w:pPr>
      <w:r>
        <w:rPr>
          <w:rFonts w:ascii="Arial" w:hAnsi="Arial" w:eastAsia="Arial"/>
          <w:sz w:val="19"/>
        </w:rPr>
        <w:t>Review formulation, fidelity, dosage, alliance, barriers, and contraindications before labeling treatment ineffective.</w:t>
      </w:r>
    </w:p>
    <w:p>
      <w:pPr>
        <w:pStyle w:val="ListBullet"/>
        <w:spacing w:after="30" w:line="245" w:lineRule="auto"/>
        <w:ind w:left="288" w:hanging="173"/>
      </w:pPr>
      <w:r>
        <w:rPr>
          <w:rFonts w:ascii="Arial" w:hAnsi="Arial" w:eastAsia="Arial"/>
          <w:sz w:val="19"/>
        </w:rPr>
        <w:t>Use symptom, functional, behavioral, safety, and client-feedback data together.</w:t>
      </w:r>
    </w:p>
    <w:p>
      <w:pPr>
        <w:pStyle w:val="ListBullet"/>
        <w:spacing w:after="30" w:line="245" w:lineRule="auto"/>
        <w:ind w:left="288" w:hanging="173"/>
      </w:pPr>
      <w:r>
        <w:rPr>
          <w:rFonts w:ascii="Arial" w:hAnsi="Arial" w:eastAsia="Arial"/>
          <w:sz w:val="19"/>
        </w:rPr>
        <w:t>Consultation, coordination, specialty referral, and higher level of care are appropriate when needs exceed competence or setting capacity.</w:t>
      </w:r>
    </w:p>
    <w:p>
      <w:pPr>
        <w:pStyle w:val="ListBullet"/>
        <w:spacing w:after="30" w:line="245" w:lineRule="auto"/>
        <w:ind w:left="288" w:hanging="173"/>
      </w:pPr>
      <w:r>
        <w:rPr>
          <w:rFonts w:ascii="Arial" w:hAnsi="Arial" w:eastAsia="Arial"/>
          <w:sz w:val="19"/>
        </w:rPr>
        <w:t>A planned transition is often the most evidence-informed next step.</w:t>
      </w:r>
    </w:p>
    <w:tbl>
      <w:tblPr>
        <w:tblW w:type="auto" w:w="0"/>
        <w:jc w:val="center"/>
        <w:tblLayout w:type="fixed"/>
        <w:tblLook w:firstColumn="1" w:firstRow="1" w:lastColumn="0" w:lastRow="0" w:noHBand="0" w:noVBand="1" w:val="04A0"/>
      </w:tblPr>
      <w:tblGrid>
        <w:gridCol w:w="10080"/>
      </w:tblGrid>
      <w:tr>
        <w:tc>
          <w:tcPr>
            <w:tcW w:type="dxa" w:w="10282"/>
            <w:shd w:fill="FFF7D6"/>
            <w:tcMar>
              <w:top w:w="85" w:type="dxa"/>
              <w:start w:w="105" w:type="dxa"/>
              <w:bottom w:w="85" w:type="dxa"/>
              <w:end w:w="105" w:type="dxa"/>
            </w:tcMar>
            <w:tcBorders>
              <w:top w:val="single" w:sz="8" w:color="D6B656"/>
              <w:left w:val="single" w:sz="8" w:color="D6B656"/>
              <w:bottom w:val="single" w:sz="8" w:color="D6B656"/>
              <w:right w:val="single" w:sz="8" w:color="D6B656"/>
            </w:tcBorders>
          </w:tcPr>
          <w:p>
            <w:pPr>
              <w:spacing w:after="40"/>
            </w:pPr>
            <w:r>
              <w:rPr>
                <w:rFonts w:ascii="Arial" w:hAnsi="Arial" w:eastAsia="Arial"/>
                <w:b/>
                <w:color w:val="17365D"/>
                <w:sz w:val="18"/>
              </w:rPr>
              <w:t>EXAM RULE</w:t>
            </w:r>
          </w:p>
          <w:p>
            <w:pPr>
              <w:spacing w:after="0" w:line="245" w:lineRule="auto"/>
            </w:pPr>
            <w:r>
              <w:rPr>
                <w:rFonts w:ascii="Arial" w:hAnsi="Arial" w:eastAsia="Arial"/>
                <w:color w:val="1F2937"/>
                <w:sz w:val="18"/>
              </w:rPr>
              <w:t>Choose the intervention that best fits the current target, available evidence, client readiness and preference, setting, counselor competence, and measurable next step. A famous technique is not automatically the best answer.</w:t>
            </w:r>
          </w:p>
        </w:tc>
      </w:tr>
    </w:tbl>
    <w:p>
      <w:pPr>
        <w:spacing w:after="0"/>
      </w:pPr>
    </w:p>
    <w:p>
      <w:r>
        <w:rPr>
          <w:rFonts w:ascii="Arial" w:hAnsi="Arial" w:eastAsia="Arial"/>
        </w:rPr>
        <w:br w:type="page"/>
      </w:r>
    </w:p>
    <w:p>
      <w:pPr>
        <w:pStyle w:val="Heading1"/>
        <w:keepNext/>
      </w:pPr>
      <w:r>
        <w:rPr>
          <w:rFonts w:ascii="Arial" w:hAnsi="Arial" w:eastAsia="Arial"/>
        </w:rPr>
        <w:t>Cumulative Three-Part Case Lab</w:t>
      </w:r>
    </w:p>
    <w:tbl>
      <w:tblPr>
        <w:tblW w:type="auto" w:w="0"/>
        <w:jc w:val="center"/>
        <w:tblLayout w:type="fixed"/>
        <w:tblLook w:firstColumn="1" w:firstRow="1" w:lastColumn="0" w:lastRow="0" w:noHBand="0" w:noVBand="1" w:val="04A0"/>
      </w:tblPr>
      <w:tblGrid>
        <w:gridCol w:w="10080"/>
      </w:tblGrid>
      <w:tr>
        <w:tc>
          <w:tcPr>
            <w:tcW w:type="dxa" w:w="10282"/>
            <w:shd w:fill="EAF1F8"/>
            <w:tcMar>
              <w:top w:w="85" w:type="dxa"/>
              <w:start w:w="105" w:type="dxa"/>
              <w:bottom w:w="85" w:type="dxa"/>
              <w:end w:w="105" w:type="dxa"/>
            </w:tcMar>
            <w:tcBorders>
              <w:top w:val="single" w:sz="8" w:color="17365D"/>
              <w:left w:val="single" w:sz="8" w:color="17365D"/>
              <w:bottom w:val="single" w:sz="8" w:color="17365D"/>
              <w:right w:val="single" w:sz="8" w:color="17365D"/>
            </w:tcBorders>
          </w:tcPr>
          <w:p>
            <w:pPr>
              <w:spacing w:after="40"/>
            </w:pPr>
            <w:r>
              <w:rPr>
                <w:rFonts w:ascii="Arial" w:hAnsi="Arial" w:eastAsia="Arial"/>
                <w:b/>
                <w:color w:val="17365D"/>
                <w:sz w:val="18"/>
              </w:rPr>
              <w:t>HOW TO USE THIS CASE</w:t>
            </w:r>
          </w:p>
          <w:p>
            <w:pPr>
              <w:spacing w:after="0" w:line="245" w:lineRule="auto"/>
            </w:pPr>
            <w:r>
              <w:rPr>
                <w:rFonts w:ascii="Arial" w:hAnsi="Arial" w:eastAsia="Arial"/>
                <w:color w:val="1F2937"/>
                <w:sz w:val="18"/>
              </w:rPr>
              <w:t>Read only the information available in each part. Identify the current target and sequence before selecting an intervention. Do not import facts from later sections when answering earlier prompts.</w:t>
            </w:r>
          </w:p>
        </w:tc>
      </w:tr>
    </w:tbl>
    <w:p>
      <w:pPr>
        <w:spacing w:after="0"/>
      </w:pPr>
    </w:p>
    <w:p>
      <w:pPr>
        <w:pStyle w:val="Heading2"/>
        <w:keepNext/>
      </w:pPr>
      <w:r>
        <w:rPr>
          <w:rFonts w:ascii="Arial" w:hAnsi="Arial" w:eastAsia="Arial"/>
        </w:rPr>
        <w:t>Case: Nadia - Part 1, Fit and Readiness</w:t>
      </w:r>
    </w:p>
    <w:p>
      <w:pPr>
        <w:spacing w:before="0" w:after="80" w:line="252" w:lineRule="auto"/>
      </w:pPr>
      <w:r>
        <w:rPr>
          <w:rFonts w:ascii="Arial" w:hAnsi="Arial" w:eastAsia="Arial"/>
          <w:b w:val="0"/>
          <w:i w:val="0"/>
          <w:sz w:val="18"/>
        </w:rPr>
        <w:t>Nadia is a 36-year-old bilingual emergency-department nurse who was assaulted by a patient four months ago. She reports panic when entering the hospital parking structure, nightmares three nights per week, low mood, reduced exercise, and difficulty falling asleep after evening shifts. She drinks two or three glasses of wine most nights “to shut my brain off.” She denies current suicidal or homicidal ideation, has no history of mania or psychosis, and has already completed a medical evaluation. She wants to sleep better and return to full duties but says, “I am not ready to go through every detail of the assault.” Her faith community and sister are important supports. The counselor is competent in CBT and motivational interviewing but has not been trained in a manualized trauma-focused protocol.</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4896"/>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Prompt</w:t>
            </w:r>
          </w:p>
        </w:tc>
        <w:tc>
          <w:tcPr>
            <w:tcW w:type="dxa" w:w="5184"/>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Your Response</w:t>
            </w:r>
          </w:p>
        </w:tc>
      </w:tr>
      <w:tr>
        <w:trPr>
          <w:cantSplit/>
        </w:trPr>
        <w:tc>
          <w:tcPr>
            <w:tcW w:type="dxa" w:w="489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What are the immediate treatment targets and evidence gaps?</w:t>
            </w:r>
          </w:p>
        </w:tc>
        <w:tc>
          <w:tcPr>
            <w:tcW w:type="dxa" w:w="518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r>
      <w:tr>
        <w:trPr>
          <w:cantSplit/>
        </w:trPr>
        <w:tc>
          <w:tcPr>
            <w:tcW w:type="dxa" w:w="489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Which interventions are appropriate now, and which would be premature or outside competence?</w:t>
            </w:r>
          </w:p>
        </w:tc>
        <w:tc>
          <w:tcPr>
            <w:tcW w:type="dxa" w:w="5184"/>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r>
      <w:tr>
        <w:trPr>
          <w:cantSplit/>
        </w:trPr>
        <w:tc>
          <w:tcPr>
            <w:tcW w:type="dxa" w:w="489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How should sleep, activity, panic avoidance, and alcohol use be discussed without overwhelming Nadia?</w:t>
            </w:r>
          </w:p>
        </w:tc>
        <w:tc>
          <w:tcPr>
            <w:tcW w:type="dxa" w:w="518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r>
      <w:tr>
        <w:trPr>
          <w:cantSplit/>
        </w:trPr>
        <w:tc>
          <w:tcPr>
            <w:tcW w:type="dxa" w:w="489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What baseline measures and functional indicators should be tracked?</w:t>
            </w:r>
          </w:p>
        </w:tc>
        <w:tc>
          <w:tcPr>
            <w:tcW w:type="dxa" w:w="5184"/>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r>
    </w:tbl>
    <w:p>
      <w:pPr>
        <w:spacing w:after="0"/>
      </w:pPr>
    </w:p>
    <w:tbl>
      <w:tblPr>
        <w:tblW w:type="auto" w:w="0"/>
        <w:jc w:val="center"/>
        <w:tblLayout w:type="fixed"/>
        <w:tblLook w:firstColumn="1" w:firstRow="1" w:lastColumn="0" w:lastRow="0" w:noHBand="0" w:noVBand="1" w:val="04A0"/>
      </w:tblPr>
      <w:tblGrid>
        <w:gridCol w:w="10080"/>
      </w:tblGrid>
      <w:tr>
        <w:tc>
          <w:tcPr>
            <w:tcW w:type="dxa" w:w="10282"/>
            <w:shd w:fill="E8F5F5"/>
            <w:tcMar>
              <w:top w:w="85" w:type="dxa"/>
              <w:start w:w="105" w:type="dxa"/>
              <w:bottom w:w="85" w:type="dxa"/>
              <w:end w:w="105" w:type="dxa"/>
            </w:tcMar>
            <w:tcBorders>
              <w:top w:val="single" w:sz="8" w:color="159C9C"/>
              <w:left w:val="single" w:sz="8" w:color="159C9C"/>
              <w:bottom w:val="single" w:sz="8" w:color="159C9C"/>
              <w:right w:val="single" w:sz="8" w:color="159C9C"/>
            </w:tcBorders>
          </w:tcPr>
          <w:p>
            <w:pPr>
              <w:spacing w:after="40"/>
            </w:pPr>
            <w:r>
              <w:rPr>
                <w:rFonts w:ascii="Arial" w:hAnsi="Arial" w:eastAsia="Arial"/>
                <w:b/>
                <w:color w:val="159C9C"/>
                <w:sz w:val="18"/>
              </w:rPr>
              <w:t>Model Analysis</w:t>
            </w:r>
          </w:p>
          <w:p>
            <w:pPr>
              <w:spacing w:after="0" w:line="245" w:lineRule="auto"/>
            </w:pPr>
            <w:r>
              <w:rPr>
                <w:rFonts w:ascii="Arial" w:hAnsi="Arial" w:eastAsia="Arial"/>
                <w:color w:val="1F2937"/>
                <w:sz w:val="18"/>
              </w:rPr>
              <w:t>Begin with collaborative formulation, psychoeducation, measurement, behavioral activation or graded re-engagement, CBT-I-informed assessment and referral if needed, and a motivational conversation about alcohol and sleep. Address panic-related avoidance with a collaboratively developed exposure plan if Nadia agrees. Do not force trauma narration. Because the counselor lacks training in a trauma-focused protocol, discuss options, obtain consultation, and prepare referral or co-treatment if Nadia later chooses focused trauma therapy.</w:t>
            </w:r>
          </w:p>
        </w:tc>
      </w:tr>
    </w:tbl>
    <w:p>
      <w:pPr>
        <w:spacing w:after="0"/>
      </w:pPr>
    </w:p>
    <w:p>
      <w:pPr>
        <w:pStyle w:val="Heading2"/>
        <w:keepNext/>
      </w:pPr>
      <w:r>
        <w:rPr>
          <w:rFonts w:ascii="Arial" w:hAnsi="Arial" w:eastAsia="Arial"/>
        </w:rPr>
        <w:t>Case: Nadia - Part 2, Focused Treatment Choice</w:t>
      </w:r>
    </w:p>
    <w:p>
      <w:pPr>
        <w:spacing w:before="0" w:after="80" w:line="252" w:lineRule="auto"/>
      </w:pPr>
      <w:r>
        <w:rPr>
          <w:rFonts w:ascii="Arial" w:hAnsi="Arial" w:eastAsia="Arial"/>
          <w:b w:val="0"/>
          <w:i w:val="0"/>
          <w:sz w:val="18"/>
        </w:rPr>
        <w:t>After four weeks, Nadia has resumed two weekly walks, reduced alcohol to one drink on two evenings, and reports slightly improved sleep. She continues to avoid the parking structure and has frequent trauma-related guilt: “I should have seen it coming.” She says she now wants a treatment that directly addresses the assault but prefers a structured approach with limited verbal recounting. The counselor has consulted with a trained trauma specialist who can accept a referral within two weeks.</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4896"/>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Prompt</w:t>
            </w:r>
          </w:p>
        </w:tc>
        <w:tc>
          <w:tcPr>
            <w:tcW w:type="dxa" w:w="5184"/>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Your Response</w:t>
            </w:r>
          </w:p>
        </w:tc>
      </w:tr>
      <w:tr>
        <w:trPr>
          <w:cantSplit/>
        </w:trPr>
        <w:tc>
          <w:tcPr>
            <w:tcW w:type="dxa" w:w="489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How has readiness changed?</w:t>
            </w:r>
          </w:p>
        </w:tc>
        <w:tc>
          <w:tcPr>
            <w:tcW w:type="dxa" w:w="518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r>
      <w:tr>
        <w:trPr>
          <w:cantSplit/>
        </w:trPr>
        <w:tc>
          <w:tcPr>
            <w:tcW w:type="dxa" w:w="489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What evidence-supported options should be explained, including the counselor’s competence limits?</w:t>
            </w:r>
          </w:p>
        </w:tc>
        <w:tc>
          <w:tcPr>
            <w:tcW w:type="dxa" w:w="5184"/>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r>
      <w:tr>
        <w:trPr>
          <w:cantSplit/>
        </w:trPr>
        <w:tc>
          <w:tcPr>
            <w:tcW w:type="dxa" w:w="489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What would shared decision-making look like?</w:t>
            </w:r>
          </w:p>
        </w:tc>
        <w:tc>
          <w:tcPr>
            <w:tcW w:type="dxa" w:w="518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r>
      <w:tr>
        <w:trPr>
          <w:cantSplit/>
        </w:trPr>
        <w:tc>
          <w:tcPr>
            <w:tcW w:type="dxa" w:w="489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Which current gains should continue during transition?</w:t>
            </w:r>
          </w:p>
        </w:tc>
        <w:tc>
          <w:tcPr>
            <w:tcW w:type="dxa" w:w="5184"/>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r>
    </w:tbl>
    <w:p>
      <w:pPr>
        <w:spacing w:after="0"/>
      </w:pPr>
    </w:p>
    <w:tbl>
      <w:tblPr>
        <w:tblW w:type="auto" w:w="0"/>
        <w:jc w:val="center"/>
        <w:tblLayout w:type="fixed"/>
        <w:tblLook w:firstColumn="1" w:firstRow="1" w:lastColumn="0" w:lastRow="0" w:noHBand="0" w:noVBand="1" w:val="04A0"/>
      </w:tblPr>
      <w:tblGrid>
        <w:gridCol w:w="10080"/>
      </w:tblGrid>
      <w:tr>
        <w:tc>
          <w:tcPr>
            <w:tcW w:type="dxa" w:w="10282"/>
            <w:shd w:fill="E8F5F5"/>
            <w:tcMar>
              <w:top w:w="85" w:type="dxa"/>
              <w:start w:w="105" w:type="dxa"/>
              <w:bottom w:w="85" w:type="dxa"/>
              <w:end w:w="105" w:type="dxa"/>
            </w:tcMar>
            <w:tcBorders>
              <w:top w:val="single" w:sz="8" w:color="159C9C"/>
              <w:left w:val="single" w:sz="8" w:color="159C9C"/>
              <w:bottom w:val="single" w:sz="8" w:color="159C9C"/>
              <w:right w:val="single" w:sz="8" w:color="159C9C"/>
            </w:tcBorders>
          </w:tcPr>
          <w:p>
            <w:pPr>
              <w:spacing w:after="40"/>
            </w:pPr>
            <w:r>
              <w:rPr>
                <w:rFonts w:ascii="Arial" w:hAnsi="Arial" w:eastAsia="Arial"/>
                <w:b/>
                <w:color w:val="159C9C"/>
                <w:sz w:val="18"/>
              </w:rPr>
              <w:t>Model Analysis</w:t>
            </w:r>
          </w:p>
          <w:p>
            <w:pPr>
              <w:spacing w:after="0" w:line="245" w:lineRule="auto"/>
            </w:pPr>
            <w:r>
              <w:rPr>
                <w:rFonts w:ascii="Arial" w:hAnsi="Arial" w:eastAsia="Arial"/>
                <w:color w:val="1F2937"/>
                <w:sz w:val="18"/>
              </w:rPr>
              <w:t>Nadia is expressing increased readiness for trauma-focused treatment. Explain credible options in plain language, including differences in tasks and the counselor’s competence. Her preference for a structured, cognitively focused approach may fit CPT, but the decision should remain collaborative. Continue sleep, activity, alcohol-risk, coping, and exposure work that is helpful while arranging a coordinated handoff to the trained specialist.</w:t>
            </w:r>
          </w:p>
        </w:tc>
      </w:tr>
    </w:tbl>
    <w:p>
      <w:pPr>
        <w:spacing w:after="0"/>
      </w:pPr>
    </w:p>
    <w:p>
      <w:pPr>
        <w:pStyle w:val="Heading2"/>
        <w:keepNext/>
      </w:pPr>
      <w:r>
        <w:rPr>
          <w:rFonts w:ascii="Arial" w:hAnsi="Arial" w:eastAsia="Arial"/>
        </w:rPr>
        <w:t>Case: Nadia - Part 3, Nonresponse and Adaptation</w:t>
      </w:r>
    </w:p>
    <w:p>
      <w:pPr>
        <w:spacing w:before="0" w:after="80" w:line="252" w:lineRule="auto"/>
      </w:pPr>
      <w:r>
        <w:rPr>
          <w:rFonts w:ascii="Arial" w:hAnsi="Arial" w:eastAsia="Arial"/>
          <w:b w:val="0"/>
          <w:i w:val="0"/>
          <w:sz w:val="18"/>
        </w:rPr>
        <w:t>Six weeks after beginning CPT with the specialist, Nadia’s symptom score has changed little. She has attended every session but completed only one written practice assignment because rotating shifts leave her exhausted. She says the treatment rationale makes sense and she trusts the specialist, but the homework format “feels impossible.” Her work attendance has improved, alcohol use remains reduced, and she has begun using the parking structure with moderate anxiety.</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4896"/>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Prompt</w:t>
            </w:r>
          </w:p>
        </w:tc>
        <w:tc>
          <w:tcPr>
            <w:tcW w:type="dxa" w:w="5184"/>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Your Response</w:t>
            </w:r>
          </w:p>
        </w:tc>
      </w:tr>
      <w:tr>
        <w:trPr>
          <w:cantSplit/>
        </w:trPr>
        <w:tc>
          <w:tcPr>
            <w:tcW w:type="dxa" w:w="489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What evidence suggests improvement despite limited symptom-score change?</w:t>
            </w:r>
          </w:p>
        </w:tc>
        <w:tc>
          <w:tcPr>
            <w:tcW w:type="dxa" w:w="518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r>
      <w:tr>
        <w:trPr>
          <w:cantSplit/>
        </w:trPr>
        <w:tc>
          <w:tcPr>
            <w:tcW w:type="dxa" w:w="489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Which PIVOT questions should be reviewed before declaring treatment failure?</w:t>
            </w:r>
          </w:p>
        </w:tc>
        <w:tc>
          <w:tcPr>
            <w:tcW w:type="dxa" w:w="5184"/>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r>
      <w:tr>
        <w:trPr>
          <w:cantSplit/>
        </w:trPr>
        <w:tc>
          <w:tcPr>
            <w:tcW w:type="dxa" w:w="489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How might the homework be adapted while preserving the active ingredient?</w:t>
            </w:r>
          </w:p>
        </w:tc>
        <w:tc>
          <w:tcPr>
            <w:tcW w:type="dxa" w:w="518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r>
      <w:tr>
        <w:trPr>
          <w:cantSplit/>
        </w:trPr>
        <w:tc>
          <w:tcPr>
            <w:tcW w:type="dxa" w:w="489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When would a different treatment or higher level of care become appropriate?</w:t>
            </w:r>
          </w:p>
        </w:tc>
        <w:tc>
          <w:tcPr>
            <w:tcW w:type="dxa" w:w="5184"/>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r>
    </w:tbl>
    <w:p>
      <w:pPr>
        <w:spacing w:after="0"/>
      </w:pPr>
    </w:p>
    <w:tbl>
      <w:tblPr>
        <w:tblW w:type="auto" w:w="0"/>
        <w:jc w:val="center"/>
        <w:tblLayout w:type="fixed"/>
        <w:tblLook w:firstColumn="1" w:firstRow="1" w:lastColumn="0" w:lastRow="0" w:noHBand="0" w:noVBand="1" w:val="04A0"/>
      </w:tblPr>
      <w:tblGrid>
        <w:gridCol w:w="10080"/>
      </w:tblGrid>
      <w:tr>
        <w:tc>
          <w:tcPr>
            <w:tcW w:type="dxa" w:w="10282"/>
            <w:shd w:fill="E8F5F5"/>
            <w:tcMar>
              <w:top w:w="85" w:type="dxa"/>
              <w:start w:w="105" w:type="dxa"/>
              <w:bottom w:w="85" w:type="dxa"/>
              <w:end w:w="105" w:type="dxa"/>
            </w:tcMar>
            <w:tcBorders>
              <w:top w:val="single" w:sz="8" w:color="159C9C"/>
              <w:left w:val="single" w:sz="8" w:color="159C9C"/>
              <w:bottom w:val="single" w:sz="8" w:color="159C9C"/>
              <w:right w:val="single" w:sz="8" w:color="159C9C"/>
            </w:tcBorders>
          </w:tcPr>
          <w:p>
            <w:pPr>
              <w:spacing w:after="40"/>
            </w:pPr>
            <w:r>
              <w:rPr>
                <w:rFonts w:ascii="Arial" w:hAnsi="Arial" w:eastAsia="Arial"/>
                <w:b/>
                <w:color w:val="159C9C"/>
                <w:sz w:val="18"/>
              </w:rPr>
              <w:t>Model Analysis</w:t>
            </w:r>
          </w:p>
          <w:p>
            <w:pPr>
              <w:spacing w:after="0" w:line="245" w:lineRule="auto"/>
            </w:pPr>
            <w:r>
              <w:rPr>
                <w:rFonts w:ascii="Arial" w:hAnsi="Arial" w:eastAsia="Arial"/>
                <w:color w:val="1F2937"/>
                <w:sz w:val="18"/>
              </w:rPr>
              <w:t>Do not equate one score with the entire outcome. Work attendance, reduced alcohol use, and decreased avoidance suggest functional gains. Review implementation barriers, dosage, practice format, fatigue, and the exact active ingredients of CPT. The specialist might use shorter, scheduled, audio, or in-session practice while preserving cognitive processing. A different treatment becomes appropriate if an adequate, competently delivered and feasible trial remains ineffective, the client prefers another option, new contraindications emerge, or a different level of care is indicated.</w:t>
            </w:r>
          </w:p>
        </w:tc>
      </w:tr>
    </w:tbl>
    <w:p>
      <w:pPr>
        <w:spacing w:after="0"/>
      </w:pPr>
    </w:p>
    <w:p>
      <w:r>
        <w:rPr>
          <w:rFonts w:ascii="Arial" w:hAnsi="Arial" w:eastAsia="Arial"/>
        </w:rPr>
        <w:br w:type="page"/>
      </w:r>
    </w:p>
    <w:p>
      <w:pPr>
        <w:pStyle w:val="Heading1"/>
        <w:keepNext/>
      </w:pPr>
      <w:r>
        <w:rPr>
          <w:rFonts w:ascii="Arial" w:hAnsi="Arial" w:eastAsia="Arial"/>
        </w:rPr>
        <w:t>Knowledge Check</w:t>
      </w:r>
    </w:p>
    <w:p>
      <w:pPr>
        <w:spacing w:before="0" w:after="80" w:line="252" w:lineRule="auto"/>
      </w:pPr>
      <w:r>
        <w:rPr>
          <w:rFonts w:ascii="Arial" w:hAnsi="Arial" w:eastAsia="Arial"/>
          <w:b w:val="0"/>
          <w:i w:val="0"/>
          <w:sz w:val="18"/>
        </w:rPr>
        <w:t>Choose the one best answer. Complete all 10 questions before reviewing the rationales. Record your confidence so you can distinguish knowledge gaps from sequencing, overreach, and distractor errors.</w:t>
      </w:r>
    </w:p>
    <w:p>
      <w:pPr>
        <w:spacing w:before="80" w:after="40"/>
      </w:pPr>
      <w:r>
        <w:rPr>
          <w:rFonts w:ascii="Arial" w:hAnsi="Arial" w:eastAsia="Arial"/>
          <w:b/>
          <w:color w:val="1F2937"/>
          <w:sz w:val="18"/>
        </w:rPr>
        <w:t>1. Which statement best describes evidence-based psychological practice?</w:t>
      </w:r>
    </w:p>
    <w:p>
      <w:pPr>
        <w:spacing w:after="20"/>
        <w:ind w:left="259" w:hanging="259"/>
      </w:pPr>
      <w:r>
        <w:rPr>
          <w:rFonts w:ascii="Arial" w:hAnsi="Arial" w:eastAsia="Arial"/>
          <w:sz w:val="18"/>
        </w:rPr>
        <w:t>A. Use only manualized interventions with randomized controlled-trial support.</w:t>
      </w:r>
    </w:p>
    <w:p>
      <w:pPr>
        <w:spacing w:after="20"/>
        <w:ind w:left="259" w:hanging="259"/>
      </w:pPr>
      <w:r>
        <w:rPr>
          <w:rFonts w:ascii="Arial" w:hAnsi="Arial" w:eastAsia="Arial"/>
          <w:sz w:val="18"/>
        </w:rPr>
        <w:t>B. Integrate the best available research with clinical expertise and the client’s characteristics, culture, preferences, and goals.</w:t>
      </w:r>
    </w:p>
    <w:p>
      <w:pPr>
        <w:spacing w:after="20"/>
        <w:ind w:left="259" w:hanging="259"/>
      </w:pPr>
      <w:r>
        <w:rPr>
          <w:rFonts w:ascii="Arial" w:hAnsi="Arial" w:eastAsia="Arial"/>
          <w:sz w:val="18"/>
        </w:rPr>
        <w:t>C. Use the intervention the counselor has delivered most often because familiarity reduces risk.</w:t>
      </w:r>
    </w:p>
    <w:p>
      <w:pPr>
        <w:spacing w:after="20"/>
        <w:ind w:left="259" w:hanging="259"/>
      </w:pPr>
      <w:r>
        <w:rPr>
          <w:rFonts w:ascii="Arial" w:hAnsi="Arial" w:eastAsia="Arial"/>
          <w:sz w:val="18"/>
        </w:rPr>
        <w:t>D. Allow client preference to replace assessment and outcome monitoring.</w:t>
      </w:r>
    </w:p>
    <w:p>
      <w:pPr>
        <w:spacing w:after="40"/>
      </w:pPr>
      <w:r>
        <w:rPr>
          <w:rFonts w:ascii="Arial" w:hAnsi="Arial" w:eastAsia="Arial"/>
          <w:i/>
          <w:color w:val="6B7280"/>
          <w:sz w:val="15"/>
        </w:rPr>
        <w:t>Question ID: LPCC-WB09-Q001</w:t>
      </w:r>
    </w:p>
    <w:p>
      <w:pPr>
        <w:spacing w:before="80" w:after="40"/>
      </w:pPr>
      <w:r>
        <w:rPr>
          <w:rFonts w:ascii="Arial" w:hAnsi="Arial" w:eastAsia="Arial"/>
          <w:b/>
          <w:color w:val="1F2937"/>
          <w:sz w:val="18"/>
        </w:rPr>
        <w:t>2. A client with depression spends most days in bed, has stopped valued activities, and says, “I will act when I feel motivated.” Which intervention is the best initial fit?</w:t>
      </w:r>
    </w:p>
    <w:p>
      <w:pPr>
        <w:spacing w:after="20"/>
        <w:ind w:left="259" w:hanging="259"/>
      </w:pPr>
      <w:r>
        <w:rPr>
          <w:rFonts w:ascii="Arial" w:hAnsi="Arial" w:eastAsia="Arial"/>
          <w:sz w:val="18"/>
        </w:rPr>
        <w:t>A. Behavioral activation using small, scheduled, values-linked activities.</w:t>
      </w:r>
    </w:p>
    <w:p>
      <w:pPr>
        <w:spacing w:after="20"/>
        <w:ind w:left="259" w:hanging="259"/>
      </w:pPr>
      <w:r>
        <w:rPr>
          <w:rFonts w:ascii="Arial" w:hAnsi="Arial" w:eastAsia="Arial"/>
          <w:sz w:val="18"/>
        </w:rPr>
        <w:t>B. Immediate intensive trauma exposure.</w:t>
      </w:r>
    </w:p>
    <w:p>
      <w:pPr>
        <w:spacing w:after="20"/>
        <w:ind w:left="259" w:hanging="259"/>
      </w:pPr>
      <w:r>
        <w:rPr>
          <w:rFonts w:ascii="Arial" w:hAnsi="Arial" w:eastAsia="Arial"/>
          <w:sz w:val="18"/>
        </w:rPr>
        <w:t>C. Repeated reassurance that motivation will return naturally.</w:t>
      </w:r>
    </w:p>
    <w:p>
      <w:pPr>
        <w:spacing w:after="20"/>
        <w:ind w:left="259" w:hanging="259"/>
      </w:pPr>
      <w:r>
        <w:rPr>
          <w:rFonts w:ascii="Arial" w:hAnsi="Arial" w:eastAsia="Arial"/>
          <w:sz w:val="18"/>
        </w:rPr>
        <w:t>D. Interpretation of unconscious resistance before any behavioral plan.</w:t>
      </w:r>
    </w:p>
    <w:p>
      <w:pPr>
        <w:spacing w:after="40"/>
      </w:pPr>
      <w:r>
        <w:rPr>
          <w:rFonts w:ascii="Arial" w:hAnsi="Arial" w:eastAsia="Arial"/>
          <w:i/>
          <w:color w:val="6B7280"/>
          <w:sz w:val="15"/>
        </w:rPr>
        <w:t>Question ID: LPCC-WB09-Q002</w:t>
      </w:r>
    </w:p>
    <w:p>
      <w:pPr>
        <w:spacing w:before="80" w:after="40"/>
      </w:pPr>
      <w:r>
        <w:rPr>
          <w:rFonts w:ascii="Arial" w:hAnsi="Arial" w:eastAsia="Arial"/>
          <w:b/>
          <w:color w:val="1F2937"/>
          <w:sz w:val="18"/>
        </w:rPr>
        <w:t>3. A client with panic disorder fears that a racing heart means a heart attack. Medical causes have been appropriately evaluated. Which intervention most directly targets the maintaining mechanism?</w:t>
      </w:r>
    </w:p>
    <w:p>
      <w:pPr>
        <w:spacing w:after="20"/>
        <w:ind w:left="259" w:hanging="259"/>
      </w:pPr>
      <w:r>
        <w:rPr>
          <w:rFonts w:ascii="Arial" w:hAnsi="Arial" w:eastAsia="Arial"/>
          <w:sz w:val="18"/>
        </w:rPr>
        <w:t>A. Avoid all activities that increase heart rate until anxiety disappears.</w:t>
      </w:r>
    </w:p>
    <w:p>
      <w:pPr>
        <w:spacing w:after="20"/>
        <w:ind w:left="259" w:hanging="259"/>
      </w:pPr>
      <w:r>
        <w:rPr>
          <w:rFonts w:ascii="Arial" w:hAnsi="Arial" w:eastAsia="Arial"/>
          <w:sz w:val="18"/>
        </w:rPr>
        <w:t>B. Use relaxation every time the heart rate rises so the sensation stops immediately.</w:t>
      </w:r>
    </w:p>
    <w:p>
      <w:pPr>
        <w:spacing w:after="20"/>
        <w:ind w:left="259" w:hanging="259"/>
      </w:pPr>
      <w:r>
        <w:rPr>
          <w:rFonts w:ascii="Arial" w:hAnsi="Arial" w:eastAsia="Arial"/>
          <w:sz w:val="18"/>
        </w:rPr>
        <w:t>C. Collaboratively use interoceptive exposure and cognitive reappraisal while reducing safety behaviors.</w:t>
      </w:r>
    </w:p>
    <w:p>
      <w:pPr>
        <w:spacing w:after="20"/>
        <w:ind w:left="259" w:hanging="259"/>
      </w:pPr>
      <w:r>
        <w:rPr>
          <w:rFonts w:ascii="Arial" w:hAnsi="Arial" w:eastAsia="Arial"/>
          <w:sz w:val="18"/>
        </w:rPr>
        <w:t>D. Discuss childhood relationships without addressing feared bodily sensations.</w:t>
      </w:r>
    </w:p>
    <w:p>
      <w:pPr>
        <w:spacing w:after="40"/>
      </w:pPr>
      <w:r>
        <w:rPr>
          <w:rFonts w:ascii="Arial" w:hAnsi="Arial" w:eastAsia="Arial"/>
          <w:i/>
          <w:color w:val="6B7280"/>
          <w:sz w:val="15"/>
        </w:rPr>
        <w:t>Question ID: LPCC-WB09-Q003</w:t>
      </w:r>
    </w:p>
    <w:p>
      <w:pPr>
        <w:spacing w:before="80" w:after="40"/>
      </w:pPr>
      <w:r>
        <w:rPr>
          <w:rFonts w:ascii="Arial" w:hAnsi="Arial" w:eastAsia="Arial"/>
          <w:b/>
          <w:color w:val="1F2937"/>
          <w:sz w:val="18"/>
        </w:rPr>
        <w:t>4. A client with OCD repeatedly asks the counselor to confirm that an intrusive thought does not mean the client is dangerous. What is the best response?</w:t>
      </w:r>
    </w:p>
    <w:p>
      <w:pPr>
        <w:spacing w:after="20"/>
        <w:ind w:left="259" w:hanging="259"/>
      </w:pPr>
      <w:r>
        <w:rPr>
          <w:rFonts w:ascii="Arial" w:hAnsi="Arial" w:eastAsia="Arial"/>
          <w:sz w:val="18"/>
        </w:rPr>
        <w:t>A. Provide stronger reassurance at every session so anxiety decreases.</w:t>
      </w:r>
    </w:p>
    <w:p>
      <w:pPr>
        <w:spacing w:after="20"/>
        <w:ind w:left="259" w:hanging="259"/>
      </w:pPr>
      <w:r>
        <w:rPr>
          <w:rFonts w:ascii="Arial" w:hAnsi="Arial" w:eastAsia="Arial"/>
          <w:sz w:val="18"/>
        </w:rPr>
        <w:t>B. Help the client examine the obsession-ritual-reassurance cycle and consider ERP within competence and consent.</w:t>
      </w:r>
    </w:p>
    <w:p>
      <w:pPr>
        <w:spacing w:after="20"/>
        <w:ind w:left="259" w:hanging="259"/>
      </w:pPr>
      <w:r>
        <w:rPr>
          <w:rFonts w:ascii="Arial" w:hAnsi="Arial" w:eastAsia="Arial"/>
          <w:sz w:val="18"/>
        </w:rPr>
        <w:t>C. Report the client solely because the thought is disturbing.</w:t>
      </w:r>
    </w:p>
    <w:p>
      <w:pPr>
        <w:spacing w:after="20"/>
        <w:ind w:left="259" w:hanging="259"/>
      </w:pPr>
      <w:r>
        <w:rPr>
          <w:rFonts w:ascii="Arial" w:hAnsi="Arial" w:eastAsia="Arial"/>
          <w:sz w:val="18"/>
        </w:rPr>
        <w:t>D. Ask the client to suppress the thought whenever it appears.</w:t>
      </w:r>
    </w:p>
    <w:p>
      <w:pPr>
        <w:spacing w:after="40"/>
      </w:pPr>
      <w:r>
        <w:rPr>
          <w:rFonts w:ascii="Arial" w:hAnsi="Arial" w:eastAsia="Arial"/>
          <w:i/>
          <w:color w:val="6B7280"/>
          <w:sz w:val="15"/>
        </w:rPr>
        <w:t>Question ID: LPCC-WB09-Q004</w:t>
      </w:r>
    </w:p>
    <w:p>
      <w:pPr>
        <w:spacing w:before="80" w:after="40"/>
      </w:pPr>
      <w:r>
        <w:rPr>
          <w:rFonts w:ascii="Arial" w:hAnsi="Arial" w:eastAsia="Arial"/>
          <w:b/>
          <w:color w:val="1F2937"/>
          <w:sz w:val="18"/>
        </w:rPr>
        <w:t>5. A trauma survivor says, “I want help sleeping and functioning, but I am not ready for detailed trauma processing.” What should the counselor do first?</w:t>
      </w:r>
    </w:p>
    <w:p>
      <w:pPr>
        <w:spacing w:after="20"/>
        <w:ind w:left="259" w:hanging="259"/>
      </w:pPr>
      <w:r>
        <w:rPr>
          <w:rFonts w:ascii="Arial" w:hAnsi="Arial" w:eastAsia="Arial"/>
          <w:sz w:val="18"/>
        </w:rPr>
        <w:t>A. Explain that evidence-based care requires immediate detailed exposure.</w:t>
      </w:r>
    </w:p>
    <w:p>
      <w:pPr>
        <w:spacing w:after="20"/>
        <w:ind w:left="259" w:hanging="259"/>
      </w:pPr>
      <w:r>
        <w:rPr>
          <w:rFonts w:ascii="Arial" w:hAnsi="Arial" w:eastAsia="Arial"/>
          <w:sz w:val="18"/>
        </w:rPr>
        <w:t>B. Avoid discussing trauma-related symptoms for the remainder of treatment.</w:t>
      </w:r>
    </w:p>
    <w:p>
      <w:pPr>
        <w:spacing w:after="20"/>
        <w:ind w:left="259" w:hanging="259"/>
      </w:pPr>
      <w:r>
        <w:rPr>
          <w:rFonts w:ascii="Arial" w:hAnsi="Arial" w:eastAsia="Arial"/>
          <w:sz w:val="18"/>
        </w:rPr>
        <w:t>C. Collaborate on current goals, stabilization and coping needs, provide options, and revisit trauma-focused treatment when the client is ready.</w:t>
      </w:r>
    </w:p>
    <w:p>
      <w:pPr>
        <w:spacing w:after="20"/>
        <w:ind w:left="259" w:hanging="259"/>
      </w:pPr>
      <w:r>
        <w:rPr>
          <w:rFonts w:ascii="Arial" w:hAnsi="Arial" w:eastAsia="Arial"/>
          <w:sz w:val="18"/>
        </w:rPr>
        <w:t>D. Terminate because the client is not compliant with the preferred protocol.</w:t>
      </w:r>
    </w:p>
    <w:p>
      <w:pPr>
        <w:spacing w:after="40"/>
      </w:pPr>
      <w:r>
        <w:rPr>
          <w:rFonts w:ascii="Arial" w:hAnsi="Arial" w:eastAsia="Arial"/>
          <w:i/>
          <w:color w:val="6B7280"/>
          <w:sz w:val="15"/>
        </w:rPr>
        <w:t>Question ID: LPCC-WB09-Q005</w:t>
      </w:r>
    </w:p>
    <w:p>
      <w:pPr>
        <w:spacing w:before="80" w:after="40"/>
      </w:pPr>
      <w:r>
        <w:rPr>
          <w:rFonts w:ascii="Arial" w:hAnsi="Arial" w:eastAsia="Arial"/>
          <w:b/>
          <w:color w:val="1F2937"/>
          <w:sz w:val="18"/>
        </w:rPr>
        <w:t>6. A counselor teaches mindfulness to a client who becomes more dissociated when focusing internally. What is the best next step?</w:t>
      </w:r>
    </w:p>
    <w:p>
      <w:pPr>
        <w:spacing w:after="20"/>
        <w:ind w:left="259" w:hanging="259"/>
      </w:pPr>
      <w:r>
        <w:rPr>
          <w:rFonts w:ascii="Arial" w:hAnsi="Arial" w:eastAsia="Arial"/>
          <w:sz w:val="18"/>
        </w:rPr>
        <w:t>A. Insist on longer internal-focus practice because distress proves the technique is working.</w:t>
      </w:r>
    </w:p>
    <w:p>
      <w:pPr>
        <w:spacing w:after="20"/>
        <w:ind w:left="259" w:hanging="259"/>
      </w:pPr>
      <w:r>
        <w:rPr>
          <w:rFonts w:ascii="Arial" w:hAnsi="Arial" w:eastAsia="Arial"/>
          <w:sz w:val="18"/>
        </w:rPr>
        <w:t>B. Conclude that all mindfulness-based methods are contraindicated forever.</w:t>
      </w:r>
    </w:p>
    <w:p>
      <w:pPr>
        <w:spacing w:after="20"/>
        <w:ind w:left="259" w:hanging="259"/>
      </w:pPr>
      <w:r>
        <w:rPr>
          <w:rFonts w:ascii="Arial" w:hAnsi="Arial" w:eastAsia="Arial"/>
          <w:sz w:val="18"/>
        </w:rPr>
        <w:t>C. Assess the response, adapt toward external grounding or another method, and consult or refer as indicated.</w:t>
      </w:r>
    </w:p>
    <w:p>
      <w:pPr>
        <w:spacing w:after="20"/>
        <w:ind w:left="259" w:hanging="259"/>
      </w:pPr>
      <w:r>
        <w:rPr>
          <w:rFonts w:ascii="Arial" w:hAnsi="Arial" w:eastAsia="Arial"/>
          <w:sz w:val="18"/>
        </w:rPr>
        <w:t>D. Ignore the dissociation and continue the same assignment without review.</w:t>
      </w:r>
    </w:p>
    <w:p>
      <w:pPr>
        <w:spacing w:after="40"/>
      </w:pPr>
      <w:r>
        <w:rPr>
          <w:rFonts w:ascii="Arial" w:hAnsi="Arial" w:eastAsia="Arial"/>
          <w:i/>
          <w:color w:val="6B7280"/>
          <w:sz w:val="15"/>
        </w:rPr>
        <w:t>Question ID: LPCC-WB09-Q006</w:t>
      </w:r>
    </w:p>
    <w:p>
      <w:pPr>
        <w:spacing w:before="80" w:after="40"/>
      </w:pPr>
      <w:r>
        <w:rPr>
          <w:rFonts w:ascii="Arial" w:hAnsi="Arial" w:eastAsia="Arial"/>
          <w:b/>
          <w:color w:val="1F2937"/>
          <w:sz w:val="18"/>
        </w:rPr>
        <w:t>7. A client says, “Cannabis helps me sleep, but I hate feeling foggy at work. I am not sure I want to stop.” Which response best reflects motivational interviewing?</w:t>
      </w:r>
    </w:p>
    <w:p>
      <w:pPr>
        <w:spacing w:after="20"/>
        <w:ind w:left="259" w:hanging="259"/>
      </w:pPr>
      <w:r>
        <w:rPr>
          <w:rFonts w:ascii="Arial" w:hAnsi="Arial" w:eastAsia="Arial"/>
          <w:sz w:val="18"/>
        </w:rPr>
        <w:t>A. “You must stop immediately or therapy cannot continue.”</w:t>
      </w:r>
    </w:p>
    <w:p>
      <w:pPr>
        <w:spacing w:after="20"/>
        <w:ind w:left="259" w:hanging="259"/>
      </w:pPr>
      <w:r>
        <w:rPr>
          <w:rFonts w:ascii="Arial" w:hAnsi="Arial" w:eastAsia="Arial"/>
          <w:sz w:val="18"/>
        </w:rPr>
        <w:t>B. “Let’s look at what you like about using, what concerns you, and how this fits with the kind of workday you want.”</w:t>
      </w:r>
    </w:p>
    <w:p>
      <w:pPr>
        <w:spacing w:after="20"/>
        <w:ind w:left="259" w:hanging="259"/>
      </w:pPr>
      <w:r>
        <w:rPr>
          <w:rFonts w:ascii="Arial" w:hAnsi="Arial" w:eastAsia="Arial"/>
          <w:sz w:val="18"/>
        </w:rPr>
        <w:t>C. “Cannabis is clearly the only cause of your sleep problem.”</w:t>
      </w:r>
    </w:p>
    <w:p>
      <w:pPr>
        <w:spacing w:after="20"/>
        <w:ind w:left="259" w:hanging="259"/>
      </w:pPr>
      <w:r>
        <w:rPr>
          <w:rFonts w:ascii="Arial" w:hAnsi="Arial" w:eastAsia="Arial"/>
          <w:sz w:val="18"/>
        </w:rPr>
        <w:t>D. “I will tell you the correct decision after you complete a personality test.”</w:t>
      </w:r>
    </w:p>
    <w:p>
      <w:pPr>
        <w:spacing w:after="40"/>
      </w:pPr>
      <w:r>
        <w:rPr>
          <w:rFonts w:ascii="Arial" w:hAnsi="Arial" w:eastAsia="Arial"/>
          <w:i/>
          <w:color w:val="6B7280"/>
          <w:sz w:val="15"/>
        </w:rPr>
        <w:t>Question ID: LPCC-WB09-Q007</w:t>
      </w:r>
    </w:p>
    <w:p>
      <w:pPr>
        <w:spacing w:before="80" w:after="40"/>
      </w:pPr>
      <w:r>
        <w:rPr>
          <w:rFonts w:ascii="Arial" w:hAnsi="Arial" w:eastAsia="Arial"/>
          <w:b/>
          <w:color w:val="1F2937"/>
          <w:sz w:val="18"/>
        </w:rPr>
        <w:t>8. A client has one episode of alcohol use after six weeks of abstinence. There is no acute medical or safety emergency. What is the best counselor response?</w:t>
      </w:r>
    </w:p>
    <w:p>
      <w:pPr>
        <w:spacing w:after="20"/>
        <w:ind w:left="259" w:hanging="259"/>
      </w:pPr>
      <w:r>
        <w:rPr>
          <w:rFonts w:ascii="Arial" w:hAnsi="Arial" w:eastAsia="Arial"/>
          <w:sz w:val="18"/>
        </w:rPr>
        <w:t>A. Frame the episode as data, review triggers and coping, reinforce progress, and revise the relapse-prevention plan.</w:t>
      </w:r>
    </w:p>
    <w:p>
      <w:pPr>
        <w:spacing w:after="20"/>
        <w:ind w:left="259" w:hanging="259"/>
      </w:pPr>
      <w:r>
        <w:rPr>
          <w:rFonts w:ascii="Arial" w:hAnsi="Arial" w:eastAsia="Arial"/>
          <w:sz w:val="18"/>
        </w:rPr>
        <w:t>B. Discharge the client immediately for treatment failure.</w:t>
      </w:r>
    </w:p>
    <w:p>
      <w:pPr>
        <w:spacing w:after="20"/>
        <w:ind w:left="259" w:hanging="259"/>
      </w:pPr>
      <w:r>
        <w:rPr>
          <w:rFonts w:ascii="Arial" w:hAnsi="Arial" w:eastAsia="Arial"/>
          <w:sz w:val="18"/>
        </w:rPr>
        <w:t>C. Ignore the episode to avoid shame.</w:t>
      </w:r>
    </w:p>
    <w:p>
      <w:pPr>
        <w:spacing w:after="20"/>
        <w:ind w:left="259" w:hanging="259"/>
      </w:pPr>
      <w:r>
        <w:rPr>
          <w:rFonts w:ascii="Arial" w:hAnsi="Arial" w:eastAsia="Arial"/>
          <w:sz w:val="18"/>
        </w:rPr>
        <w:t>D. Tell the client the prior six weeks no longer count.</w:t>
      </w:r>
    </w:p>
    <w:p>
      <w:pPr>
        <w:spacing w:after="40"/>
      </w:pPr>
      <w:r>
        <w:rPr>
          <w:rFonts w:ascii="Arial" w:hAnsi="Arial" w:eastAsia="Arial"/>
          <w:i/>
          <w:color w:val="6B7280"/>
          <w:sz w:val="15"/>
        </w:rPr>
        <w:t>Question ID: LPCC-WB09-Q008</w:t>
      </w:r>
    </w:p>
    <w:p>
      <w:pPr>
        <w:spacing w:before="80" w:after="40"/>
      </w:pPr>
      <w:r>
        <w:rPr>
          <w:rFonts w:ascii="Arial" w:hAnsi="Arial" w:eastAsia="Arial"/>
          <w:b/>
          <w:color w:val="1F2937"/>
          <w:sz w:val="18"/>
        </w:rPr>
        <w:t>9. Symptoms have not improved after four weeks of an intervention. What should the counselor do before switching approaches?</w:t>
      </w:r>
    </w:p>
    <w:p>
      <w:pPr>
        <w:spacing w:after="20"/>
        <w:ind w:left="259" w:hanging="259"/>
      </w:pPr>
      <w:r>
        <w:rPr>
          <w:rFonts w:ascii="Arial" w:hAnsi="Arial" w:eastAsia="Arial"/>
          <w:sz w:val="18"/>
        </w:rPr>
        <w:t>A. Assume the diagnosis was wrong and choose a new diagnosis.</w:t>
      </w:r>
    </w:p>
    <w:p>
      <w:pPr>
        <w:spacing w:after="20"/>
        <w:ind w:left="259" w:hanging="259"/>
      </w:pPr>
      <w:r>
        <w:rPr>
          <w:rFonts w:ascii="Arial" w:hAnsi="Arial" w:eastAsia="Arial"/>
          <w:sz w:val="18"/>
        </w:rPr>
        <w:t>B. Review target definition, implementation, dosage, barriers, alliance, client fit, and emerging safety or medical factors.</w:t>
      </w:r>
    </w:p>
    <w:p>
      <w:pPr>
        <w:spacing w:after="20"/>
        <w:ind w:left="259" w:hanging="259"/>
      </w:pPr>
      <w:r>
        <w:rPr>
          <w:rFonts w:ascii="Arial" w:hAnsi="Arial" w:eastAsia="Arial"/>
          <w:sz w:val="18"/>
        </w:rPr>
        <w:t>C. Add several unrelated techniques so at least one will work.</w:t>
      </w:r>
    </w:p>
    <w:p>
      <w:pPr>
        <w:spacing w:after="20"/>
        <w:ind w:left="259" w:hanging="259"/>
      </w:pPr>
      <w:r>
        <w:rPr>
          <w:rFonts w:ascii="Arial" w:hAnsi="Arial" w:eastAsia="Arial"/>
          <w:sz w:val="18"/>
        </w:rPr>
        <w:t>D. Continue unchanged indefinitely because evidence-supported treatments always work eventually.</w:t>
      </w:r>
    </w:p>
    <w:p>
      <w:pPr>
        <w:spacing w:after="40"/>
      </w:pPr>
      <w:r>
        <w:rPr>
          <w:rFonts w:ascii="Arial" w:hAnsi="Arial" w:eastAsia="Arial"/>
          <w:i/>
          <w:color w:val="6B7280"/>
          <w:sz w:val="15"/>
        </w:rPr>
        <w:t>Question ID: LPCC-WB09-Q009</w:t>
      </w:r>
    </w:p>
    <w:p>
      <w:pPr>
        <w:spacing w:before="80" w:after="40"/>
      </w:pPr>
      <w:r>
        <w:rPr>
          <w:rFonts w:ascii="Arial" w:hAnsi="Arial" w:eastAsia="Arial"/>
          <w:b/>
          <w:color w:val="1F2937"/>
          <w:sz w:val="18"/>
        </w:rPr>
        <w:t>10. A client requests a specialized trauma treatment the counselor has read about but has never been trained to deliver. What is the best response?</w:t>
      </w:r>
    </w:p>
    <w:p>
      <w:pPr>
        <w:spacing w:after="20"/>
        <w:ind w:left="259" w:hanging="259"/>
      </w:pPr>
      <w:r>
        <w:rPr>
          <w:rFonts w:ascii="Arial" w:hAnsi="Arial" w:eastAsia="Arial"/>
          <w:sz w:val="18"/>
        </w:rPr>
        <w:t>A. Deliver the treatment after watching a short online demonstration.</w:t>
      </w:r>
    </w:p>
    <w:p>
      <w:pPr>
        <w:spacing w:after="20"/>
        <w:ind w:left="259" w:hanging="259"/>
      </w:pPr>
      <w:r>
        <w:rPr>
          <w:rFonts w:ascii="Arial" w:hAnsi="Arial" w:eastAsia="Arial"/>
          <w:sz w:val="18"/>
        </w:rPr>
        <w:t>B. Decline to discuss the treatment because referral could damage the alliance.</w:t>
      </w:r>
    </w:p>
    <w:p>
      <w:pPr>
        <w:spacing w:after="20"/>
        <w:ind w:left="259" w:hanging="259"/>
      </w:pPr>
      <w:r>
        <w:rPr>
          <w:rFonts w:ascii="Arial" w:hAnsi="Arial" w:eastAsia="Arial"/>
          <w:sz w:val="18"/>
        </w:rPr>
        <w:t>C. Explain the competence limit, discuss evidence-supported options, and arrange consultation, referral, or coordinated care.</w:t>
      </w:r>
    </w:p>
    <w:p>
      <w:pPr>
        <w:spacing w:after="20"/>
        <w:ind w:left="259" w:hanging="259"/>
      </w:pPr>
      <w:r>
        <w:rPr>
          <w:rFonts w:ascii="Arial" w:hAnsi="Arial" w:eastAsia="Arial"/>
          <w:sz w:val="18"/>
        </w:rPr>
        <w:t>D. Use the treatment but document that the client requested it.</w:t>
      </w:r>
    </w:p>
    <w:p>
      <w:pPr>
        <w:spacing w:after="40"/>
      </w:pPr>
      <w:r>
        <w:rPr>
          <w:rFonts w:ascii="Arial" w:hAnsi="Arial" w:eastAsia="Arial"/>
          <w:i/>
          <w:color w:val="6B7280"/>
          <w:sz w:val="15"/>
        </w:rPr>
        <w:t>Question ID: LPCC-WB09-Q010</w:t>
      </w:r>
    </w:p>
    <w:p>
      <w:pPr>
        <w:pStyle w:val="Heading2"/>
        <w:keepNext/>
      </w:pPr>
      <w:r>
        <w:rPr>
          <w:rFonts w:ascii="Arial" w:hAnsi="Arial" w:eastAsia="Arial"/>
        </w:rPr>
        <w:t>Knowledge Check Answer Record</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792"/>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Q</w:t>
            </w:r>
          </w:p>
        </w:tc>
        <w:tc>
          <w:tcPr>
            <w:tcW w:type="dxa" w:w="1152"/>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Answer</w:t>
            </w:r>
          </w:p>
        </w:tc>
        <w:tc>
          <w:tcPr>
            <w:tcW w:type="dxa" w:w="1800"/>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Confidence 1-3</w:t>
            </w:r>
          </w:p>
        </w:tc>
        <w:tc>
          <w:tcPr>
            <w:tcW w:type="dxa" w:w="6336"/>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Error Code / Note</w:t>
            </w:r>
          </w:p>
        </w:tc>
      </w:tr>
      <w:tr>
        <w:trPr>
          <w:cantSplit/>
        </w:trPr>
        <w:tc>
          <w:tcPr>
            <w:tcW w:type="dxa" w:w="79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1</w:t>
            </w:r>
          </w:p>
        </w:tc>
        <w:tc>
          <w:tcPr>
            <w:tcW w:type="dxa" w:w="115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c>
          <w:tcPr>
            <w:tcW w:type="dxa" w:w="180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c>
          <w:tcPr>
            <w:tcW w:type="dxa" w:w="633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r>
      <w:tr>
        <w:trPr>
          <w:cantSplit/>
        </w:trPr>
        <w:tc>
          <w:tcPr>
            <w:tcW w:type="dxa" w:w="792"/>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2</w:t>
            </w:r>
          </w:p>
        </w:tc>
        <w:tc>
          <w:tcPr>
            <w:tcW w:type="dxa" w:w="1152"/>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c>
          <w:tcPr>
            <w:tcW w:type="dxa" w:w="180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c>
          <w:tcPr>
            <w:tcW w:type="dxa" w:w="633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r>
      <w:tr>
        <w:trPr>
          <w:cantSplit/>
        </w:trPr>
        <w:tc>
          <w:tcPr>
            <w:tcW w:type="dxa" w:w="79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3</w:t>
            </w:r>
          </w:p>
        </w:tc>
        <w:tc>
          <w:tcPr>
            <w:tcW w:type="dxa" w:w="115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c>
          <w:tcPr>
            <w:tcW w:type="dxa" w:w="180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c>
          <w:tcPr>
            <w:tcW w:type="dxa" w:w="633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r>
      <w:tr>
        <w:trPr>
          <w:cantSplit/>
        </w:trPr>
        <w:tc>
          <w:tcPr>
            <w:tcW w:type="dxa" w:w="792"/>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4</w:t>
            </w:r>
          </w:p>
        </w:tc>
        <w:tc>
          <w:tcPr>
            <w:tcW w:type="dxa" w:w="1152"/>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c>
          <w:tcPr>
            <w:tcW w:type="dxa" w:w="180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c>
          <w:tcPr>
            <w:tcW w:type="dxa" w:w="633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r>
      <w:tr>
        <w:trPr>
          <w:cantSplit/>
        </w:trPr>
        <w:tc>
          <w:tcPr>
            <w:tcW w:type="dxa" w:w="79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5</w:t>
            </w:r>
          </w:p>
        </w:tc>
        <w:tc>
          <w:tcPr>
            <w:tcW w:type="dxa" w:w="115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c>
          <w:tcPr>
            <w:tcW w:type="dxa" w:w="180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c>
          <w:tcPr>
            <w:tcW w:type="dxa" w:w="633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r>
      <w:tr>
        <w:trPr>
          <w:cantSplit/>
        </w:trPr>
        <w:tc>
          <w:tcPr>
            <w:tcW w:type="dxa" w:w="792"/>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6</w:t>
            </w:r>
          </w:p>
        </w:tc>
        <w:tc>
          <w:tcPr>
            <w:tcW w:type="dxa" w:w="1152"/>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c>
          <w:tcPr>
            <w:tcW w:type="dxa" w:w="180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c>
          <w:tcPr>
            <w:tcW w:type="dxa" w:w="633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r>
      <w:tr>
        <w:trPr>
          <w:cantSplit/>
        </w:trPr>
        <w:tc>
          <w:tcPr>
            <w:tcW w:type="dxa" w:w="79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7</w:t>
            </w:r>
          </w:p>
        </w:tc>
        <w:tc>
          <w:tcPr>
            <w:tcW w:type="dxa" w:w="115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c>
          <w:tcPr>
            <w:tcW w:type="dxa" w:w="180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c>
          <w:tcPr>
            <w:tcW w:type="dxa" w:w="633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r>
      <w:tr>
        <w:trPr>
          <w:cantSplit/>
        </w:trPr>
        <w:tc>
          <w:tcPr>
            <w:tcW w:type="dxa" w:w="792"/>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8</w:t>
            </w:r>
          </w:p>
        </w:tc>
        <w:tc>
          <w:tcPr>
            <w:tcW w:type="dxa" w:w="1152"/>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c>
          <w:tcPr>
            <w:tcW w:type="dxa" w:w="180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c>
          <w:tcPr>
            <w:tcW w:type="dxa" w:w="633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r>
      <w:tr>
        <w:trPr>
          <w:cantSplit/>
        </w:trPr>
        <w:tc>
          <w:tcPr>
            <w:tcW w:type="dxa" w:w="79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9</w:t>
            </w:r>
          </w:p>
        </w:tc>
        <w:tc>
          <w:tcPr>
            <w:tcW w:type="dxa" w:w="115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c>
          <w:tcPr>
            <w:tcW w:type="dxa" w:w="180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c>
          <w:tcPr>
            <w:tcW w:type="dxa" w:w="633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r>
      <w:tr>
        <w:trPr>
          <w:cantSplit/>
        </w:trPr>
        <w:tc>
          <w:tcPr>
            <w:tcW w:type="dxa" w:w="792"/>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10</w:t>
            </w:r>
          </w:p>
        </w:tc>
        <w:tc>
          <w:tcPr>
            <w:tcW w:type="dxa" w:w="1152"/>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c>
          <w:tcPr>
            <w:tcW w:type="dxa" w:w="180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c>
          <w:tcPr>
            <w:tcW w:type="dxa" w:w="633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r>
    </w:tbl>
    <w:p>
      <w:pPr>
        <w:spacing w:after="0"/>
      </w:pPr>
    </w:p>
    <w:p>
      <w:r>
        <w:rPr>
          <w:rFonts w:ascii="Arial" w:hAnsi="Arial" w:eastAsia="Arial"/>
        </w:rPr>
        <w:br w:type="page"/>
      </w:r>
    </w:p>
    <w:p>
      <w:pPr>
        <w:pStyle w:val="Heading1"/>
        <w:keepNext/>
      </w:pPr>
      <w:r>
        <w:rPr>
          <w:rFonts w:ascii="Arial" w:hAnsi="Arial" w:eastAsia="Arial"/>
        </w:rPr>
        <w:t>Knowledge Check Rationales</w:t>
      </w:r>
    </w:p>
    <w:p>
      <w:pPr>
        <w:pStyle w:val="Heading2"/>
        <w:keepNext/>
        <w:keepNext/>
      </w:pPr>
      <w:r>
        <w:rPr>
          <w:rFonts w:ascii="Arial" w:hAnsi="Arial" w:eastAsia="Arial"/>
        </w:rPr>
        <w:t>Question 1 (LPCC-WB09-Q001)</w:t>
      </w:r>
    </w:p>
    <w:tbl>
      <w:tblPr>
        <w:tblW w:type="auto" w:w="0"/>
        <w:jc w:val="center"/>
        <w:tblLayout w:type="fixed"/>
        <w:tblLook w:firstColumn="1" w:firstRow="1" w:lastColumn="0" w:lastRow="0" w:noHBand="0" w:noVBand="1" w:val="04A0"/>
      </w:tblPr>
      <w:tblGrid>
        <w:gridCol w:w="10080"/>
      </w:tblGrid>
      <w:tr>
        <w:tc>
          <w:tcPr>
            <w:tcW w:type="dxa" w:w="10282"/>
            <w:shd w:fill="E8F5F5"/>
            <w:tcMar>
              <w:top w:w="85" w:type="dxa"/>
              <w:start w:w="105" w:type="dxa"/>
              <w:bottom w:w="85" w:type="dxa"/>
              <w:end w:w="105" w:type="dxa"/>
            </w:tcMar>
            <w:tcBorders>
              <w:top w:val="single" w:sz="8" w:color="159C9C"/>
              <w:left w:val="single" w:sz="8" w:color="159C9C"/>
              <w:bottom w:val="single" w:sz="8" w:color="159C9C"/>
              <w:right w:val="single" w:sz="8" w:color="159C9C"/>
            </w:tcBorders>
          </w:tcPr>
          <w:p>
            <w:pPr>
              <w:spacing w:after="40"/>
            </w:pPr>
            <w:r>
              <w:rPr>
                <w:rFonts w:ascii="Arial" w:hAnsi="Arial" w:eastAsia="Arial"/>
                <w:b/>
                <w:color w:val="159C9C"/>
                <w:sz w:val="18"/>
              </w:rPr>
              <w:t>Correct Answer: B</w:t>
            </w:r>
          </w:p>
          <w:p>
            <w:pPr>
              <w:spacing w:after="0" w:line="245" w:lineRule="auto"/>
            </w:pPr>
            <w:r>
              <w:rPr>
                <w:rFonts w:ascii="Arial" w:hAnsi="Arial" w:eastAsia="Arial"/>
                <w:color w:val="1F2937"/>
                <w:sz w:val="18"/>
              </w:rPr>
              <w:t>Evidence-based psychological practice integrates research evidence, clinical expertise, and the client’s characteristics, culture, preferences, circumstances, and goals.</w:t>
            </w:r>
          </w:p>
        </w:tc>
      </w:tr>
    </w:tbl>
    <w:p>
      <w:pPr>
        <w:spacing w:after="0"/>
      </w:pPr>
    </w:p>
    <w:p>
      <w:pPr>
        <w:spacing w:after="40"/>
      </w:pPr>
      <w:r>
        <w:rPr>
          <w:rFonts w:ascii="Arial" w:hAnsi="Arial" w:eastAsia="Arial"/>
          <w:b/>
          <w:color w:val="17365D"/>
          <w:sz w:val="18"/>
        </w:rPr>
        <w:t xml:space="preserve">Why A is not best: </w:t>
      </w:r>
      <w:r>
        <w:rPr>
          <w:rFonts w:ascii="Arial" w:hAnsi="Arial" w:eastAsia="Arial"/>
          <w:sz w:val="18"/>
        </w:rPr>
        <w:t>Manualized research-supported treatments are important, but evidence-based practice is broader than using manuals only.</w:t>
      </w:r>
    </w:p>
    <w:p>
      <w:pPr>
        <w:spacing w:after="40"/>
      </w:pPr>
      <w:r>
        <w:rPr>
          <w:rFonts w:ascii="Arial" w:hAnsi="Arial" w:eastAsia="Arial"/>
          <w:b/>
          <w:color w:val="17365D"/>
          <w:sz w:val="18"/>
        </w:rPr>
        <w:t xml:space="preserve">Why C is not best: </w:t>
      </w:r>
      <w:r>
        <w:rPr>
          <w:rFonts w:ascii="Arial" w:hAnsi="Arial" w:eastAsia="Arial"/>
          <w:sz w:val="18"/>
        </w:rPr>
        <w:t>Counselor familiarity is relevant to competence but cannot replace evidence and client fit.</w:t>
      </w:r>
    </w:p>
    <w:p>
      <w:pPr>
        <w:spacing w:after="40"/>
      </w:pPr>
      <w:r>
        <w:rPr>
          <w:rFonts w:ascii="Arial" w:hAnsi="Arial" w:eastAsia="Arial"/>
          <w:b/>
          <w:color w:val="17365D"/>
          <w:sz w:val="18"/>
        </w:rPr>
        <w:t xml:space="preserve">Why D is not best: </w:t>
      </w:r>
      <w:r>
        <w:rPr>
          <w:rFonts w:ascii="Arial" w:hAnsi="Arial" w:eastAsia="Arial"/>
          <w:sz w:val="18"/>
        </w:rPr>
        <w:t>Client preference is essential but does not eliminate assessment, safety, or outcome monitoring.</w:t>
      </w:r>
    </w:p>
    <w:tbl>
      <w:tblPr>
        <w:tblW w:type="auto" w:w="0"/>
        <w:jc w:val="center"/>
        <w:tblLayout w:type="fixed"/>
        <w:tblLook w:firstColumn="1" w:firstRow="1" w:lastColumn="0" w:lastRow="0" w:noHBand="0" w:noVBand="1" w:val="04A0"/>
      </w:tblPr>
      <w:tblGrid>
        <w:gridCol w:w="10080"/>
      </w:tblGrid>
      <w:tr>
        <w:tc>
          <w:tcPr>
            <w:tcW w:type="dxa" w:w="10282"/>
            <w:shd w:fill="EAF1F8"/>
            <w:tcMar>
              <w:top w:w="85" w:type="dxa"/>
              <w:start w:w="105" w:type="dxa"/>
              <w:bottom w:w="85" w:type="dxa"/>
              <w:end w:w="105" w:type="dxa"/>
            </w:tcMar>
            <w:tcBorders>
              <w:top w:val="single" w:sz="8" w:color="17365D"/>
              <w:left w:val="single" w:sz="8" w:color="17365D"/>
              <w:bottom w:val="single" w:sz="8" w:color="17365D"/>
              <w:right w:val="single" w:sz="8" w:color="17365D"/>
            </w:tcBorders>
          </w:tcPr>
          <w:p>
            <w:pPr>
              <w:spacing w:after="40"/>
            </w:pPr>
            <w:r>
              <w:rPr>
                <w:rFonts w:ascii="Arial" w:hAnsi="Arial" w:eastAsia="Arial"/>
                <w:b/>
                <w:color w:val="17365D"/>
                <w:sz w:val="18"/>
              </w:rPr>
              <w:t>CTA Exam Strategy</w:t>
            </w:r>
          </w:p>
          <w:p>
            <w:pPr>
              <w:spacing w:after="0" w:line="245" w:lineRule="auto"/>
            </w:pPr>
            <w:r>
              <w:rPr>
                <w:rFonts w:ascii="Arial" w:hAnsi="Arial" w:eastAsia="Arial"/>
                <w:color w:val="1F2937"/>
                <w:sz w:val="18"/>
              </w:rPr>
              <w:t>When the stem asks about evidence-based practice, look for integration—not a single source of authority.</w:t>
            </w:r>
          </w:p>
        </w:tc>
      </w:tr>
    </w:tbl>
    <w:p>
      <w:pPr>
        <w:spacing w:after="0"/>
      </w:pPr>
    </w:p>
    <w:p>
      <w:pPr>
        <w:spacing w:after="80"/>
      </w:pPr>
      <w:r>
        <w:rPr>
          <w:rFonts w:ascii="Arial" w:hAnsi="Arial" w:eastAsia="Arial"/>
          <w:b/>
          <w:color w:val="159C9C"/>
          <w:sz w:val="18"/>
        </w:rPr>
        <w:t xml:space="preserve">Clinical Pearl: </w:t>
      </w:r>
      <w:r>
        <w:rPr>
          <w:rFonts w:ascii="Arial" w:hAnsi="Arial" w:eastAsia="Arial"/>
          <w:i/>
          <w:sz w:val="18"/>
        </w:rPr>
        <w:t>Research, expertise, and client context work together.</w:t>
      </w:r>
    </w:p>
    <w:p>
      <w:pPr>
        <w:pStyle w:val="Heading2"/>
        <w:keepNext/>
        <w:keepNext/>
      </w:pPr>
      <w:r>
        <w:rPr>
          <w:rFonts w:ascii="Arial" w:hAnsi="Arial" w:eastAsia="Arial"/>
        </w:rPr>
        <w:t>Question 2 (LPCC-WB09-Q002)</w:t>
      </w:r>
    </w:p>
    <w:tbl>
      <w:tblPr>
        <w:tblW w:type="auto" w:w="0"/>
        <w:jc w:val="center"/>
        <w:tblLayout w:type="fixed"/>
        <w:tblLook w:firstColumn="1" w:firstRow="1" w:lastColumn="0" w:lastRow="0" w:noHBand="0" w:noVBand="1" w:val="04A0"/>
      </w:tblPr>
      <w:tblGrid>
        <w:gridCol w:w="10080"/>
      </w:tblGrid>
      <w:tr>
        <w:tc>
          <w:tcPr>
            <w:tcW w:type="dxa" w:w="10282"/>
            <w:shd w:fill="E8F5F5"/>
            <w:tcMar>
              <w:top w:w="85" w:type="dxa"/>
              <w:start w:w="105" w:type="dxa"/>
              <w:bottom w:w="85" w:type="dxa"/>
              <w:end w:w="105" w:type="dxa"/>
            </w:tcMar>
            <w:tcBorders>
              <w:top w:val="single" w:sz="8" w:color="159C9C"/>
              <w:left w:val="single" w:sz="8" w:color="159C9C"/>
              <w:bottom w:val="single" w:sz="8" w:color="159C9C"/>
              <w:right w:val="single" w:sz="8" w:color="159C9C"/>
            </w:tcBorders>
          </w:tcPr>
          <w:p>
            <w:pPr>
              <w:spacing w:after="40"/>
            </w:pPr>
            <w:r>
              <w:rPr>
                <w:rFonts w:ascii="Arial" w:hAnsi="Arial" w:eastAsia="Arial"/>
                <w:b/>
                <w:color w:val="159C9C"/>
                <w:sz w:val="18"/>
              </w:rPr>
              <w:t>Correct Answer: A</w:t>
            </w:r>
          </w:p>
          <w:p>
            <w:pPr>
              <w:spacing w:after="0" w:line="245" w:lineRule="auto"/>
            </w:pPr>
            <w:r>
              <w:rPr>
                <w:rFonts w:ascii="Arial" w:hAnsi="Arial" w:eastAsia="Arial"/>
                <w:color w:val="1F2937"/>
                <w:sz w:val="18"/>
              </w:rPr>
              <w:t>Behavioral activation directly targets withdrawal and reduced reinforcement through small, scheduled, meaningful actions that do not depend on waiting for motivation.</w:t>
            </w:r>
          </w:p>
        </w:tc>
      </w:tr>
    </w:tbl>
    <w:p>
      <w:pPr>
        <w:spacing w:after="0"/>
      </w:pPr>
    </w:p>
    <w:p>
      <w:pPr>
        <w:spacing w:after="40"/>
      </w:pPr>
      <w:r>
        <w:rPr>
          <w:rFonts w:ascii="Arial" w:hAnsi="Arial" w:eastAsia="Arial"/>
          <w:b/>
          <w:color w:val="17365D"/>
          <w:sz w:val="18"/>
        </w:rPr>
        <w:t xml:space="preserve">Why B is not best: </w:t>
      </w:r>
      <w:r>
        <w:rPr>
          <w:rFonts w:ascii="Arial" w:hAnsi="Arial" w:eastAsia="Arial"/>
          <w:sz w:val="18"/>
        </w:rPr>
        <w:t>No trauma target or readiness evidence is provided.</w:t>
      </w:r>
    </w:p>
    <w:p>
      <w:pPr>
        <w:spacing w:after="40"/>
      </w:pPr>
      <w:r>
        <w:rPr>
          <w:rFonts w:ascii="Arial" w:hAnsi="Arial" w:eastAsia="Arial"/>
          <w:b/>
          <w:color w:val="17365D"/>
          <w:sz w:val="18"/>
        </w:rPr>
        <w:t xml:space="preserve">Why C is not best: </w:t>
      </w:r>
      <w:r>
        <w:rPr>
          <w:rFonts w:ascii="Arial" w:hAnsi="Arial" w:eastAsia="Arial"/>
          <w:sz w:val="18"/>
        </w:rPr>
        <w:t>Reassurance does not change the behavioral withdrawal cycle.</w:t>
      </w:r>
    </w:p>
    <w:p>
      <w:pPr>
        <w:spacing w:after="40"/>
      </w:pPr>
      <w:r>
        <w:rPr>
          <w:rFonts w:ascii="Arial" w:hAnsi="Arial" w:eastAsia="Arial"/>
          <w:b/>
          <w:color w:val="17365D"/>
          <w:sz w:val="18"/>
        </w:rPr>
        <w:t xml:space="preserve">Why D is not best: </w:t>
      </w:r>
      <w:r>
        <w:rPr>
          <w:rFonts w:ascii="Arial" w:hAnsi="Arial" w:eastAsia="Arial"/>
          <w:sz w:val="18"/>
        </w:rPr>
        <w:t>Interpretation may be relevant in another formulation but is less direct and poorly sequenced here.</w:t>
      </w:r>
    </w:p>
    <w:tbl>
      <w:tblPr>
        <w:tblW w:type="auto" w:w="0"/>
        <w:jc w:val="center"/>
        <w:tblLayout w:type="fixed"/>
        <w:tblLook w:firstColumn="1" w:firstRow="1" w:lastColumn="0" w:lastRow="0" w:noHBand="0" w:noVBand="1" w:val="04A0"/>
      </w:tblPr>
      <w:tblGrid>
        <w:gridCol w:w="10080"/>
      </w:tblGrid>
      <w:tr>
        <w:tc>
          <w:tcPr>
            <w:tcW w:type="dxa" w:w="10282"/>
            <w:shd w:fill="EAF1F8"/>
            <w:tcMar>
              <w:top w:w="85" w:type="dxa"/>
              <w:start w:w="105" w:type="dxa"/>
              <w:bottom w:w="85" w:type="dxa"/>
              <w:end w:w="105" w:type="dxa"/>
            </w:tcMar>
            <w:tcBorders>
              <w:top w:val="single" w:sz="8" w:color="17365D"/>
              <w:left w:val="single" w:sz="8" w:color="17365D"/>
              <w:bottom w:val="single" w:sz="8" w:color="17365D"/>
              <w:right w:val="single" w:sz="8" w:color="17365D"/>
            </w:tcBorders>
          </w:tcPr>
          <w:p>
            <w:pPr>
              <w:spacing w:after="40"/>
            </w:pPr>
            <w:r>
              <w:rPr>
                <w:rFonts w:ascii="Arial" w:hAnsi="Arial" w:eastAsia="Arial"/>
                <w:b/>
                <w:color w:val="17365D"/>
                <w:sz w:val="18"/>
              </w:rPr>
              <w:t>CTA Exam Strategy</w:t>
            </w:r>
          </w:p>
          <w:p>
            <w:pPr>
              <w:spacing w:after="0" w:line="245" w:lineRule="auto"/>
            </w:pPr>
            <w:r>
              <w:rPr>
                <w:rFonts w:ascii="Arial" w:hAnsi="Arial" w:eastAsia="Arial"/>
                <w:color w:val="1F2937"/>
                <w:sz w:val="18"/>
              </w:rPr>
              <w:t>Choose the intervention that targets the maintaining process named in the case.</w:t>
            </w:r>
          </w:p>
        </w:tc>
      </w:tr>
    </w:tbl>
    <w:p>
      <w:pPr>
        <w:spacing w:after="0"/>
      </w:pPr>
    </w:p>
    <w:p>
      <w:pPr>
        <w:spacing w:after="80"/>
      </w:pPr>
      <w:r>
        <w:rPr>
          <w:rFonts w:ascii="Arial" w:hAnsi="Arial" w:eastAsia="Arial"/>
          <w:b/>
          <w:color w:val="159C9C"/>
          <w:sz w:val="18"/>
        </w:rPr>
        <w:t xml:space="preserve">Clinical Pearl: </w:t>
      </w:r>
      <w:r>
        <w:rPr>
          <w:rFonts w:ascii="Arial" w:hAnsi="Arial" w:eastAsia="Arial"/>
          <w:i/>
          <w:sz w:val="18"/>
        </w:rPr>
        <w:t>Action can precede motivation in behavioral activation.</w:t>
      </w:r>
    </w:p>
    <w:p>
      <w:pPr>
        <w:pStyle w:val="Heading2"/>
        <w:keepNext/>
        <w:keepNext/>
      </w:pPr>
      <w:r>
        <w:rPr>
          <w:rFonts w:ascii="Arial" w:hAnsi="Arial" w:eastAsia="Arial"/>
        </w:rPr>
        <w:t>Question 3 (LPCC-WB09-Q003)</w:t>
      </w:r>
    </w:p>
    <w:tbl>
      <w:tblPr>
        <w:tblW w:type="auto" w:w="0"/>
        <w:jc w:val="center"/>
        <w:tblLayout w:type="fixed"/>
        <w:tblLook w:firstColumn="1" w:firstRow="1" w:lastColumn="0" w:lastRow="0" w:noHBand="0" w:noVBand="1" w:val="04A0"/>
      </w:tblPr>
      <w:tblGrid>
        <w:gridCol w:w="10080"/>
      </w:tblGrid>
      <w:tr>
        <w:tc>
          <w:tcPr>
            <w:tcW w:type="dxa" w:w="10282"/>
            <w:shd w:fill="E8F5F5"/>
            <w:tcMar>
              <w:top w:w="85" w:type="dxa"/>
              <w:start w:w="105" w:type="dxa"/>
              <w:bottom w:w="85" w:type="dxa"/>
              <w:end w:w="105" w:type="dxa"/>
            </w:tcMar>
            <w:tcBorders>
              <w:top w:val="single" w:sz="8" w:color="159C9C"/>
              <w:left w:val="single" w:sz="8" w:color="159C9C"/>
              <w:bottom w:val="single" w:sz="8" w:color="159C9C"/>
              <w:right w:val="single" w:sz="8" w:color="159C9C"/>
            </w:tcBorders>
          </w:tcPr>
          <w:p>
            <w:pPr>
              <w:spacing w:after="40"/>
            </w:pPr>
            <w:r>
              <w:rPr>
                <w:rFonts w:ascii="Arial" w:hAnsi="Arial" w:eastAsia="Arial"/>
                <w:b/>
                <w:color w:val="159C9C"/>
                <w:sz w:val="18"/>
              </w:rPr>
              <w:t>Correct Answer: C</w:t>
            </w:r>
          </w:p>
          <w:p>
            <w:pPr>
              <w:spacing w:after="0" w:line="245" w:lineRule="auto"/>
            </w:pPr>
            <w:r>
              <w:rPr>
                <w:rFonts w:ascii="Arial" w:hAnsi="Arial" w:eastAsia="Arial"/>
                <w:color w:val="1F2937"/>
                <w:sz w:val="18"/>
              </w:rPr>
              <w:t>Interoceptive exposure and cognitive reappraisal target catastrophic interpretation of bodily sensations and avoidance or safety behaviors.</w:t>
            </w:r>
          </w:p>
        </w:tc>
      </w:tr>
    </w:tbl>
    <w:p>
      <w:pPr>
        <w:spacing w:after="0"/>
      </w:pPr>
    </w:p>
    <w:p>
      <w:pPr>
        <w:spacing w:after="40"/>
      </w:pPr>
      <w:r>
        <w:rPr>
          <w:rFonts w:ascii="Arial" w:hAnsi="Arial" w:eastAsia="Arial"/>
          <w:b/>
          <w:color w:val="17365D"/>
          <w:sz w:val="18"/>
        </w:rPr>
        <w:t xml:space="preserve">Why A is not best: </w:t>
      </w:r>
      <w:r>
        <w:rPr>
          <w:rFonts w:ascii="Arial" w:hAnsi="Arial" w:eastAsia="Arial"/>
          <w:sz w:val="18"/>
        </w:rPr>
        <w:t>Avoidance maintains panic fear.</w:t>
      </w:r>
    </w:p>
    <w:p>
      <w:pPr>
        <w:spacing w:after="40"/>
      </w:pPr>
      <w:r>
        <w:rPr>
          <w:rFonts w:ascii="Arial" w:hAnsi="Arial" w:eastAsia="Arial"/>
          <w:b/>
          <w:color w:val="17365D"/>
          <w:sz w:val="18"/>
        </w:rPr>
        <w:t xml:space="preserve">Why B is not best: </w:t>
      </w:r>
      <w:r>
        <w:rPr>
          <w:rFonts w:ascii="Arial" w:hAnsi="Arial" w:eastAsia="Arial"/>
          <w:sz w:val="18"/>
        </w:rPr>
        <w:t>Relaxation used as an escape ritual can reinforce the belief that sensations are dangerous.</w:t>
      </w:r>
    </w:p>
    <w:p>
      <w:pPr>
        <w:spacing w:after="40"/>
      </w:pPr>
      <w:r>
        <w:rPr>
          <w:rFonts w:ascii="Arial" w:hAnsi="Arial" w:eastAsia="Arial"/>
          <w:b/>
          <w:color w:val="17365D"/>
          <w:sz w:val="18"/>
        </w:rPr>
        <w:t xml:space="preserve">Why D is not best: </w:t>
      </w:r>
      <w:r>
        <w:rPr>
          <w:rFonts w:ascii="Arial" w:hAnsi="Arial" w:eastAsia="Arial"/>
          <w:sz w:val="18"/>
        </w:rPr>
        <w:t>Historical exploration does not directly target the stated panic mechanism.</w:t>
      </w:r>
    </w:p>
    <w:tbl>
      <w:tblPr>
        <w:tblW w:type="auto" w:w="0"/>
        <w:jc w:val="center"/>
        <w:tblLayout w:type="fixed"/>
        <w:tblLook w:firstColumn="1" w:firstRow="1" w:lastColumn="0" w:lastRow="0" w:noHBand="0" w:noVBand="1" w:val="04A0"/>
      </w:tblPr>
      <w:tblGrid>
        <w:gridCol w:w="10080"/>
      </w:tblGrid>
      <w:tr>
        <w:tc>
          <w:tcPr>
            <w:tcW w:type="dxa" w:w="10282"/>
            <w:shd w:fill="EAF1F8"/>
            <w:tcMar>
              <w:top w:w="85" w:type="dxa"/>
              <w:start w:w="105" w:type="dxa"/>
              <w:bottom w:w="85" w:type="dxa"/>
              <w:end w:w="105" w:type="dxa"/>
            </w:tcMar>
            <w:tcBorders>
              <w:top w:val="single" w:sz="8" w:color="17365D"/>
              <w:left w:val="single" w:sz="8" w:color="17365D"/>
              <w:bottom w:val="single" w:sz="8" w:color="17365D"/>
              <w:right w:val="single" w:sz="8" w:color="17365D"/>
            </w:tcBorders>
          </w:tcPr>
          <w:p>
            <w:pPr>
              <w:spacing w:after="40"/>
            </w:pPr>
            <w:r>
              <w:rPr>
                <w:rFonts w:ascii="Arial" w:hAnsi="Arial" w:eastAsia="Arial"/>
                <w:b/>
                <w:color w:val="17365D"/>
                <w:sz w:val="18"/>
              </w:rPr>
              <w:t>CTA Exam Strategy</w:t>
            </w:r>
          </w:p>
          <w:p>
            <w:pPr>
              <w:spacing w:after="0" w:line="245" w:lineRule="auto"/>
            </w:pPr>
            <w:r>
              <w:rPr>
                <w:rFonts w:ascii="Arial" w:hAnsi="Arial" w:eastAsia="Arial"/>
                <w:color w:val="1F2937"/>
                <w:sz w:val="18"/>
              </w:rPr>
              <w:t>For panic, identify catastrophic sensation beliefs and avoidance before selecting the intervention.</w:t>
            </w:r>
          </w:p>
        </w:tc>
      </w:tr>
    </w:tbl>
    <w:p>
      <w:pPr>
        <w:spacing w:after="0"/>
      </w:pPr>
    </w:p>
    <w:p>
      <w:pPr>
        <w:spacing w:after="80"/>
      </w:pPr>
      <w:r>
        <w:rPr>
          <w:rFonts w:ascii="Arial" w:hAnsi="Arial" w:eastAsia="Arial"/>
          <w:b/>
          <w:color w:val="159C9C"/>
          <w:sz w:val="18"/>
        </w:rPr>
        <w:t xml:space="preserve">Clinical Pearl: </w:t>
      </w:r>
      <w:r>
        <w:rPr>
          <w:rFonts w:ascii="Arial" w:hAnsi="Arial" w:eastAsia="Arial"/>
          <w:i/>
          <w:sz w:val="18"/>
        </w:rPr>
        <w:t>Exposure teaches new learning through safe contact with feared cues.</w:t>
      </w:r>
    </w:p>
    <w:p>
      <w:pPr>
        <w:pStyle w:val="Heading2"/>
        <w:keepNext/>
        <w:keepNext/>
      </w:pPr>
      <w:r>
        <w:rPr>
          <w:rFonts w:ascii="Arial" w:hAnsi="Arial" w:eastAsia="Arial"/>
        </w:rPr>
        <w:t>Question 4 (LPCC-WB09-Q004)</w:t>
      </w:r>
    </w:p>
    <w:tbl>
      <w:tblPr>
        <w:tblW w:type="auto" w:w="0"/>
        <w:jc w:val="center"/>
        <w:tblLayout w:type="fixed"/>
        <w:tblLook w:firstColumn="1" w:firstRow="1" w:lastColumn="0" w:lastRow="0" w:noHBand="0" w:noVBand="1" w:val="04A0"/>
      </w:tblPr>
      <w:tblGrid>
        <w:gridCol w:w="10080"/>
      </w:tblGrid>
      <w:tr>
        <w:tc>
          <w:tcPr>
            <w:tcW w:type="dxa" w:w="10282"/>
            <w:shd w:fill="E8F5F5"/>
            <w:tcMar>
              <w:top w:w="85" w:type="dxa"/>
              <w:start w:w="105" w:type="dxa"/>
              <w:bottom w:w="85" w:type="dxa"/>
              <w:end w:w="105" w:type="dxa"/>
            </w:tcMar>
            <w:tcBorders>
              <w:top w:val="single" w:sz="8" w:color="159C9C"/>
              <w:left w:val="single" w:sz="8" w:color="159C9C"/>
              <w:bottom w:val="single" w:sz="8" w:color="159C9C"/>
              <w:right w:val="single" w:sz="8" w:color="159C9C"/>
            </w:tcBorders>
          </w:tcPr>
          <w:p>
            <w:pPr>
              <w:spacing w:after="40"/>
            </w:pPr>
            <w:r>
              <w:rPr>
                <w:rFonts w:ascii="Arial" w:hAnsi="Arial" w:eastAsia="Arial"/>
                <w:b/>
                <w:color w:val="159C9C"/>
                <w:sz w:val="18"/>
              </w:rPr>
              <w:t>Correct Answer: B</w:t>
            </w:r>
          </w:p>
          <w:p>
            <w:pPr>
              <w:spacing w:after="0" w:line="245" w:lineRule="auto"/>
            </w:pPr>
            <w:r>
              <w:rPr>
                <w:rFonts w:ascii="Arial" w:hAnsi="Arial" w:eastAsia="Arial"/>
                <w:color w:val="1F2937"/>
                <w:sz w:val="18"/>
              </w:rPr>
              <w:t>ERP-oriented work addresses the obsession, ritual, and reassurance cycle without treating the intrusive thought as proof of danger.</w:t>
            </w:r>
          </w:p>
        </w:tc>
      </w:tr>
    </w:tbl>
    <w:p>
      <w:pPr>
        <w:spacing w:after="0"/>
      </w:pPr>
    </w:p>
    <w:p>
      <w:pPr>
        <w:spacing w:after="40"/>
      </w:pPr>
      <w:r>
        <w:rPr>
          <w:rFonts w:ascii="Arial" w:hAnsi="Arial" w:eastAsia="Arial"/>
          <w:b/>
          <w:color w:val="17365D"/>
          <w:sz w:val="18"/>
        </w:rPr>
        <w:t xml:space="preserve">Why A is not best: </w:t>
      </w:r>
      <w:r>
        <w:rPr>
          <w:rFonts w:ascii="Arial" w:hAnsi="Arial" w:eastAsia="Arial"/>
          <w:sz w:val="18"/>
        </w:rPr>
        <w:t>Repeated reassurance can function like a compulsion and maintain OCD.</w:t>
      </w:r>
    </w:p>
    <w:p>
      <w:pPr>
        <w:spacing w:after="40"/>
      </w:pPr>
      <w:r>
        <w:rPr>
          <w:rFonts w:ascii="Arial" w:hAnsi="Arial" w:eastAsia="Arial"/>
          <w:b/>
          <w:color w:val="17365D"/>
          <w:sz w:val="18"/>
        </w:rPr>
        <w:t xml:space="preserve">Why C is not best: </w:t>
      </w:r>
      <w:r>
        <w:rPr>
          <w:rFonts w:ascii="Arial" w:hAnsi="Arial" w:eastAsia="Arial"/>
          <w:sz w:val="18"/>
        </w:rPr>
        <w:t>A disturbing intrusive thought alone does not establish reportable dangerousness; risk must be assessed.</w:t>
      </w:r>
    </w:p>
    <w:p>
      <w:pPr>
        <w:spacing w:after="40"/>
      </w:pPr>
      <w:r>
        <w:rPr>
          <w:rFonts w:ascii="Arial" w:hAnsi="Arial" w:eastAsia="Arial"/>
          <w:b/>
          <w:color w:val="17365D"/>
          <w:sz w:val="18"/>
        </w:rPr>
        <w:t xml:space="preserve">Why D is not best: </w:t>
      </w:r>
      <w:r>
        <w:rPr>
          <w:rFonts w:ascii="Arial" w:hAnsi="Arial" w:eastAsia="Arial"/>
          <w:sz w:val="18"/>
        </w:rPr>
        <w:t>Thought suppression often increases monitoring and distress.</w:t>
      </w:r>
    </w:p>
    <w:tbl>
      <w:tblPr>
        <w:tblW w:type="auto" w:w="0"/>
        <w:jc w:val="center"/>
        <w:tblLayout w:type="fixed"/>
        <w:tblLook w:firstColumn="1" w:firstRow="1" w:lastColumn="0" w:lastRow="0" w:noHBand="0" w:noVBand="1" w:val="04A0"/>
      </w:tblPr>
      <w:tblGrid>
        <w:gridCol w:w="10080"/>
      </w:tblGrid>
      <w:tr>
        <w:tc>
          <w:tcPr>
            <w:tcW w:type="dxa" w:w="10282"/>
            <w:shd w:fill="EAF1F8"/>
            <w:tcMar>
              <w:top w:w="85" w:type="dxa"/>
              <w:start w:w="105" w:type="dxa"/>
              <w:bottom w:w="85" w:type="dxa"/>
              <w:end w:w="105" w:type="dxa"/>
            </w:tcMar>
            <w:tcBorders>
              <w:top w:val="single" w:sz="8" w:color="17365D"/>
              <w:left w:val="single" w:sz="8" w:color="17365D"/>
              <w:bottom w:val="single" w:sz="8" w:color="17365D"/>
              <w:right w:val="single" w:sz="8" w:color="17365D"/>
            </w:tcBorders>
          </w:tcPr>
          <w:p>
            <w:pPr>
              <w:spacing w:after="40"/>
            </w:pPr>
            <w:r>
              <w:rPr>
                <w:rFonts w:ascii="Arial" w:hAnsi="Arial" w:eastAsia="Arial"/>
                <w:b/>
                <w:color w:val="17365D"/>
                <w:sz w:val="18"/>
              </w:rPr>
              <w:t>CTA Exam Strategy</w:t>
            </w:r>
          </w:p>
          <w:p>
            <w:pPr>
              <w:spacing w:after="0" w:line="245" w:lineRule="auto"/>
            </w:pPr>
            <w:r>
              <w:rPr>
                <w:rFonts w:ascii="Arial" w:hAnsi="Arial" w:eastAsia="Arial"/>
                <w:color w:val="1F2937"/>
                <w:sz w:val="18"/>
              </w:rPr>
              <w:t>Distinguish intrusive thoughts from intent, then avoid participating in rituals or reassurance cycles.</w:t>
            </w:r>
          </w:p>
        </w:tc>
      </w:tr>
    </w:tbl>
    <w:p>
      <w:pPr>
        <w:spacing w:after="0"/>
      </w:pPr>
    </w:p>
    <w:p>
      <w:pPr>
        <w:spacing w:after="80"/>
      </w:pPr>
      <w:r>
        <w:rPr>
          <w:rFonts w:ascii="Arial" w:hAnsi="Arial" w:eastAsia="Arial"/>
          <w:b/>
          <w:color w:val="159C9C"/>
          <w:sz w:val="18"/>
        </w:rPr>
        <w:t xml:space="preserve">Clinical Pearl: </w:t>
      </w:r>
      <w:r>
        <w:rPr>
          <w:rFonts w:ascii="Arial" w:hAnsi="Arial" w:eastAsia="Arial"/>
          <w:i/>
          <w:sz w:val="18"/>
        </w:rPr>
        <w:t>ERP includes response prevention, including reduction of reassurance rituals.</w:t>
      </w:r>
    </w:p>
    <w:p>
      <w:pPr>
        <w:pStyle w:val="Heading2"/>
        <w:keepNext/>
        <w:keepNext/>
      </w:pPr>
      <w:r>
        <w:rPr>
          <w:rFonts w:ascii="Arial" w:hAnsi="Arial" w:eastAsia="Arial"/>
        </w:rPr>
        <w:t>Question 5 (LPCC-WB09-Q005)</w:t>
      </w:r>
    </w:p>
    <w:tbl>
      <w:tblPr>
        <w:tblW w:type="auto" w:w="0"/>
        <w:jc w:val="center"/>
        <w:tblLayout w:type="fixed"/>
        <w:tblLook w:firstColumn="1" w:firstRow="1" w:lastColumn="0" w:lastRow="0" w:noHBand="0" w:noVBand="1" w:val="04A0"/>
      </w:tblPr>
      <w:tblGrid>
        <w:gridCol w:w="10080"/>
      </w:tblGrid>
      <w:tr>
        <w:tc>
          <w:tcPr>
            <w:tcW w:type="dxa" w:w="10282"/>
            <w:shd w:fill="E8F5F5"/>
            <w:tcMar>
              <w:top w:w="85" w:type="dxa"/>
              <w:start w:w="105" w:type="dxa"/>
              <w:bottom w:w="85" w:type="dxa"/>
              <w:end w:w="105" w:type="dxa"/>
            </w:tcMar>
            <w:tcBorders>
              <w:top w:val="single" w:sz="8" w:color="159C9C"/>
              <w:left w:val="single" w:sz="8" w:color="159C9C"/>
              <w:bottom w:val="single" w:sz="8" w:color="159C9C"/>
              <w:right w:val="single" w:sz="8" w:color="159C9C"/>
            </w:tcBorders>
          </w:tcPr>
          <w:p>
            <w:pPr>
              <w:spacing w:after="40"/>
            </w:pPr>
            <w:r>
              <w:rPr>
                <w:rFonts w:ascii="Arial" w:hAnsi="Arial" w:eastAsia="Arial"/>
                <w:b/>
                <w:color w:val="159C9C"/>
                <w:sz w:val="18"/>
              </w:rPr>
              <w:t>Correct Answer: C</w:t>
            </w:r>
          </w:p>
          <w:p>
            <w:pPr>
              <w:spacing w:after="0" w:line="245" w:lineRule="auto"/>
            </w:pPr>
            <w:r>
              <w:rPr>
                <w:rFonts w:ascii="Arial" w:hAnsi="Arial" w:eastAsia="Arial"/>
                <w:color w:val="1F2937"/>
                <w:sz w:val="18"/>
              </w:rPr>
              <w:t>The counselor should respect the client’s current goals and readiness, address functioning and stabilization needs, explain options, and revisit focused treatment collaboratively.</w:t>
            </w:r>
          </w:p>
        </w:tc>
      </w:tr>
    </w:tbl>
    <w:p>
      <w:pPr>
        <w:spacing w:after="0"/>
      </w:pPr>
    </w:p>
    <w:p>
      <w:pPr>
        <w:spacing w:after="40"/>
      </w:pPr>
      <w:r>
        <w:rPr>
          <w:rFonts w:ascii="Arial" w:hAnsi="Arial" w:eastAsia="Arial"/>
          <w:b/>
          <w:color w:val="17365D"/>
          <w:sz w:val="18"/>
        </w:rPr>
        <w:t xml:space="preserve">Why A is not best: </w:t>
      </w:r>
      <w:r>
        <w:rPr>
          <w:rFonts w:ascii="Arial" w:hAnsi="Arial" w:eastAsia="Arial"/>
          <w:sz w:val="18"/>
        </w:rPr>
        <w:t>Evidence support does not justify overriding consent or readiness.</w:t>
      </w:r>
    </w:p>
    <w:p>
      <w:pPr>
        <w:spacing w:after="40"/>
      </w:pPr>
      <w:r>
        <w:rPr>
          <w:rFonts w:ascii="Arial" w:hAnsi="Arial" w:eastAsia="Arial"/>
          <w:b/>
          <w:color w:val="17365D"/>
          <w:sz w:val="18"/>
        </w:rPr>
        <w:t xml:space="preserve">Why B is not best: </w:t>
      </w:r>
      <w:r>
        <w:rPr>
          <w:rFonts w:ascii="Arial" w:hAnsi="Arial" w:eastAsia="Arial"/>
          <w:sz w:val="18"/>
        </w:rPr>
        <w:t>Avoiding the topic indefinitely may reinforce avoidance and prevent informed choice.</w:t>
      </w:r>
    </w:p>
    <w:p>
      <w:pPr>
        <w:spacing w:after="40"/>
      </w:pPr>
      <w:r>
        <w:rPr>
          <w:rFonts w:ascii="Arial" w:hAnsi="Arial" w:eastAsia="Arial"/>
          <w:b/>
          <w:color w:val="17365D"/>
          <w:sz w:val="18"/>
        </w:rPr>
        <w:t xml:space="preserve">Why D is not best: </w:t>
      </w:r>
      <w:r>
        <w:rPr>
          <w:rFonts w:ascii="Arial" w:hAnsi="Arial" w:eastAsia="Arial"/>
          <w:sz w:val="18"/>
        </w:rPr>
        <w:t>Declining one intervention task is not grounds for punitive termination.</w:t>
      </w:r>
    </w:p>
    <w:tbl>
      <w:tblPr>
        <w:tblW w:type="auto" w:w="0"/>
        <w:jc w:val="center"/>
        <w:tblLayout w:type="fixed"/>
        <w:tblLook w:firstColumn="1" w:firstRow="1" w:lastColumn="0" w:lastRow="0" w:noHBand="0" w:noVBand="1" w:val="04A0"/>
      </w:tblPr>
      <w:tblGrid>
        <w:gridCol w:w="10080"/>
      </w:tblGrid>
      <w:tr>
        <w:tc>
          <w:tcPr>
            <w:tcW w:type="dxa" w:w="10282"/>
            <w:shd w:fill="EAF1F8"/>
            <w:tcMar>
              <w:top w:w="85" w:type="dxa"/>
              <w:start w:w="105" w:type="dxa"/>
              <w:bottom w:w="85" w:type="dxa"/>
              <w:end w:w="105" w:type="dxa"/>
            </w:tcMar>
            <w:tcBorders>
              <w:top w:val="single" w:sz="8" w:color="17365D"/>
              <w:left w:val="single" w:sz="8" w:color="17365D"/>
              <w:bottom w:val="single" w:sz="8" w:color="17365D"/>
              <w:right w:val="single" w:sz="8" w:color="17365D"/>
            </w:tcBorders>
          </w:tcPr>
          <w:p>
            <w:pPr>
              <w:spacing w:after="40"/>
            </w:pPr>
            <w:r>
              <w:rPr>
                <w:rFonts w:ascii="Arial" w:hAnsi="Arial" w:eastAsia="Arial"/>
                <w:b/>
                <w:color w:val="17365D"/>
                <w:sz w:val="18"/>
              </w:rPr>
              <w:t>CTA Exam Strategy</w:t>
            </w:r>
          </w:p>
          <w:p>
            <w:pPr>
              <w:spacing w:after="0" w:line="245" w:lineRule="auto"/>
            </w:pPr>
            <w:r>
              <w:rPr>
                <w:rFonts w:ascii="Arial" w:hAnsi="Arial" w:eastAsia="Arial"/>
                <w:color w:val="1F2937"/>
                <w:sz w:val="18"/>
              </w:rPr>
              <w:t>When the client is not ready for focused processing, choose a collaborative, phased response—not coercion or indefinite avoidance.</w:t>
            </w:r>
          </w:p>
        </w:tc>
      </w:tr>
    </w:tbl>
    <w:p>
      <w:pPr>
        <w:spacing w:after="0"/>
      </w:pPr>
    </w:p>
    <w:p>
      <w:pPr>
        <w:spacing w:after="80"/>
      </w:pPr>
      <w:r>
        <w:rPr>
          <w:rFonts w:ascii="Arial" w:hAnsi="Arial" w:eastAsia="Arial"/>
          <w:b/>
          <w:color w:val="159C9C"/>
          <w:sz w:val="18"/>
        </w:rPr>
        <w:t xml:space="preserve">Clinical Pearl: </w:t>
      </w:r>
      <w:r>
        <w:rPr>
          <w:rFonts w:ascii="Arial" w:hAnsi="Arial" w:eastAsia="Arial"/>
          <w:i/>
          <w:sz w:val="18"/>
        </w:rPr>
        <w:t>Pacing is part of treatment fit.</w:t>
      </w:r>
    </w:p>
    <w:p>
      <w:pPr>
        <w:pStyle w:val="Heading2"/>
        <w:keepNext/>
        <w:keepNext/>
      </w:pPr>
      <w:r>
        <w:rPr>
          <w:rFonts w:ascii="Arial" w:hAnsi="Arial" w:eastAsia="Arial"/>
        </w:rPr>
        <w:t>Question 6 (LPCC-WB09-Q006)</w:t>
      </w:r>
    </w:p>
    <w:tbl>
      <w:tblPr>
        <w:tblW w:type="auto" w:w="0"/>
        <w:jc w:val="center"/>
        <w:tblLayout w:type="fixed"/>
        <w:tblLook w:firstColumn="1" w:firstRow="1" w:lastColumn="0" w:lastRow="0" w:noHBand="0" w:noVBand="1" w:val="04A0"/>
      </w:tblPr>
      <w:tblGrid>
        <w:gridCol w:w="10080"/>
      </w:tblGrid>
      <w:tr>
        <w:tc>
          <w:tcPr>
            <w:tcW w:type="dxa" w:w="10282"/>
            <w:shd w:fill="E8F5F5"/>
            <w:tcMar>
              <w:top w:w="85" w:type="dxa"/>
              <w:start w:w="105" w:type="dxa"/>
              <w:bottom w:w="85" w:type="dxa"/>
              <w:end w:w="105" w:type="dxa"/>
            </w:tcMar>
            <w:tcBorders>
              <w:top w:val="single" w:sz="8" w:color="159C9C"/>
              <w:left w:val="single" w:sz="8" w:color="159C9C"/>
              <w:bottom w:val="single" w:sz="8" w:color="159C9C"/>
              <w:right w:val="single" w:sz="8" w:color="159C9C"/>
            </w:tcBorders>
          </w:tcPr>
          <w:p>
            <w:pPr>
              <w:spacing w:after="40"/>
            </w:pPr>
            <w:r>
              <w:rPr>
                <w:rFonts w:ascii="Arial" w:hAnsi="Arial" w:eastAsia="Arial"/>
                <w:b/>
                <w:color w:val="159C9C"/>
                <w:sz w:val="18"/>
              </w:rPr>
              <w:t>Correct Answer: C</w:t>
            </w:r>
          </w:p>
          <w:p>
            <w:pPr>
              <w:spacing w:after="0" w:line="245" w:lineRule="auto"/>
            </w:pPr>
            <w:r>
              <w:rPr>
                <w:rFonts w:ascii="Arial" w:hAnsi="Arial" w:eastAsia="Arial"/>
                <w:color w:val="1F2937"/>
                <w:sz w:val="18"/>
              </w:rPr>
              <w:t>The counselor should assess the adverse response, adapt the attentional focus or choose another method, and seek consultation or referral when needed.</w:t>
            </w:r>
          </w:p>
        </w:tc>
      </w:tr>
    </w:tbl>
    <w:p>
      <w:pPr>
        <w:spacing w:after="0"/>
      </w:pPr>
    </w:p>
    <w:p>
      <w:pPr>
        <w:spacing w:after="40"/>
      </w:pPr>
      <w:r>
        <w:rPr>
          <w:rFonts w:ascii="Arial" w:hAnsi="Arial" w:eastAsia="Arial"/>
          <w:b/>
          <w:color w:val="17365D"/>
          <w:sz w:val="18"/>
        </w:rPr>
        <w:t xml:space="preserve">Why A is not best: </w:t>
      </w:r>
      <w:r>
        <w:rPr>
          <w:rFonts w:ascii="Arial" w:hAnsi="Arial" w:eastAsia="Arial"/>
          <w:sz w:val="18"/>
        </w:rPr>
        <w:t>More intensity without reassessment may worsen dissociation.</w:t>
      </w:r>
    </w:p>
    <w:p>
      <w:pPr>
        <w:spacing w:after="40"/>
      </w:pPr>
      <w:r>
        <w:rPr>
          <w:rFonts w:ascii="Arial" w:hAnsi="Arial" w:eastAsia="Arial"/>
          <w:b/>
          <w:color w:val="17365D"/>
          <w:sz w:val="18"/>
        </w:rPr>
        <w:t xml:space="preserve">Why B is not best: </w:t>
      </w:r>
      <w:r>
        <w:rPr>
          <w:rFonts w:ascii="Arial" w:hAnsi="Arial" w:eastAsia="Arial"/>
          <w:sz w:val="18"/>
        </w:rPr>
        <w:t>One form of practice causing difficulty does not prove every mindfulness-informed option is permanently unsuitable.</w:t>
      </w:r>
    </w:p>
    <w:p>
      <w:pPr>
        <w:spacing w:after="40"/>
      </w:pPr>
      <w:r>
        <w:rPr>
          <w:rFonts w:ascii="Arial" w:hAnsi="Arial" w:eastAsia="Arial"/>
          <w:b/>
          <w:color w:val="17365D"/>
          <w:sz w:val="18"/>
        </w:rPr>
        <w:t xml:space="preserve">Why D is not best: </w:t>
      </w:r>
      <w:r>
        <w:rPr>
          <w:rFonts w:ascii="Arial" w:hAnsi="Arial" w:eastAsia="Arial"/>
          <w:sz w:val="18"/>
        </w:rPr>
        <w:t>Ignoring a clinically significant response violates measurement-based adjustment.</w:t>
      </w:r>
    </w:p>
    <w:tbl>
      <w:tblPr>
        <w:tblW w:type="auto" w:w="0"/>
        <w:jc w:val="center"/>
        <w:tblLayout w:type="fixed"/>
        <w:tblLook w:firstColumn="1" w:firstRow="1" w:lastColumn="0" w:lastRow="0" w:noHBand="0" w:noVBand="1" w:val="04A0"/>
      </w:tblPr>
      <w:tblGrid>
        <w:gridCol w:w="10080"/>
      </w:tblGrid>
      <w:tr>
        <w:tc>
          <w:tcPr>
            <w:tcW w:type="dxa" w:w="10282"/>
            <w:shd w:fill="EAF1F8"/>
            <w:tcMar>
              <w:top w:w="85" w:type="dxa"/>
              <w:start w:w="105" w:type="dxa"/>
              <w:bottom w:w="85" w:type="dxa"/>
              <w:end w:w="105" w:type="dxa"/>
            </w:tcMar>
            <w:tcBorders>
              <w:top w:val="single" w:sz="8" w:color="17365D"/>
              <w:left w:val="single" w:sz="8" w:color="17365D"/>
              <w:bottom w:val="single" w:sz="8" w:color="17365D"/>
              <w:right w:val="single" w:sz="8" w:color="17365D"/>
            </w:tcBorders>
          </w:tcPr>
          <w:p>
            <w:pPr>
              <w:spacing w:after="40"/>
            </w:pPr>
            <w:r>
              <w:rPr>
                <w:rFonts w:ascii="Arial" w:hAnsi="Arial" w:eastAsia="Arial"/>
                <w:b/>
                <w:color w:val="17365D"/>
                <w:sz w:val="18"/>
              </w:rPr>
              <w:t>CTA Exam Strategy</w:t>
            </w:r>
          </w:p>
          <w:p>
            <w:pPr>
              <w:spacing w:after="0" w:line="245" w:lineRule="auto"/>
            </w:pPr>
            <w:r>
              <w:rPr>
                <w:rFonts w:ascii="Arial" w:hAnsi="Arial" w:eastAsia="Arial"/>
                <w:color w:val="1F2937"/>
                <w:sz w:val="18"/>
              </w:rPr>
              <w:t>When an intervention increases impairment, reassess fit and mechanism before increasing dosage.</w:t>
            </w:r>
          </w:p>
        </w:tc>
      </w:tr>
    </w:tbl>
    <w:p>
      <w:pPr>
        <w:spacing w:after="0"/>
      </w:pPr>
    </w:p>
    <w:p>
      <w:pPr>
        <w:spacing w:after="80"/>
      </w:pPr>
      <w:r>
        <w:rPr>
          <w:rFonts w:ascii="Arial" w:hAnsi="Arial" w:eastAsia="Arial"/>
          <w:b/>
          <w:color w:val="159C9C"/>
          <w:sz w:val="18"/>
        </w:rPr>
        <w:t xml:space="preserve">Clinical Pearl: </w:t>
      </w:r>
      <w:r>
        <w:rPr>
          <w:rFonts w:ascii="Arial" w:hAnsi="Arial" w:eastAsia="Arial"/>
          <w:i/>
          <w:sz w:val="18"/>
        </w:rPr>
        <w:t>Adaptation should improve safety while preserving purpose.</w:t>
      </w:r>
    </w:p>
    <w:p>
      <w:pPr>
        <w:pStyle w:val="Heading2"/>
        <w:keepNext/>
        <w:keepNext/>
      </w:pPr>
      <w:r>
        <w:rPr>
          <w:rFonts w:ascii="Arial" w:hAnsi="Arial" w:eastAsia="Arial"/>
        </w:rPr>
        <w:t>Question 7 (LPCC-WB09-Q007)</w:t>
      </w:r>
    </w:p>
    <w:tbl>
      <w:tblPr>
        <w:tblW w:type="auto" w:w="0"/>
        <w:jc w:val="center"/>
        <w:tblLayout w:type="fixed"/>
        <w:tblLook w:firstColumn="1" w:firstRow="1" w:lastColumn="0" w:lastRow="0" w:noHBand="0" w:noVBand="1" w:val="04A0"/>
      </w:tblPr>
      <w:tblGrid>
        <w:gridCol w:w="10080"/>
      </w:tblGrid>
      <w:tr>
        <w:tc>
          <w:tcPr>
            <w:tcW w:type="dxa" w:w="10282"/>
            <w:shd w:fill="E8F5F5"/>
            <w:tcMar>
              <w:top w:w="85" w:type="dxa"/>
              <w:start w:w="105" w:type="dxa"/>
              <w:bottom w:w="85" w:type="dxa"/>
              <w:end w:w="105" w:type="dxa"/>
            </w:tcMar>
            <w:tcBorders>
              <w:top w:val="single" w:sz="8" w:color="159C9C"/>
              <w:left w:val="single" w:sz="8" w:color="159C9C"/>
              <w:bottom w:val="single" w:sz="8" w:color="159C9C"/>
              <w:right w:val="single" w:sz="8" w:color="159C9C"/>
            </w:tcBorders>
          </w:tcPr>
          <w:p>
            <w:pPr>
              <w:spacing w:after="40"/>
            </w:pPr>
            <w:r>
              <w:rPr>
                <w:rFonts w:ascii="Arial" w:hAnsi="Arial" w:eastAsia="Arial"/>
                <w:b/>
                <w:color w:val="159C9C"/>
                <w:sz w:val="18"/>
              </w:rPr>
              <w:t>Correct Answer: B</w:t>
            </w:r>
          </w:p>
          <w:p>
            <w:pPr>
              <w:spacing w:after="0" w:line="245" w:lineRule="auto"/>
            </w:pPr>
            <w:r>
              <w:rPr>
                <w:rFonts w:ascii="Arial" w:hAnsi="Arial" w:eastAsia="Arial"/>
                <w:color w:val="1F2937"/>
                <w:sz w:val="18"/>
              </w:rPr>
              <w:t>The response explores both sides of ambivalence, connects the concern to the client’s work values, and supports autonomy.</w:t>
            </w:r>
          </w:p>
        </w:tc>
      </w:tr>
    </w:tbl>
    <w:p>
      <w:pPr>
        <w:spacing w:after="0"/>
      </w:pPr>
    </w:p>
    <w:p>
      <w:pPr>
        <w:spacing w:after="40"/>
      </w:pPr>
      <w:r>
        <w:rPr>
          <w:rFonts w:ascii="Arial" w:hAnsi="Arial" w:eastAsia="Arial"/>
          <w:b/>
          <w:color w:val="17365D"/>
          <w:sz w:val="18"/>
        </w:rPr>
        <w:t xml:space="preserve">Why A is not best: </w:t>
      </w:r>
      <w:r>
        <w:rPr>
          <w:rFonts w:ascii="Arial" w:hAnsi="Arial" w:eastAsia="Arial"/>
          <w:sz w:val="18"/>
        </w:rPr>
        <w:t>Threats and confrontation increase discord and reduce autonomy.</w:t>
      </w:r>
    </w:p>
    <w:p>
      <w:pPr>
        <w:spacing w:after="40"/>
      </w:pPr>
      <w:r>
        <w:rPr>
          <w:rFonts w:ascii="Arial" w:hAnsi="Arial" w:eastAsia="Arial"/>
          <w:b/>
          <w:color w:val="17365D"/>
          <w:sz w:val="18"/>
        </w:rPr>
        <w:t xml:space="preserve">Why C is not best: </w:t>
      </w:r>
      <w:r>
        <w:rPr>
          <w:rFonts w:ascii="Arial" w:hAnsi="Arial" w:eastAsia="Arial"/>
          <w:sz w:val="18"/>
        </w:rPr>
        <w:t>The statement overclaims causation without assessment.</w:t>
      </w:r>
    </w:p>
    <w:p>
      <w:pPr>
        <w:spacing w:after="40"/>
      </w:pPr>
      <w:r>
        <w:rPr>
          <w:rFonts w:ascii="Arial" w:hAnsi="Arial" w:eastAsia="Arial"/>
          <w:b/>
          <w:color w:val="17365D"/>
          <w:sz w:val="18"/>
        </w:rPr>
        <w:t xml:space="preserve">Why D is not best: </w:t>
      </w:r>
      <w:r>
        <w:rPr>
          <w:rFonts w:ascii="Arial" w:hAnsi="Arial" w:eastAsia="Arial"/>
          <w:sz w:val="18"/>
        </w:rPr>
        <w:t>The response avoids the client’s stated ambivalence and introduces an irrelevant test.</w:t>
      </w:r>
    </w:p>
    <w:tbl>
      <w:tblPr>
        <w:tblW w:type="auto" w:w="0"/>
        <w:jc w:val="center"/>
        <w:tblLayout w:type="fixed"/>
        <w:tblLook w:firstColumn="1" w:firstRow="1" w:lastColumn="0" w:lastRow="0" w:noHBand="0" w:noVBand="1" w:val="04A0"/>
      </w:tblPr>
      <w:tblGrid>
        <w:gridCol w:w="10080"/>
      </w:tblGrid>
      <w:tr>
        <w:tc>
          <w:tcPr>
            <w:tcW w:type="dxa" w:w="10282"/>
            <w:shd w:fill="EAF1F8"/>
            <w:tcMar>
              <w:top w:w="85" w:type="dxa"/>
              <w:start w:w="105" w:type="dxa"/>
              <w:bottom w:w="85" w:type="dxa"/>
              <w:end w:w="105" w:type="dxa"/>
            </w:tcMar>
            <w:tcBorders>
              <w:top w:val="single" w:sz="8" w:color="17365D"/>
              <w:left w:val="single" w:sz="8" w:color="17365D"/>
              <w:bottom w:val="single" w:sz="8" w:color="17365D"/>
              <w:right w:val="single" w:sz="8" w:color="17365D"/>
            </w:tcBorders>
          </w:tcPr>
          <w:p>
            <w:pPr>
              <w:spacing w:after="40"/>
            </w:pPr>
            <w:r>
              <w:rPr>
                <w:rFonts w:ascii="Arial" w:hAnsi="Arial" w:eastAsia="Arial"/>
                <w:b/>
                <w:color w:val="17365D"/>
                <w:sz w:val="18"/>
              </w:rPr>
              <w:t>CTA Exam Strategy</w:t>
            </w:r>
          </w:p>
          <w:p>
            <w:pPr>
              <w:spacing w:after="0" w:line="245" w:lineRule="auto"/>
            </w:pPr>
            <w:r>
              <w:rPr>
                <w:rFonts w:ascii="Arial" w:hAnsi="Arial" w:eastAsia="Arial"/>
                <w:color w:val="1F2937"/>
                <w:sz w:val="18"/>
              </w:rPr>
              <w:t>MI answers usually sound curious, reflective, autonomy-supportive, and connected to the client’s own reasons for change.</w:t>
            </w:r>
          </w:p>
        </w:tc>
      </w:tr>
    </w:tbl>
    <w:p>
      <w:pPr>
        <w:spacing w:after="0"/>
      </w:pPr>
    </w:p>
    <w:p>
      <w:pPr>
        <w:spacing w:after="80"/>
      </w:pPr>
      <w:r>
        <w:rPr>
          <w:rFonts w:ascii="Arial" w:hAnsi="Arial" w:eastAsia="Arial"/>
          <w:b/>
          <w:color w:val="159C9C"/>
          <w:sz w:val="18"/>
        </w:rPr>
        <w:t xml:space="preserve">Clinical Pearl: </w:t>
      </w:r>
      <w:r>
        <w:rPr>
          <w:rFonts w:ascii="Arial" w:hAnsi="Arial" w:eastAsia="Arial"/>
          <w:i/>
          <w:sz w:val="18"/>
        </w:rPr>
        <w:t>Ambivalence is explored, not defeated.</w:t>
      </w:r>
    </w:p>
    <w:p>
      <w:pPr>
        <w:pStyle w:val="Heading2"/>
        <w:keepNext/>
        <w:keepNext/>
      </w:pPr>
      <w:r>
        <w:rPr>
          <w:rFonts w:ascii="Arial" w:hAnsi="Arial" w:eastAsia="Arial"/>
        </w:rPr>
        <w:t>Question 8 (LPCC-WB09-Q008)</w:t>
      </w:r>
    </w:p>
    <w:tbl>
      <w:tblPr>
        <w:tblW w:type="auto" w:w="0"/>
        <w:jc w:val="center"/>
        <w:tblLayout w:type="fixed"/>
        <w:tblLook w:firstColumn="1" w:firstRow="1" w:lastColumn="0" w:lastRow="0" w:noHBand="0" w:noVBand="1" w:val="04A0"/>
      </w:tblPr>
      <w:tblGrid>
        <w:gridCol w:w="10080"/>
      </w:tblGrid>
      <w:tr>
        <w:tc>
          <w:tcPr>
            <w:tcW w:type="dxa" w:w="10282"/>
            <w:shd w:fill="E8F5F5"/>
            <w:tcMar>
              <w:top w:w="85" w:type="dxa"/>
              <w:start w:w="105" w:type="dxa"/>
              <w:bottom w:w="85" w:type="dxa"/>
              <w:end w:w="105" w:type="dxa"/>
            </w:tcMar>
            <w:tcBorders>
              <w:top w:val="single" w:sz="8" w:color="159C9C"/>
              <w:left w:val="single" w:sz="8" w:color="159C9C"/>
              <w:bottom w:val="single" w:sz="8" w:color="159C9C"/>
              <w:right w:val="single" w:sz="8" w:color="159C9C"/>
            </w:tcBorders>
          </w:tcPr>
          <w:p>
            <w:pPr>
              <w:spacing w:after="40"/>
            </w:pPr>
            <w:r>
              <w:rPr>
                <w:rFonts w:ascii="Arial" w:hAnsi="Arial" w:eastAsia="Arial"/>
                <w:b/>
                <w:color w:val="159C9C"/>
                <w:sz w:val="18"/>
              </w:rPr>
              <w:t>Correct Answer: A</w:t>
            </w:r>
          </w:p>
          <w:p>
            <w:pPr>
              <w:spacing w:after="0" w:line="245" w:lineRule="auto"/>
            </w:pPr>
            <w:r>
              <w:rPr>
                <w:rFonts w:ascii="Arial" w:hAnsi="Arial" w:eastAsia="Arial"/>
                <w:color w:val="1F2937"/>
                <w:sz w:val="18"/>
              </w:rPr>
              <w:t>A nonemergency lapse is best used to identify triggers, strengthen learning, preserve progress, and revise the prevention plan.</w:t>
            </w:r>
          </w:p>
        </w:tc>
      </w:tr>
    </w:tbl>
    <w:p>
      <w:pPr>
        <w:spacing w:after="0"/>
      </w:pPr>
    </w:p>
    <w:p>
      <w:pPr>
        <w:spacing w:after="40"/>
      </w:pPr>
      <w:r>
        <w:rPr>
          <w:rFonts w:ascii="Arial" w:hAnsi="Arial" w:eastAsia="Arial"/>
          <w:b/>
          <w:color w:val="17365D"/>
          <w:sz w:val="18"/>
        </w:rPr>
        <w:t xml:space="preserve">Why B is not best: </w:t>
      </w:r>
      <w:r>
        <w:rPr>
          <w:rFonts w:ascii="Arial" w:hAnsi="Arial" w:eastAsia="Arial"/>
          <w:sz w:val="18"/>
        </w:rPr>
        <w:t>Automatic discharge is punitive and ignores clinical learning.</w:t>
      </w:r>
    </w:p>
    <w:p>
      <w:pPr>
        <w:spacing w:after="40"/>
      </w:pPr>
      <w:r>
        <w:rPr>
          <w:rFonts w:ascii="Arial" w:hAnsi="Arial" w:eastAsia="Arial"/>
          <w:b/>
          <w:color w:val="17365D"/>
          <w:sz w:val="18"/>
        </w:rPr>
        <w:t xml:space="preserve">Why C is not best: </w:t>
      </w:r>
      <w:r>
        <w:rPr>
          <w:rFonts w:ascii="Arial" w:hAnsi="Arial" w:eastAsia="Arial"/>
          <w:sz w:val="18"/>
        </w:rPr>
        <w:t>Ignoring the episode misses risk and prevention information.</w:t>
      </w:r>
    </w:p>
    <w:p>
      <w:pPr>
        <w:spacing w:after="40"/>
      </w:pPr>
      <w:r>
        <w:rPr>
          <w:rFonts w:ascii="Arial" w:hAnsi="Arial" w:eastAsia="Arial"/>
          <w:b/>
          <w:color w:val="17365D"/>
          <w:sz w:val="18"/>
        </w:rPr>
        <w:t xml:space="preserve">Why D is not best: </w:t>
      </w:r>
      <w:r>
        <w:rPr>
          <w:rFonts w:ascii="Arial" w:hAnsi="Arial" w:eastAsia="Arial"/>
          <w:sz w:val="18"/>
        </w:rPr>
        <w:t>All-or-nothing framing can increase shame and recurrence risk.</w:t>
      </w:r>
    </w:p>
    <w:tbl>
      <w:tblPr>
        <w:tblW w:type="auto" w:w="0"/>
        <w:jc w:val="center"/>
        <w:tblLayout w:type="fixed"/>
        <w:tblLook w:firstColumn="1" w:firstRow="1" w:lastColumn="0" w:lastRow="0" w:noHBand="0" w:noVBand="1" w:val="04A0"/>
      </w:tblPr>
      <w:tblGrid>
        <w:gridCol w:w="10080"/>
      </w:tblGrid>
      <w:tr>
        <w:tc>
          <w:tcPr>
            <w:tcW w:type="dxa" w:w="10282"/>
            <w:shd w:fill="EAF1F8"/>
            <w:tcMar>
              <w:top w:w="85" w:type="dxa"/>
              <w:start w:w="105" w:type="dxa"/>
              <w:bottom w:w="85" w:type="dxa"/>
              <w:end w:w="105" w:type="dxa"/>
            </w:tcMar>
            <w:tcBorders>
              <w:top w:val="single" w:sz="8" w:color="17365D"/>
              <w:left w:val="single" w:sz="8" w:color="17365D"/>
              <w:bottom w:val="single" w:sz="8" w:color="17365D"/>
              <w:right w:val="single" w:sz="8" w:color="17365D"/>
            </w:tcBorders>
          </w:tcPr>
          <w:p>
            <w:pPr>
              <w:spacing w:after="40"/>
            </w:pPr>
            <w:r>
              <w:rPr>
                <w:rFonts w:ascii="Arial" w:hAnsi="Arial" w:eastAsia="Arial"/>
                <w:b/>
                <w:color w:val="17365D"/>
                <w:sz w:val="18"/>
              </w:rPr>
              <w:t>CTA Exam Strategy</w:t>
            </w:r>
          </w:p>
          <w:p>
            <w:pPr>
              <w:spacing w:after="0" w:line="245" w:lineRule="auto"/>
            </w:pPr>
            <w:r>
              <w:rPr>
                <w:rFonts w:ascii="Arial" w:hAnsi="Arial" w:eastAsia="Arial"/>
                <w:color w:val="1F2937"/>
                <w:sz w:val="18"/>
              </w:rPr>
              <w:t>After safety is addressed, convert the lapse into a functional analysis and revised plan.</w:t>
            </w:r>
          </w:p>
        </w:tc>
      </w:tr>
    </w:tbl>
    <w:p>
      <w:pPr>
        <w:spacing w:after="0"/>
      </w:pPr>
    </w:p>
    <w:p>
      <w:pPr>
        <w:spacing w:after="80"/>
      </w:pPr>
      <w:r>
        <w:rPr>
          <w:rFonts w:ascii="Arial" w:hAnsi="Arial" w:eastAsia="Arial"/>
          <w:b/>
          <w:color w:val="159C9C"/>
          <w:sz w:val="18"/>
        </w:rPr>
        <w:t xml:space="preserve">Clinical Pearl: </w:t>
      </w:r>
      <w:r>
        <w:rPr>
          <w:rFonts w:ascii="Arial" w:hAnsi="Arial" w:eastAsia="Arial"/>
          <w:i/>
          <w:sz w:val="18"/>
        </w:rPr>
        <w:t>A lapse is data, not a moral verdict.</w:t>
      </w:r>
    </w:p>
    <w:p>
      <w:pPr>
        <w:pStyle w:val="Heading2"/>
        <w:keepNext/>
        <w:keepNext/>
      </w:pPr>
      <w:r>
        <w:rPr>
          <w:rFonts w:ascii="Arial" w:hAnsi="Arial" w:eastAsia="Arial"/>
        </w:rPr>
        <w:t>Question 9 (LPCC-WB09-Q009)</w:t>
      </w:r>
    </w:p>
    <w:tbl>
      <w:tblPr>
        <w:tblW w:type="auto" w:w="0"/>
        <w:jc w:val="center"/>
        <w:tblLayout w:type="fixed"/>
        <w:tblLook w:firstColumn="1" w:firstRow="1" w:lastColumn="0" w:lastRow="0" w:noHBand="0" w:noVBand="1" w:val="04A0"/>
      </w:tblPr>
      <w:tblGrid>
        <w:gridCol w:w="10080"/>
      </w:tblGrid>
      <w:tr>
        <w:tc>
          <w:tcPr>
            <w:tcW w:type="dxa" w:w="10282"/>
            <w:shd w:fill="E8F5F5"/>
            <w:tcMar>
              <w:top w:w="85" w:type="dxa"/>
              <w:start w:w="105" w:type="dxa"/>
              <w:bottom w:w="85" w:type="dxa"/>
              <w:end w:w="105" w:type="dxa"/>
            </w:tcMar>
            <w:tcBorders>
              <w:top w:val="single" w:sz="8" w:color="159C9C"/>
              <w:left w:val="single" w:sz="8" w:color="159C9C"/>
              <w:bottom w:val="single" w:sz="8" w:color="159C9C"/>
              <w:right w:val="single" w:sz="8" w:color="159C9C"/>
            </w:tcBorders>
          </w:tcPr>
          <w:p>
            <w:pPr>
              <w:spacing w:after="40"/>
            </w:pPr>
            <w:r>
              <w:rPr>
                <w:rFonts w:ascii="Arial" w:hAnsi="Arial" w:eastAsia="Arial"/>
                <w:b/>
                <w:color w:val="159C9C"/>
                <w:sz w:val="18"/>
              </w:rPr>
              <w:t>Correct Answer: B</w:t>
            </w:r>
          </w:p>
          <w:p>
            <w:pPr>
              <w:spacing w:after="0" w:line="245" w:lineRule="auto"/>
            </w:pPr>
            <w:r>
              <w:rPr>
                <w:rFonts w:ascii="Arial" w:hAnsi="Arial" w:eastAsia="Arial"/>
                <w:color w:val="1F2937"/>
                <w:sz w:val="18"/>
              </w:rPr>
              <w:t>A structured review of target, implementation, dosage, barriers, alliance, fit, and emerging factors is necessary before concluding that the method is ineffective.</w:t>
            </w:r>
          </w:p>
        </w:tc>
      </w:tr>
    </w:tbl>
    <w:p>
      <w:pPr>
        <w:spacing w:after="0"/>
      </w:pPr>
    </w:p>
    <w:p>
      <w:pPr>
        <w:spacing w:after="40"/>
      </w:pPr>
      <w:r>
        <w:rPr>
          <w:rFonts w:ascii="Arial" w:hAnsi="Arial" w:eastAsia="Arial"/>
          <w:b/>
          <w:color w:val="17365D"/>
          <w:sz w:val="18"/>
        </w:rPr>
        <w:t xml:space="preserve">Why A is not best: </w:t>
      </w:r>
      <w:r>
        <w:rPr>
          <w:rFonts w:ascii="Arial" w:hAnsi="Arial" w:eastAsia="Arial"/>
          <w:sz w:val="18"/>
        </w:rPr>
        <w:t>Lack of early progress does not automatically invalidate the diagnosis.</w:t>
      </w:r>
    </w:p>
    <w:p>
      <w:pPr>
        <w:spacing w:after="40"/>
      </w:pPr>
      <w:r>
        <w:rPr>
          <w:rFonts w:ascii="Arial" w:hAnsi="Arial" w:eastAsia="Arial"/>
          <w:b/>
          <w:color w:val="17365D"/>
          <w:sz w:val="18"/>
        </w:rPr>
        <w:t xml:space="preserve">Why C is not best: </w:t>
      </w:r>
      <w:r>
        <w:rPr>
          <w:rFonts w:ascii="Arial" w:hAnsi="Arial" w:eastAsia="Arial"/>
          <w:sz w:val="18"/>
        </w:rPr>
        <w:t>Technique stacking prevents clear learning about what is helping.</w:t>
      </w:r>
    </w:p>
    <w:p>
      <w:pPr>
        <w:spacing w:after="40"/>
      </w:pPr>
      <w:r>
        <w:rPr>
          <w:rFonts w:ascii="Arial" w:hAnsi="Arial" w:eastAsia="Arial"/>
          <w:b/>
          <w:color w:val="17365D"/>
          <w:sz w:val="18"/>
        </w:rPr>
        <w:t xml:space="preserve">Why D is not best: </w:t>
      </w:r>
      <w:r>
        <w:rPr>
          <w:rFonts w:ascii="Arial" w:hAnsi="Arial" w:eastAsia="Arial"/>
          <w:sz w:val="18"/>
        </w:rPr>
        <w:t>Evidence-supported interventions are not universally effective and should not continue unchanged indefinitely.</w:t>
      </w:r>
    </w:p>
    <w:tbl>
      <w:tblPr>
        <w:tblW w:type="auto" w:w="0"/>
        <w:jc w:val="center"/>
        <w:tblLayout w:type="fixed"/>
        <w:tblLook w:firstColumn="1" w:firstRow="1" w:lastColumn="0" w:lastRow="0" w:noHBand="0" w:noVBand="1" w:val="04A0"/>
      </w:tblPr>
      <w:tblGrid>
        <w:gridCol w:w="10080"/>
      </w:tblGrid>
      <w:tr>
        <w:tc>
          <w:tcPr>
            <w:tcW w:type="dxa" w:w="10282"/>
            <w:shd w:fill="EAF1F8"/>
            <w:tcMar>
              <w:top w:w="85" w:type="dxa"/>
              <w:start w:w="105" w:type="dxa"/>
              <w:bottom w:w="85" w:type="dxa"/>
              <w:end w:w="105" w:type="dxa"/>
            </w:tcMar>
            <w:tcBorders>
              <w:top w:val="single" w:sz="8" w:color="17365D"/>
              <w:left w:val="single" w:sz="8" w:color="17365D"/>
              <w:bottom w:val="single" w:sz="8" w:color="17365D"/>
              <w:right w:val="single" w:sz="8" w:color="17365D"/>
            </w:tcBorders>
          </w:tcPr>
          <w:p>
            <w:pPr>
              <w:spacing w:after="40"/>
            </w:pPr>
            <w:r>
              <w:rPr>
                <w:rFonts w:ascii="Arial" w:hAnsi="Arial" w:eastAsia="Arial"/>
                <w:b/>
                <w:color w:val="17365D"/>
                <w:sz w:val="18"/>
              </w:rPr>
              <w:t>CTA Exam Strategy</w:t>
            </w:r>
          </w:p>
          <w:p>
            <w:pPr>
              <w:spacing w:after="0" w:line="245" w:lineRule="auto"/>
            </w:pPr>
            <w:r>
              <w:rPr>
                <w:rFonts w:ascii="Arial" w:hAnsi="Arial" w:eastAsia="Arial"/>
                <w:color w:val="1F2937"/>
                <w:sz w:val="18"/>
              </w:rPr>
              <w:t>Before switching, perform a PIVOT review so the revision has a defensible reason.</w:t>
            </w:r>
          </w:p>
        </w:tc>
      </w:tr>
    </w:tbl>
    <w:p>
      <w:pPr>
        <w:spacing w:after="0"/>
      </w:pPr>
    </w:p>
    <w:p>
      <w:pPr>
        <w:spacing w:after="80"/>
      </w:pPr>
      <w:r>
        <w:rPr>
          <w:rFonts w:ascii="Arial" w:hAnsi="Arial" w:eastAsia="Arial"/>
          <w:b/>
          <w:color w:val="159C9C"/>
          <w:sz w:val="18"/>
        </w:rPr>
        <w:t xml:space="preserve">Clinical Pearl: </w:t>
      </w:r>
      <w:r>
        <w:rPr>
          <w:rFonts w:ascii="Arial" w:hAnsi="Arial" w:eastAsia="Arial"/>
          <w:i/>
          <w:sz w:val="18"/>
        </w:rPr>
        <w:t>Nonresponse must be interpreted, not merely observed.</w:t>
      </w:r>
    </w:p>
    <w:p>
      <w:pPr>
        <w:pStyle w:val="Heading2"/>
        <w:keepNext/>
        <w:keepNext/>
      </w:pPr>
      <w:r>
        <w:rPr>
          <w:rFonts w:ascii="Arial" w:hAnsi="Arial" w:eastAsia="Arial"/>
        </w:rPr>
        <w:t>Question 10 (LPCC-WB09-Q010)</w:t>
      </w:r>
    </w:p>
    <w:tbl>
      <w:tblPr>
        <w:tblW w:type="auto" w:w="0"/>
        <w:jc w:val="center"/>
        <w:tblLayout w:type="fixed"/>
        <w:tblLook w:firstColumn="1" w:firstRow="1" w:lastColumn="0" w:lastRow="0" w:noHBand="0" w:noVBand="1" w:val="04A0"/>
      </w:tblPr>
      <w:tblGrid>
        <w:gridCol w:w="10080"/>
      </w:tblGrid>
      <w:tr>
        <w:tc>
          <w:tcPr>
            <w:tcW w:type="dxa" w:w="10282"/>
            <w:shd w:fill="E8F5F5"/>
            <w:tcMar>
              <w:top w:w="85" w:type="dxa"/>
              <w:start w:w="105" w:type="dxa"/>
              <w:bottom w:w="85" w:type="dxa"/>
              <w:end w:w="105" w:type="dxa"/>
            </w:tcMar>
            <w:tcBorders>
              <w:top w:val="single" w:sz="8" w:color="159C9C"/>
              <w:left w:val="single" w:sz="8" w:color="159C9C"/>
              <w:bottom w:val="single" w:sz="8" w:color="159C9C"/>
              <w:right w:val="single" w:sz="8" w:color="159C9C"/>
            </w:tcBorders>
          </w:tcPr>
          <w:p>
            <w:pPr>
              <w:spacing w:after="40"/>
            </w:pPr>
            <w:r>
              <w:rPr>
                <w:rFonts w:ascii="Arial" w:hAnsi="Arial" w:eastAsia="Arial"/>
                <w:b/>
                <w:color w:val="159C9C"/>
                <w:sz w:val="18"/>
              </w:rPr>
              <w:t>Correct Answer: C</w:t>
            </w:r>
          </w:p>
          <w:p>
            <w:pPr>
              <w:spacing w:after="0" w:line="245" w:lineRule="auto"/>
            </w:pPr>
            <w:r>
              <w:rPr>
                <w:rFonts w:ascii="Arial" w:hAnsi="Arial" w:eastAsia="Arial"/>
                <w:color w:val="1F2937"/>
                <w:sz w:val="18"/>
              </w:rPr>
              <w:t>The counselor should disclose the competence limit, discuss alternatives, and arrange appropriate consultation, referral, or coordinated care.</w:t>
            </w:r>
          </w:p>
        </w:tc>
      </w:tr>
    </w:tbl>
    <w:p>
      <w:pPr>
        <w:spacing w:after="0"/>
      </w:pPr>
    </w:p>
    <w:p>
      <w:pPr>
        <w:spacing w:after="40"/>
      </w:pPr>
      <w:r>
        <w:rPr>
          <w:rFonts w:ascii="Arial" w:hAnsi="Arial" w:eastAsia="Arial"/>
          <w:b/>
          <w:color w:val="17365D"/>
          <w:sz w:val="18"/>
        </w:rPr>
        <w:t xml:space="preserve">Why A is not best: </w:t>
      </w:r>
      <w:r>
        <w:rPr>
          <w:rFonts w:ascii="Arial" w:hAnsi="Arial" w:eastAsia="Arial"/>
          <w:sz w:val="18"/>
        </w:rPr>
        <w:t>Brief exposure to a demonstration does not establish competence.</w:t>
      </w:r>
    </w:p>
    <w:p>
      <w:pPr>
        <w:spacing w:after="40"/>
      </w:pPr>
      <w:r>
        <w:rPr>
          <w:rFonts w:ascii="Arial" w:hAnsi="Arial" w:eastAsia="Arial"/>
          <w:b/>
          <w:color w:val="17365D"/>
          <w:sz w:val="18"/>
        </w:rPr>
        <w:t xml:space="preserve">Why B is not best: </w:t>
      </w:r>
      <w:r>
        <w:rPr>
          <w:rFonts w:ascii="Arial" w:hAnsi="Arial" w:eastAsia="Arial"/>
          <w:sz w:val="18"/>
        </w:rPr>
        <w:t>Avoiding discussion prevents informed choice and continuity.</w:t>
      </w:r>
    </w:p>
    <w:p>
      <w:pPr>
        <w:spacing w:after="40"/>
      </w:pPr>
      <w:r>
        <w:rPr>
          <w:rFonts w:ascii="Arial" w:hAnsi="Arial" w:eastAsia="Arial"/>
          <w:b/>
          <w:color w:val="17365D"/>
          <w:sz w:val="18"/>
        </w:rPr>
        <w:t xml:space="preserve">Why D is not best: </w:t>
      </w:r>
      <w:r>
        <w:rPr>
          <w:rFonts w:ascii="Arial" w:hAnsi="Arial" w:eastAsia="Arial"/>
          <w:sz w:val="18"/>
        </w:rPr>
        <w:t>Client request does not remove professional competence requirements.</w:t>
      </w:r>
    </w:p>
    <w:tbl>
      <w:tblPr>
        <w:tblW w:type="auto" w:w="0"/>
        <w:jc w:val="center"/>
        <w:tblLayout w:type="fixed"/>
        <w:tblLook w:firstColumn="1" w:firstRow="1" w:lastColumn="0" w:lastRow="0" w:noHBand="0" w:noVBand="1" w:val="04A0"/>
      </w:tblPr>
      <w:tblGrid>
        <w:gridCol w:w="10080"/>
      </w:tblGrid>
      <w:tr>
        <w:tc>
          <w:tcPr>
            <w:tcW w:type="dxa" w:w="10282"/>
            <w:shd w:fill="EAF1F8"/>
            <w:tcMar>
              <w:top w:w="85" w:type="dxa"/>
              <w:start w:w="105" w:type="dxa"/>
              <w:bottom w:w="85" w:type="dxa"/>
              <w:end w:w="105" w:type="dxa"/>
            </w:tcMar>
            <w:tcBorders>
              <w:top w:val="single" w:sz="8" w:color="17365D"/>
              <w:left w:val="single" w:sz="8" w:color="17365D"/>
              <w:bottom w:val="single" w:sz="8" w:color="17365D"/>
              <w:right w:val="single" w:sz="8" w:color="17365D"/>
            </w:tcBorders>
          </w:tcPr>
          <w:p>
            <w:pPr>
              <w:spacing w:after="40"/>
            </w:pPr>
            <w:r>
              <w:rPr>
                <w:rFonts w:ascii="Arial" w:hAnsi="Arial" w:eastAsia="Arial"/>
                <w:b/>
                <w:color w:val="17365D"/>
                <w:sz w:val="18"/>
              </w:rPr>
              <w:t>CTA Exam Strategy</w:t>
            </w:r>
          </w:p>
          <w:p>
            <w:pPr>
              <w:spacing w:after="0" w:line="245" w:lineRule="auto"/>
            </w:pPr>
            <w:r>
              <w:rPr>
                <w:rFonts w:ascii="Arial" w:hAnsi="Arial" w:eastAsia="Arial"/>
                <w:color w:val="1F2937"/>
                <w:sz w:val="18"/>
              </w:rPr>
              <w:t>When the requested method exceeds competence, the best answer combines transparency with an active continuity plan.</w:t>
            </w:r>
          </w:p>
        </w:tc>
      </w:tr>
    </w:tbl>
    <w:p>
      <w:pPr>
        <w:spacing w:after="0"/>
      </w:pPr>
    </w:p>
    <w:p>
      <w:pPr>
        <w:spacing w:after="80"/>
      </w:pPr>
      <w:r>
        <w:rPr>
          <w:rFonts w:ascii="Arial" w:hAnsi="Arial" w:eastAsia="Arial"/>
          <w:b/>
          <w:color w:val="159C9C"/>
          <w:sz w:val="18"/>
        </w:rPr>
        <w:t xml:space="preserve">Clinical Pearl: </w:t>
      </w:r>
      <w:r>
        <w:rPr>
          <w:rFonts w:ascii="Arial" w:hAnsi="Arial" w:eastAsia="Arial"/>
          <w:i/>
          <w:sz w:val="18"/>
        </w:rPr>
        <w:t>Referral is a treatment decision, not abandonment when managed responsibly.</w:t>
      </w:r>
    </w:p>
    <w:p>
      <w:r>
        <w:rPr>
          <w:rFonts w:ascii="Arial" w:hAnsi="Arial" w:eastAsia="Arial"/>
        </w:rPr>
        <w:br w:type="page"/>
      </w:r>
    </w:p>
    <w:p>
      <w:pPr>
        <w:pStyle w:val="Heading1"/>
        <w:keepNext/>
      </w:pPr>
      <w:r>
        <w:rPr>
          <w:rFonts w:ascii="Arial" w:hAnsi="Arial" w:eastAsia="Arial"/>
        </w:rPr>
        <w:t>Study Planning and Remediation</w:t>
      </w:r>
    </w:p>
    <w:p>
      <w:pPr>
        <w:pStyle w:val="Heading2"/>
        <w:keepNext/>
      </w:pPr>
      <w:r>
        <w:rPr>
          <w:rFonts w:ascii="Arial" w:hAnsi="Arial" w:eastAsia="Arial"/>
        </w:rPr>
        <w:t>My Workbook 9 Results</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3240"/>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Measure</w:t>
            </w:r>
          </w:p>
        </w:tc>
        <w:tc>
          <w:tcPr>
            <w:tcW w:type="dxa" w:w="1944"/>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Result</w:t>
            </w:r>
          </w:p>
        </w:tc>
        <w:tc>
          <w:tcPr>
            <w:tcW w:type="dxa" w:w="4896"/>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Next Action</w:t>
            </w:r>
          </w:p>
        </w:tc>
      </w:tr>
      <w:tr>
        <w:trPr>
          <w:cantSplit/>
        </w:trPr>
        <w:tc>
          <w:tcPr>
            <w:tcW w:type="dxa" w:w="324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Knowledge Check score</w:t>
            </w:r>
          </w:p>
        </w:tc>
        <w:tc>
          <w:tcPr>
            <w:tcW w:type="dxa" w:w="194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____ / 10</w:t>
            </w:r>
          </w:p>
        </w:tc>
        <w:tc>
          <w:tcPr>
            <w:tcW w:type="dxa" w:w="489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r>
      <w:tr>
        <w:trPr>
          <w:cantSplit/>
        </w:trPr>
        <w:tc>
          <w:tcPr>
            <w:tcW w:type="dxa" w:w="324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Intervention-fit items missed</w:t>
            </w:r>
          </w:p>
        </w:tc>
        <w:tc>
          <w:tcPr>
            <w:tcW w:type="dxa" w:w="1944"/>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c>
          <w:tcPr>
            <w:tcW w:type="dxa" w:w="489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r>
      <w:tr>
        <w:trPr>
          <w:cantSplit/>
        </w:trPr>
        <w:tc>
          <w:tcPr>
            <w:tcW w:type="dxa" w:w="324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Sequence / readiness items missed</w:t>
            </w:r>
          </w:p>
        </w:tc>
        <w:tc>
          <w:tcPr>
            <w:tcW w:type="dxa" w:w="194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c>
          <w:tcPr>
            <w:tcW w:type="dxa" w:w="489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r>
      <w:tr>
        <w:trPr>
          <w:cantSplit/>
        </w:trPr>
        <w:tc>
          <w:tcPr>
            <w:tcW w:type="dxa" w:w="3240"/>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Scope / referral items missed</w:t>
            </w:r>
          </w:p>
        </w:tc>
        <w:tc>
          <w:tcPr>
            <w:tcW w:type="dxa" w:w="1944"/>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c>
          <w:tcPr>
            <w:tcW w:type="dxa" w:w="4896"/>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r>
      <w:tr>
        <w:trPr>
          <w:cantSplit/>
        </w:trPr>
        <w:tc>
          <w:tcPr>
            <w:tcW w:type="dxa" w:w="3240"/>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t>Confidence errors</w:t>
            </w:r>
          </w:p>
        </w:tc>
        <w:tc>
          <w:tcPr>
            <w:tcW w:type="dxa" w:w="194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c>
          <w:tcPr>
            <w:tcW w:type="dxa" w:w="4896"/>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7"/>
              </w:rPr>
            </w:r>
          </w:p>
        </w:tc>
      </w:tr>
    </w:tbl>
    <w:p>
      <w:pPr>
        <w:spacing w:after="0"/>
      </w:pPr>
    </w:p>
    <w:p>
      <w:pPr>
        <w:pStyle w:val="Heading2"/>
        <w:keepNext/>
      </w:pPr>
      <w:r>
        <w:rPr>
          <w:rFonts w:ascii="Arial" w:hAnsi="Arial" w:eastAsia="Arial"/>
        </w:rPr>
        <w:t>My Corrected Intervention Rules</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592"/>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Error Pattern</w:t>
            </w:r>
          </w:p>
        </w:tc>
        <w:tc>
          <w:tcPr>
            <w:tcW w:type="dxa" w:w="3744"/>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Corrected Rule</w:t>
            </w:r>
          </w:p>
        </w:tc>
        <w:tc>
          <w:tcPr>
            <w:tcW w:type="dxa" w:w="3744"/>
            <w:shd w:fill="17365D"/>
            <w:tcMar>
              <w:top w:w="45" w:type="dxa"/>
              <w:start w:w="65" w:type="dxa"/>
              <w:bottom w:w="45" w:type="dxa"/>
              <w:end w:w="65" w:type="dxa"/>
            </w:tcMar>
            <w:tcBorders>
              <w:top w:val="single" w:sz="4" w:color="FFFFFF"/>
              <w:left w:val="single" w:sz="4" w:color="FFFFFF"/>
              <w:bottom w:val="single" w:sz="4" w:color="FFFFFF"/>
              <w:right w:val="single" w:sz="4" w:color="FFFFFF"/>
            </w:tcBorders>
          </w:tcPr>
          <w:p>
            <w:pPr>
              <w:jc w:val="left"/>
            </w:pPr>
            <w:r>
              <w:rPr>
                <w:rFonts w:ascii="Arial" w:hAnsi="Arial" w:eastAsia="Arial"/>
                <w:b/>
                <w:color w:val="FFFFFF"/>
                <w:sz w:val="17"/>
              </w:rPr>
              <w:t>How I Will Recognize It Next Time</w:t>
            </w:r>
          </w:p>
        </w:tc>
      </w:tr>
      <w:tr>
        <w:trPr>
          <w:cantSplit/>
        </w:trPr>
        <w:tc>
          <w:tcPr>
            <w:tcW w:type="dxa" w:w="259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374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374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r>
      <w:tr>
        <w:trPr>
          <w:cantSplit/>
        </w:trPr>
        <w:tc>
          <w:tcPr>
            <w:tcW w:type="dxa" w:w="2592"/>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3744"/>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3744"/>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r>
      <w:tr>
        <w:trPr>
          <w:cantSplit/>
        </w:trPr>
        <w:tc>
          <w:tcPr>
            <w:tcW w:type="dxa" w:w="259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374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374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r>
      <w:tr>
        <w:trPr>
          <w:cantSplit/>
        </w:trPr>
        <w:tc>
          <w:tcPr>
            <w:tcW w:type="dxa" w:w="2592"/>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3744"/>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3744"/>
            <w:shd w:fill="F3F4F6"/>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r>
      <w:tr>
        <w:trPr>
          <w:cantSplit/>
        </w:trPr>
        <w:tc>
          <w:tcPr>
            <w:tcW w:type="dxa" w:w="2592"/>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374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c>
          <w:tcPr>
            <w:tcW w:type="dxa" w:w="3744"/>
            <w:shd w:fill="FFFFFF"/>
            <w:tcMar>
              <w:top w:w="42" w:type="dxa"/>
              <w:start w:w="60" w:type="dxa"/>
              <w:bottom w:w="42" w:type="dxa"/>
              <w:end w:w="60" w:type="dxa"/>
            </w:tcMar>
            <w:tcBorders>
              <w:top w:val="single" w:sz="3" w:color="D1D5DB"/>
              <w:left w:val="single" w:sz="3" w:color="D1D5DB"/>
              <w:bottom w:val="single" w:sz="3" w:color="D1D5DB"/>
              <w:right w:val="single" w:sz="3" w:color="D1D5DB"/>
            </w:tcBorders>
          </w:tcPr>
          <w:p>
            <w:pPr>
              <w:spacing w:after="0" w:line="240" w:lineRule="auto"/>
            </w:pPr>
            <w:r>
              <w:rPr>
                <w:rFonts w:ascii="Arial" w:hAnsi="Arial" w:eastAsia="Arial"/>
                <w:color w:val="1F2937"/>
                <w:sz w:val="16"/>
              </w:rPr>
            </w:r>
          </w:p>
        </w:tc>
      </w:tr>
    </w:tbl>
    <w:p>
      <w:pPr>
        <w:spacing w:after="0"/>
      </w:pPr>
    </w:p>
    <w:p>
      <w:pPr>
        <w:pStyle w:val="Heading2"/>
        <w:keepNext/>
      </w:pPr>
      <w:r>
        <w:rPr>
          <w:rFonts w:ascii="Arial" w:hAnsi="Arial" w:eastAsia="Arial"/>
        </w:rPr>
        <w:t>Workbook 9 Completion Check</w:t>
      </w:r>
    </w:p>
    <w:p>
      <w:pPr>
        <w:pStyle w:val="ListBullet"/>
        <w:spacing w:after="30" w:line="245" w:lineRule="auto"/>
        <w:ind w:left="288" w:hanging="173"/>
      </w:pPr>
      <w:r>
        <w:rPr>
          <w:rFonts w:ascii="Arial" w:hAnsi="Arial" w:eastAsia="Arial"/>
          <w:sz w:val="19"/>
        </w:rPr>
        <w:t>I can distinguish evidence-based practice from merely naming a supported intervention.</w:t>
      </w:r>
    </w:p>
    <w:p>
      <w:pPr>
        <w:pStyle w:val="ListBullet"/>
        <w:spacing w:after="30" w:line="245" w:lineRule="auto"/>
        <w:ind w:left="288" w:hanging="173"/>
      </w:pPr>
      <w:r>
        <w:rPr>
          <w:rFonts w:ascii="Arial" w:hAnsi="Arial" w:eastAsia="Arial"/>
          <w:sz w:val="19"/>
        </w:rPr>
        <w:t>I can identify the target and maintaining mechanism before choosing a method.</w:t>
      </w:r>
    </w:p>
    <w:p>
      <w:pPr>
        <w:pStyle w:val="ListBullet"/>
        <w:spacing w:after="30" w:line="245" w:lineRule="auto"/>
        <w:ind w:left="288" w:hanging="173"/>
      </w:pPr>
      <w:r>
        <w:rPr>
          <w:rFonts w:ascii="Arial" w:hAnsi="Arial" w:eastAsia="Arial"/>
          <w:sz w:val="19"/>
        </w:rPr>
        <w:t>I can match behavioral activation, exposure/ERP, CBT, ACT, DBT skills, mindfulness, trauma-focused methods, MI, contingency management, relapse prevention, and psychoeducation to appropriate clinical tasks.</w:t>
      </w:r>
    </w:p>
    <w:p>
      <w:pPr>
        <w:pStyle w:val="ListBullet"/>
        <w:spacing w:after="30" w:line="245" w:lineRule="auto"/>
        <w:ind w:left="288" w:hanging="173"/>
      </w:pPr>
      <w:r>
        <w:rPr>
          <w:rFonts w:ascii="Arial" w:hAnsi="Arial" w:eastAsia="Arial"/>
          <w:sz w:val="19"/>
        </w:rPr>
        <w:t>I can explain why safety, readiness, access, culture, preference, and competence may change the correct sequence.</w:t>
      </w:r>
    </w:p>
    <w:p>
      <w:pPr>
        <w:pStyle w:val="ListBullet"/>
        <w:spacing w:after="30" w:line="245" w:lineRule="auto"/>
        <w:ind w:left="288" w:hanging="173"/>
      </w:pPr>
      <w:r>
        <w:rPr>
          <w:rFonts w:ascii="Arial" w:hAnsi="Arial" w:eastAsia="Arial"/>
          <w:sz w:val="19"/>
        </w:rPr>
        <w:t>I can recognize when adaptation preserves the active ingredient and when it removes it.</w:t>
      </w:r>
    </w:p>
    <w:p>
      <w:pPr>
        <w:pStyle w:val="ListBullet"/>
        <w:spacing w:after="30" w:line="245" w:lineRule="auto"/>
        <w:ind w:left="288" w:hanging="173"/>
      </w:pPr>
      <w:r>
        <w:rPr>
          <w:rFonts w:ascii="Arial" w:hAnsi="Arial" w:eastAsia="Arial"/>
          <w:sz w:val="19"/>
        </w:rPr>
        <w:t>I can use PIVOT to review nonresponse before switching, intensifying, or referring.</w:t>
      </w:r>
    </w:p>
    <w:p>
      <w:pPr>
        <w:pStyle w:val="ListBullet"/>
        <w:spacing w:after="30" w:line="245" w:lineRule="auto"/>
        <w:ind w:left="288" w:hanging="173"/>
      </w:pPr>
      <w:r>
        <w:rPr>
          <w:rFonts w:ascii="Arial" w:hAnsi="Arial" w:eastAsia="Arial"/>
          <w:sz w:val="19"/>
        </w:rPr>
        <w:t>I can identify circumstances requiring medical care, specialty consultation, referral, or a higher level of care.</w:t>
      </w:r>
    </w:p>
    <w:p>
      <w:pPr>
        <w:pStyle w:val="ListBullet"/>
        <w:spacing w:after="30" w:line="245" w:lineRule="auto"/>
        <w:ind w:left="288" w:hanging="173"/>
      </w:pPr>
      <w:r>
        <w:rPr>
          <w:rFonts w:ascii="Arial" w:hAnsi="Arial" w:eastAsia="Arial"/>
          <w:sz w:val="19"/>
        </w:rPr>
        <w:t>I completed the knowledge check before reading the rationales and recorded corrected rules.</w:t>
      </w:r>
    </w:p>
    <w:p>
      <w:pPr>
        <w:pStyle w:val="Heading2"/>
        <w:keepNext/>
      </w:pPr>
      <w:r>
        <w:rPr>
          <w:rFonts w:ascii="Arial" w:hAnsi="Arial" w:eastAsia="Arial"/>
        </w:rPr>
        <w:t>Next Controlled Action</w:t>
      </w:r>
    </w:p>
    <w:tbl>
      <w:tblPr>
        <w:tblW w:type="auto" w:w="0"/>
        <w:jc w:val="center"/>
        <w:tblLayout w:type="fixed"/>
        <w:tblLook w:firstColumn="1" w:firstRow="1" w:lastColumn="0" w:lastRow="0" w:noHBand="0" w:noVBand="1" w:val="04A0"/>
      </w:tblPr>
      <w:tblGrid>
        <w:gridCol w:w="10080"/>
      </w:tblGrid>
      <w:tr>
        <w:tc>
          <w:tcPr>
            <w:tcW w:type="dxa" w:w="10282"/>
            <w:shd w:fill="EAF1F8"/>
            <w:tcMar>
              <w:top w:w="85" w:type="dxa"/>
              <w:start w:w="105" w:type="dxa"/>
              <w:bottom w:w="85" w:type="dxa"/>
              <w:end w:w="105" w:type="dxa"/>
            </w:tcMar>
            <w:tcBorders>
              <w:top w:val="single" w:sz="8" w:color="17365D"/>
              <w:left w:val="single" w:sz="8" w:color="17365D"/>
              <w:bottom w:val="single" w:sz="8" w:color="17365D"/>
              <w:right w:val="single" w:sz="8" w:color="17365D"/>
            </w:tcBorders>
          </w:tcPr>
          <w:p>
            <w:pPr>
              <w:spacing w:after="40"/>
            </w:pPr>
            <w:r>
              <w:rPr>
                <w:rFonts w:ascii="Arial" w:hAnsi="Arial" w:eastAsia="Arial"/>
                <w:b/>
                <w:color w:val="17365D"/>
                <w:sz w:val="18"/>
              </w:rPr>
              <w:t>DO NOT SKIP THE PRACTICE BANK</w:t>
            </w:r>
          </w:p>
          <w:p>
            <w:pPr>
              <w:spacing w:after="0" w:line="245" w:lineRule="auto"/>
            </w:pPr>
            <w:r>
              <w:rPr>
                <w:rFonts w:ascii="Arial" w:hAnsi="Arial" w:eastAsia="Arial"/>
                <w:color w:val="1F2937"/>
                <w:sz w:val="18"/>
              </w:rPr>
              <w:t>Complete the separate Workbook 9 17-question candidate form under timed conditions. Review the answer-and-rationale form only after finishing all questions. Enter each miss into the program error log before beginning Workbook 10.</w:t>
            </w:r>
          </w:p>
        </w:tc>
      </w:tr>
    </w:tbl>
    <w:p>
      <w:pPr>
        <w:spacing w:after="0"/>
      </w:pPr>
    </w:p>
    <w:p>
      <w:r>
        <w:rPr>
          <w:rFonts w:ascii="Arial" w:hAnsi="Arial" w:eastAsia="Arial"/>
        </w:rPr>
        <w:br w:type="page"/>
      </w:r>
    </w:p>
    <w:p>
      <w:pPr>
        <w:pStyle w:val="Heading1"/>
        <w:keepNext/>
      </w:pPr>
      <w:r>
        <w:rPr>
          <w:rFonts w:ascii="Arial" w:hAnsi="Arial" w:eastAsia="Arial"/>
        </w:rPr>
        <w:t>Official and Research Sources</w:t>
      </w:r>
    </w:p>
    <w:p>
      <w:pPr>
        <w:spacing w:before="0" w:after="80" w:line="252" w:lineRule="auto"/>
      </w:pPr>
      <w:r>
        <w:rPr>
          <w:rFonts w:ascii="Arial" w:hAnsi="Arial" w:eastAsia="Arial"/>
          <w:b w:val="0"/>
          <w:i/>
          <w:color w:val="17365D"/>
          <w:sz w:val="18"/>
        </w:rPr>
        <w:t>Verified for this version in July 2026. Examination specifications, clinical guidelines, laws, and resource pages can change. CTA should reverify all official sources before publication and whenever the NCMHCE or California requirements are updated.</w:t>
      </w:r>
    </w:p>
    <w:p>
      <w:pPr>
        <w:spacing w:after="60"/>
        <w:ind w:left="259" w:hanging="259"/>
      </w:pPr>
      <w:r>
        <w:rPr>
          <w:rFonts w:ascii="Arial" w:hAnsi="Arial" w:eastAsia="Arial"/>
          <w:b/>
          <w:color w:val="17365D"/>
          <w:sz w:val="17"/>
        </w:rPr>
        <w:t xml:space="preserve">National Board for Certified Counselors (NBCC). </w:t>
      </w:r>
      <w:r>
        <w:rPr>
          <w:rFonts w:ascii="Arial" w:hAnsi="Arial" w:eastAsia="Arial"/>
          <w:color w:val="1F2937"/>
          <w:sz w:val="17"/>
        </w:rPr>
        <w:t>NCMHCE overview, current content outline, candidate handbook, and July 1, 2027 examination specifications. https://www.nbcc.org/exams/ncmhce</w:t>
      </w:r>
    </w:p>
    <w:p>
      <w:pPr>
        <w:spacing w:after="60"/>
        <w:ind w:left="259" w:hanging="259"/>
      </w:pPr>
      <w:r>
        <w:rPr>
          <w:rFonts w:ascii="Arial" w:hAnsi="Arial" w:eastAsia="Arial"/>
          <w:b/>
          <w:color w:val="17365D"/>
          <w:sz w:val="17"/>
        </w:rPr>
        <w:t xml:space="preserve">American Psychological Association. </w:t>
      </w:r>
      <w:r>
        <w:rPr>
          <w:rFonts w:ascii="Arial" w:hAnsi="Arial" w:eastAsia="Arial"/>
          <w:color w:val="1F2937"/>
          <w:sz w:val="17"/>
        </w:rPr>
        <w:t>Policy statement and guidelines on evidence-based practice in psychology. https://www.apa.org/practice/guidelines/evidence-based-statement.html</w:t>
      </w:r>
    </w:p>
    <w:p>
      <w:pPr>
        <w:spacing w:after="60"/>
        <w:ind w:left="259" w:hanging="259"/>
      </w:pPr>
      <w:r>
        <w:rPr>
          <w:rFonts w:ascii="Arial" w:hAnsi="Arial" w:eastAsia="Arial"/>
          <w:b/>
          <w:color w:val="17365D"/>
          <w:sz w:val="17"/>
        </w:rPr>
        <w:t xml:space="preserve">American Psychological Association. </w:t>
      </w:r>
      <w:r>
        <w:rPr>
          <w:rFonts w:ascii="Arial" w:hAnsi="Arial" w:eastAsia="Arial"/>
          <w:color w:val="1F2937"/>
          <w:sz w:val="17"/>
        </w:rPr>
        <w:t>Clinical Practice Guideline for the Treatment of Depression and treatment summaries. https://www.apa.org/depression-guideline</w:t>
      </w:r>
    </w:p>
    <w:p>
      <w:pPr>
        <w:spacing w:after="60"/>
        <w:ind w:left="259" w:hanging="259"/>
      </w:pPr>
      <w:r>
        <w:rPr>
          <w:rFonts w:ascii="Arial" w:hAnsi="Arial" w:eastAsia="Arial"/>
          <w:b/>
          <w:color w:val="17365D"/>
          <w:sz w:val="17"/>
        </w:rPr>
        <w:t xml:space="preserve">Substance Abuse and Mental Health Services Administration (SAMHSA). </w:t>
      </w:r>
      <w:r>
        <w:rPr>
          <w:rFonts w:ascii="Arial" w:hAnsi="Arial" w:eastAsia="Arial"/>
          <w:color w:val="1F2937"/>
          <w:sz w:val="17"/>
        </w:rPr>
        <w:t>Evidence-Based Practices Resource Center. https://www.samhsa.gov/libraries/evidence-based-practices-resource-center</w:t>
      </w:r>
    </w:p>
    <w:p>
      <w:pPr>
        <w:spacing w:after="60"/>
        <w:ind w:left="259" w:hanging="259"/>
      </w:pPr>
      <w:r>
        <w:rPr>
          <w:rFonts w:ascii="Arial" w:hAnsi="Arial" w:eastAsia="Arial"/>
          <w:b/>
          <w:color w:val="17365D"/>
          <w:sz w:val="17"/>
        </w:rPr>
        <w:t xml:space="preserve">Substance Abuse and Mental Health Services Administration (SAMHSA). </w:t>
      </w:r>
      <w:r>
        <w:rPr>
          <w:rFonts w:ascii="Arial" w:hAnsi="Arial" w:eastAsia="Arial"/>
          <w:color w:val="1F2937"/>
          <w:sz w:val="17"/>
        </w:rPr>
        <w:t>TIP 35: Enhancing Motivation for Change in Substance Use Disorder Treatment. https://www.samhsa.gov/resource/ebp/tip-35-enhancing-motivation-change-substance-use-disorder-treatment</w:t>
      </w:r>
    </w:p>
    <w:p>
      <w:pPr>
        <w:spacing w:after="60"/>
        <w:ind w:left="259" w:hanging="259"/>
      </w:pPr>
      <w:r>
        <w:rPr>
          <w:rFonts w:ascii="Arial" w:hAnsi="Arial" w:eastAsia="Arial"/>
          <w:b/>
          <w:color w:val="17365D"/>
          <w:sz w:val="17"/>
        </w:rPr>
        <w:t xml:space="preserve">Substance Abuse and Mental Health Services Administration (SAMHSA). </w:t>
      </w:r>
      <w:r>
        <w:rPr>
          <w:rFonts w:ascii="Arial" w:hAnsi="Arial" w:eastAsia="Arial"/>
          <w:color w:val="1F2937"/>
          <w:sz w:val="17"/>
        </w:rPr>
        <w:t>Using SAMHSA Funds to Implement Evidence-Based Contingency Management Services (2025 advisory). https://www.samhsa.gov/resource/ebp/using-samhsa-funds-implement-evidence-based-contingency-management-services</w:t>
      </w:r>
    </w:p>
    <w:p>
      <w:pPr>
        <w:spacing w:after="60"/>
        <w:ind w:left="259" w:hanging="259"/>
      </w:pPr>
      <w:r>
        <w:rPr>
          <w:rFonts w:ascii="Arial" w:hAnsi="Arial" w:eastAsia="Arial"/>
          <w:b/>
          <w:color w:val="17365D"/>
          <w:sz w:val="17"/>
        </w:rPr>
        <w:t xml:space="preserve">Substance Abuse and Mental Health Services Administration (SAMHSA). </w:t>
      </w:r>
      <w:r>
        <w:rPr>
          <w:rFonts w:ascii="Arial" w:hAnsi="Arial" w:eastAsia="Arial"/>
          <w:color w:val="1F2937"/>
          <w:sz w:val="17"/>
        </w:rPr>
        <w:t>TIP 42 and related advisory on co-occurring mental and substance use disorders. https://www.samhsa.gov/resource/ebp/tip-42-substance-use-disorder-treatment-people-co-occurring-disorders</w:t>
      </w:r>
    </w:p>
    <w:p>
      <w:pPr>
        <w:spacing w:after="60"/>
        <w:ind w:left="259" w:hanging="259"/>
      </w:pPr>
      <w:r>
        <w:rPr>
          <w:rFonts w:ascii="Arial" w:hAnsi="Arial" w:eastAsia="Arial"/>
          <w:b/>
          <w:color w:val="17365D"/>
          <w:sz w:val="17"/>
        </w:rPr>
        <w:t xml:space="preserve">U.S. Department of Veterans Affairs and Department of Defense. </w:t>
      </w:r>
      <w:r>
        <w:rPr>
          <w:rFonts w:ascii="Arial" w:hAnsi="Arial" w:eastAsia="Arial"/>
          <w:color w:val="1F2937"/>
          <w:sz w:val="17"/>
        </w:rPr>
        <w:t>VA/DoD Clinical Practice Guideline for Management of PTSD and Acute Stress Disorder (2023; site updated 2025). https://www.healthquality.va.gov/guidelines/MH/ptsd/</w:t>
      </w:r>
    </w:p>
    <w:p>
      <w:pPr>
        <w:spacing w:after="60"/>
        <w:ind w:left="259" w:hanging="259"/>
      </w:pPr>
      <w:r>
        <w:rPr>
          <w:rFonts w:ascii="Arial" w:hAnsi="Arial" w:eastAsia="Arial"/>
          <w:b/>
          <w:color w:val="17365D"/>
          <w:sz w:val="17"/>
        </w:rPr>
        <w:t xml:space="preserve">National Institute for Health and Care Excellence (NICE). </w:t>
      </w:r>
      <w:r>
        <w:rPr>
          <w:rFonts w:ascii="Arial" w:hAnsi="Arial" w:eastAsia="Arial"/>
          <w:color w:val="1F2937"/>
          <w:sz w:val="17"/>
        </w:rPr>
        <w:t>Obsessive-compulsive disorder and body dysmorphic disorder: treatment, including CBT with ERP recommendations; guideline update in progress for 2027. https://www.nice.org.uk/guidance/cg31</w:t>
      </w:r>
    </w:p>
    <w:p>
      <w:pPr>
        <w:spacing w:after="60"/>
        <w:ind w:left="259" w:hanging="259"/>
      </w:pPr>
      <w:r>
        <w:rPr>
          <w:rFonts w:ascii="Arial" w:hAnsi="Arial" w:eastAsia="Arial"/>
          <w:b/>
          <w:color w:val="17365D"/>
          <w:sz w:val="17"/>
        </w:rPr>
        <w:t xml:space="preserve">American Academy of Sleep Medicine. </w:t>
      </w:r>
      <w:r>
        <w:rPr>
          <w:rFonts w:ascii="Arial" w:hAnsi="Arial" w:eastAsia="Arial"/>
          <w:color w:val="1F2937"/>
          <w:sz w:val="17"/>
        </w:rPr>
        <w:t>Behavioral and psychological treatments for chronic insomnia disorder in adults: clinical practice guideline. Journal of Clinical Sleep Medicine, 2021, 17(2), 255-262. https://doi.org/10.5664/jcsm.8986</w:t>
      </w:r>
    </w:p>
    <w:p>
      <w:pPr>
        <w:spacing w:after="60"/>
        <w:ind w:left="259" w:hanging="259"/>
      </w:pPr>
      <w:r>
        <w:rPr>
          <w:rFonts w:ascii="Arial" w:hAnsi="Arial" w:eastAsia="Arial"/>
          <w:b/>
          <w:color w:val="17365D"/>
          <w:sz w:val="17"/>
        </w:rPr>
        <w:t xml:space="preserve">California Legislature. </w:t>
      </w:r>
      <w:r>
        <w:rPr>
          <w:rFonts w:ascii="Arial" w:hAnsi="Arial" w:eastAsia="Arial"/>
          <w:color w:val="1F2937"/>
          <w:sz w:val="17"/>
        </w:rPr>
        <w:t>Business and Professions Code section 4999.20, professional clinical counseling scope and assessment limits. https://leginfo.legislature.ca.gov/faces/codes_displaySection.xhtml?lawCode=BPC&amp;sectionNum=4999.20.</w:t>
      </w:r>
    </w:p>
    <w:tbl>
      <w:tblPr>
        <w:tblW w:type="auto" w:w="0"/>
        <w:jc w:val="center"/>
        <w:tblLayout w:type="fixed"/>
        <w:tblLook w:firstColumn="1" w:firstRow="1" w:lastColumn="0" w:lastRow="0" w:noHBand="0" w:noVBand="1" w:val="04A0"/>
      </w:tblPr>
      <w:tblGrid>
        <w:gridCol w:w="10080"/>
      </w:tblGrid>
      <w:tr>
        <w:tc>
          <w:tcPr>
            <w:tcW w:type="dxa" w:w="10282"/>
            <w:shd w:fill="FFF7D6"/>
            <w:tcMar>
              <w:top w:w="85" w:type="dxa"/>
              <w:start w:w="105" w:type="dxa"/>
              <w:bottom w:w="85" w:type="dxa"/>
              <w:end w:w="105" w:type="dxa"/>
            </w:tcMar>
            <w:tcBorders>
              <w:top w:val="single" w:sz="8" w:color="D6B656"/>
              <w:left w:val="single" w:sz="8" w:color="D6B656"/>
              <w:bottom w:val="single" w:sz="8" w:color="D6B656"/>
              <w:right w:val="single" w:sz="8" w:color="D6B656"/>
            </w:tcBorders>
          </w:tcPr>
          <w:p>
            <w:pPr>
              <w:spacing w:after="40"/>
            </w:pPr>
            <w:r>
              <w:rPr>
                <w:rFonts w:ascii="Arial" w:hAnsi="Arial" w:eastAsia="Arial"/>
                <w:b/>
                <w:color w:val="17365D"/>
                <w:sz w:val="18"/>
              </w:rPr>
              <w:t>VERSION CONTROL</w:t>
            </w:r>
          </w:p>
          <w:p>
            <w:pPr>
              <w:spacing w:after="0" w:line="245" w:lineRule="auto"/>
            </w:pPr>
            <w:r>
              <w:rPr>
                <w:rFonts w:ascii="Arial" w:hAnsi="Arial" w:eastAsia="Arial"/>
                <w:color w:val="1F2937"/>
                <w:sz w:val="18"/>
              </w:rPr>
              <w:t>Workbook 9 content is controlled by the CTA LPCC Master Blueprint Crosswalk and Content-Control Matrix. Update intervention claims only after source review, scope review, item-bank impact review, and corresponding revision to the quick reference, audio, and practice-bank materials.</w:t>
            </w:r>
          </w:p>
        </w:tc>
      </w:tr>
    </w:tbl>
    <w:p>
      <w:pPr>
        <w:spacing w:after="0"/>
      </w:pPr>
    </w:p>
    <w:sectPr w:rsidR="00FC693F" w:rsidRPr="0006063C" w:rsidSect="00034616">
      <w:headerReference w:type="default" r:id="rId9"/>
      <w:footerReference w:type="default" r:id="rId10"/>
      <w:pgSz w:w="12240" w:h="15840"/>
      <w:pgMar w:top="936" w:right="979" w:bottom="893" w:left="979"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6B7280"/>
        <w:sz w:val="15"/>
      </w:rPr>
      <w:t xml:space="preserve">Clinical Training Academy - LPCC Student Workbook v1.0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jc w:val="right"/>
          </w:pPr>
          <w:r>
            <w:rPr>
              <w:rFonts w:ascii="Arial" w:hAnsi="Arial" w:eastAsia="Arial"/>
              <w:color w:val="17365D"/>
              <w:sz w:val="14"/>
            </w:rPr>
            <w:t>CTA LPCC Workbook 9 - Evidence-Based and Evidence-Informed Interventions</w:t>
          </w:r>
        </w:p>
      </w:tc>
    </w:tr>
  </w:tbl>
  <w:p>
    <w:pPr>
      <w:spacing w:after="0"/>
      <w:pBdr>
        <w:bottom w:val="single" w:sz="5" w:space="1" w:color="159C9C"/>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yperlink" Target="https://www.bbs.ca.gov/exams/lpcc.html" TargetMode="External"/><Relationship Id="rId13" Type="http://schemas.openxmlformats.org/officeDocument/2006/relationships/hyperlink" Target="https://www.nbcc.org/assets/exam/ncmhce_content_outline.pdf" TargetMode="External"/><Relationship Id="rId14" Type="http://schemas.openxmlformats.org/officeDocument/2006/relationships/hyperlink" Target="https://www.nbcc.org/assets/exam/NCMHCE_exam_spec_2027.pdf" TargetMode="External"/><Relationship Id="rId15" Type="http://schemas.openxmlformats.org/officeDocument/2006/relationships/hyperlink" Target="https://www.psychiatry.org/psychiatrists/practice/dsm/updates-to-dsm" TargetMode="External"/><Relationship Id="rId16" Type="http://schemas.openxmlformats.org/officeDocument/2006/relationships/hyperlink" Target="https://www.nimh.nih.gov/health/topics/depression" TargetMode="External"/><Relationship Id="rId17" Type="http://schemas.openxmlformats.org/officeDocument/2006/relationships/hyperlink" Target="https://www.nimh.nih.gov/health/topics/bipolar-disorder" TargetMode="External"/><Relationship Id="rId18" Type="http://schemas.openxmlformats.org/officeDocument/2006/relationships/hyperlink" Target="https://www.nimh.nih.gov/health/topics/anxiety-disorders" TargetMode="External"/><Relationship Id="rId19" Type="http://schemas.openxmlformats.org/officeDocument/2006/relationships/hyperlink" Target="https://www.nimh.nih.gov/health/topics/obsessive-compulsive-disorder-ocd" TargetMode="External"/><Relationship Id="rId20" Type="http://schemas.openxmlformats.org/officeDocument/2006/relationships/hyperlink" Target="https://www.nimh.nih.gov/health/topics/post-traumatic-stress-disorder-ptsd" TargetMode="External"/><Relationship Id="rId21" Type="http://schemas.openxmlformats.org/officeDocument/2006/relationships/hyperlink" Target="https://www.healthquality.va.gov/HEALTHQUALITY/guidelines/MH/ptsd/" TargetMode="External"/><Relationship Id="rId22" Type="http://schemas.openxmlformats.org/officeDocument/2006/relationships/hyperlink" Target="https://www.nimh.nih.gov/health/topics/schizophrenia" TargetMode="External"/><Relationship Id="rId23" Type="http://schemas.openxmlformats.org/officeDocument/2006/relationships/hyperlink" Target="https://www.healthquality.va.gov/HEALTHQUALITY/guidelines/MH/scz/index.asp" TargetMode="External"/><Relationship Id="rId24" Type="http://schemas.openxmlformats.org/officeDocument/2006/relationships/hyperlink" Target="https://www.samhsa.gov/substance-use/treatment/co-occurring-disorders" TargetMode="External"/><Relationship Id="rId25" Type="http://schemas.openxmlformats.org/officeDocument/2006/relationships/hyperlink" Target="https://www.psychiatry.org/psychiatrists/practice/dsm/about-dsm" TargetMode="External"/><Relationship Id="rId26" Type="http://schemas.openxmlformats.org/officeDocument/2006/relationships/hyperlink" Target="https://www.psychiatry.org/psychiatrists/practice/dsm/updates-to-dsm/updates-to-dsm-5-tr-criteria-text" TargetMode="External"/><Relationship Id="rId27" Type="http://schemas.openxmlformats.org/officeDocument/2006/relationships/hyperlink" Target="https://www.nbcc.org/exams/ncmhce/" TargetMode="External"/><Relationship Id="rId28" Type="http://schemas.openxmlformats.org/officeDocument/2006/relationships/hyperlink" Target="https://leginfo.legislature.ca.gov/faces/codes_displaySection.xhtml?lawCode=BPC&amp;sectionNum=4999.20." TargetMode="External"/><Relationship Id="rId29" Type="http://schemas.openxmlformats.org/officeDocument/2006/relationships/hyperlink" Target="https://www.samhsa.gov/mental-health/serious-mental-illness/co-occurring-disorders" TargetMode="External"/><Relationship Id="rId30" Type="http://schemas.openxmlformats.org/officeDocument/2006/relationships/hyperlink" Target="https://www.samhsa.gov/resource/ebp/advisory-substance-use-disorder-treatment-people-co-occurring-disorders-based-tip-42" TargetMode="External"/><Relationship Id="rId31" Type="http://schemas.openxmlformats.org/officeDocument/2006/relationships/hyperlink" Target="https://www.samhsa.gov/resource/ebp/nida-modified-assist-nm-assist-clinicians-screening-tool-drug-use-general-medical" TargetMode="External"/><Relationship Id="rId32" Type="http://schemas.openxmlformats.org/officeDocument/2006/relationships/hyperlink" Target="https://rethinkingdrinking.niaaa.nih.gov/how-much-too-much/what-are-symptoms-alcohol-use-disorder-aud" TargetMode="External"/><Relationship Id="rId33" Type="http://schemas.openxmlformats.org/officeDocument/2006/relationships/hyperlink" Target="https://www.nimh.nih.gov/health/publications/attention-deficit-hyperactivity-disorder-what-you-need-to-know" TargetMode="External"/><Relationship Id="rId34" Type="http://schemas.openxmlformats.org/officeDocument/2006/relationships/hyperlink" Target="https://www.nimh.nih.gov/health/publications/autism-spectrum-disorder" TargetMode="External"/><Relationship Id="rId35" Type="http://schemas.openxmlformats.org/officeDocument/2006/relationships/hyperlink" Target="https://www.nimh.nih.gov/health/publications/eating-disorders" TargetMode="External"/><Relationship Id="rId36" Type="http://schemas.openxmlformats.org/officeDocument/2006/relationships/hyperlink" Target="https://www.nhlbi.nih.gov/health/sleep-deprivation/diagnosis-treatment" TargetMode="External"/><Relationship Id="rId37" Type="http://schemas.openxmlformats.org/officeDocument/2006/relationships/hyperlink" Target="https://library.samhsa.gov/product/advisory-evidence-based-care-clients-co-occurring-substance-use-disorders-eating-disorders/pep25-02-010" TargetMode="External"/><Relationship Id="rId38" Type="http://schemas.openxmlformats.org/officeDocument/2006/relationships/hyperlink" Target="https://www.nbcc.org/examinations/ncmhce" TargetMode="External"/><Relationship Id="rId39" Type="http://schemas.openxmlformats.org/officeDocument/2006/relationships/hyperlink" Target="https://leginfo.legislature.ca.gov/faces/codes_displaySection.xhtml?lawCode=BPC&amp;sectionNum=4999.32." TargetMode="External"/><Relationship Id="rId40" Type="http://schemas.openxmlformats.org/officeDocument/2006/relationships/hyperlink" Target="https://leginfo.legislature.ca.gov/faces/codes_displaySection.xhtml?lawCode=BPC&amp;sectionNum=4999.33." TargetMode="External"/><Relationship Id="rId41" Type="http://schemas.openxmlformats.org/officeDocument/2006/relationships/hyperlink" Target="https://www.samhsa.gov/find-support/learn-about-treatment/what-to-expect-from-treatment" TargetMode="External"/><Relationship Id="rId42" Type="http://schemas.openxmlformats.org/officeDocument/2006/relationships/hyperlink" Target="https://www.samhsa.gov/grants/how-to-apply/forms-and-resources/developing-goals-measurable-objectives" TargetMode="External"/><Relationship Id="rId43" Type="http://schemas.openxmlformats.org/officeDocument/2006/relationships/hyperlink" Target="https://www.research.va.gov/research_in_action/Measurement-Based-Mental-Health-Care.cfm" TargetMode="External"/><Relationship Id="rId44" Type="http://schemas.openxmlformats.org/officeDocument/2006/relationships/hyperlink" Target="https://www.mentalhealth.va.gov/about/index.asp" TargetMode="External"/><Relationship Id="rId45" Type="http://schemas.openxmlformats.org/officeDocument/2006/relationships/hyperlink" Target="https://www.nbcc.org/exams/ncmhce" TargetMode="External"/><Relationship Id="rId46" Type="http://schemas.openxmlformats.org/officeDocument/2006/relationships/hyperlink" Target="https://www.cacrep.org/for-programs/2024-cacrep-standards/" TargetMode="External"/><Relationship Id="rId47" Type="http://schemas.openxmlformats.org/officeDocument/2006/relationships/hyperlink" Target="https://library.samhsa.gov/sites/default/files/d7/priv/pep19-02-01-003_0.pdf" TargetMode="External"/><Relationship Id="rId48" Type="http://schemas.openxmlformats.org/officeDocument/2006/relationships/hyperlink" Target="https://pubmed.ncbi.nlm.nih.gov/29792475/" TargetMode="External"/><Relationship Id="rId49" Type="http://schemas.openxmlformats.org/officeDocument/2006/relationships/hyperlink" Target="https://pubmed.ncbi.nlm.nih.gov/30335462/" TargetMode="External"/><Relationship Id="rId50" Type="http://schemas.openxmlformats.org/officeDocument/2006/relationships/hyperlink" Target="https://pubmed.ncbi.nlm.nih.gov/33829817/" TargetMode="External"/><Relationship Id="rId51" Type="http://schemas.openxmlformats.org/officeDocument/2006/relationships/hyperlink" Target="https://pubmed.ncbi.nlm.nih.gov/3990176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Workbook 9: Evidence-Based and Evidence-Informed Interventions Across Common Presenting Concerns</dc:title>
  <dc:subject>LPCC NCMHCE Exam Preparation Program</dc:subject>
  <dc:creator>Clinical Training Academy</dc:creator>
  <cp:keywords>LPCC, NCMHCE, evidence-based practice, interventions, CBT, exposure, trauma, substance use, treatment</cp:keywords>
  <dc:description>Student Workbook v1.0 - July 2026</dc:description>
  <cp:lastModifiedBy/>
  <cp:revision>1</cp:revision>
  <dcterms:created xsi:type="dcterms:W3CDTF">2013-12-23T23:15:00Z</dcterms:created>
  <dcterms:modified xsi:type="dcterms:W3CDTF">2013-12-23T23:15:00Z</dcterms:modified>
  <cp:category/>
</cp:coreProperties>
</file>