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2103120" cy="1520233"/>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2103120" cy="1520233"/>
                    </a:xfrm>
                    <a:prstGeom prst="rect"/>
                  </pic:spPr>
                </pic:pic>
              </a:graphicData>
            </a:graphic>
          </wp:inline>
        </w:drawing>
      </w:r>
    </w:p>
    <w:p>
      <w:pPr>
        <w:spacing w:before="40" w:after="100" w:line="254" w:lineRule="auto"/>
        <w:jc w:val="center"/>
      </w:pPr>
      <w:r>
        <w:rPr>
          <w:rFonts w:ascii="Arial" w:hAnsi="Arial" w:eastAsia="Arial"/>
          <w:b/>
          <w:i w:val="0"/>
          <w:color w:val="1F7A8C"/>
          <w:sz w:val="25"/>
        </w:rPr>
        <w:t>LPCC NCMHCE EXAM PREPARATION PROGRAM</w:t>
      </w:r>
    </w:p>
    <w:p>
      <w:pPr>
        <w:spacing w:before="0" w:after="160" w:line="254" w:lineRule="auto"/>
        <w:jc w:val="center"/>
      </w:pPr>
      <w:r>
        <w:rPr>
          <w:rFonts w:ascii="Arial" w:hAnsi="Arial" w:eastAsia="Arial"/>
          <w:b/>
          <w:i w:val="0"/>
          <w:color w:val="C6922F"/>
          <w:sz w:val="31"/>
        </w:rPr>
        <w:t>Candidate Form</w:t>
      </w:r>
    </w:p>
    <w:p>
      <w:pPr>
        <w:spacing w:before="0" w:after="60" w:line="240" w:lineRule="auto"/>
        <w:jc w:val="center"/>
        <w:pBdr>
          <w:bottom w:val="single" w:sz="12" w:space="1" w:color="159C9C"/>
        </w:pBdr>
      </w:pPr>
      <w:r>
        <w:rPr>
          <w:rFonts w:ascii="Arial" w:hAnsi="Arial" w:eastAsia="Arial"/>
          <w:b/>
          <w:i w:val="0"/>
          <w:color w:val="17365D"/>
          <w:sz w:val="48"/>
        </w:rPr>
        <w:t>Checkpoint 1</w:t>
      </w:r>
    </w:p>
    <w:p>
      <w:pPr>
        <w:spacing w:before="100" w:after="60" w:line="254" w:lineRule="auto"/>
        <w:jc w:val="center"/>
      </w:pPr>
      <w:r>
        <w:rPr>
          <w:rFonts w:ascii="Arial" w:hAnsi="Arial" w:eastAsia="Arial"/>
          <w:b/>
          <w:i w:val="0"/>
          <w:color w:val="17365D"/>
          <w:sz w:val="28"/>
        </w:rPr>
        <w:t>Cumulative Assessment for Workbooks 1-4</w:t>
      </w:r>
    </w:p>
    <w:p>
      <w:pPr>
        <w:spacing w:before="0" w:after="140" w:line="254" w:lineRule="auto"/>
        <w:jc w:val="center"/>
      </w:pPr>
      <w:r>
        <w:rPr>
          <w:rFonts w:ascii="Arial" w:hAnsi="Arial" w:eastAsia="Arial"/>
          <w:b/>
          <w:i w:val="0"/>
          <w:color w:val="1F7A8C"/>
          <w:sz w:val="22"/>
        </w:rPr>
        <w:t>3 original cases | 39 multiple-choice questions | Current NCMHCE-style three-section progression</w:t>
      </w:r>
    </w:p>
    <w:p>
      <w:pPr>
        <w:spacing w:before="0" w:after="240" w:line="254" w:lineRule="auto"/>
        <w:jc w:val="center"/>
      </w:pPr>
      <w:r>
        <w:rPr>
          <w:rFonts w:ascii="Arial" w:hAnsi="Arial" w:eastAsia="Arial"/>
          <w:b w:val="0"/>
          <w:i/>
          <w:color w:val="4E5B6B"/>
          <w:sz w:val="22"/>
        </w:rPr>
        <w:t>Complete this file before opening the separate Answer &amp; Rationales form.</w:t>
      </w:r>
    </w:p>
    <w:p>
      <w:pPr>
        <w:spacing w:before="0" w:after="200" w:line="254" w:lineRule="auto"/>
        <w:jc w:val="center"/>
      </w:pPr>
      <w:r>
        <w:rPr>
          <w:rFonts w:ascii="Arial" w:hAnsi="Arial" w:eastAsia="Arial"/>
          <w:b w:val="0"/>
          <w:i w:val="0"/>
          <w:color w:val="4E5B6B"/>
          <w:sz w:val="20"/>
        </w:rPr>
        <w:t>Version 1.0 - July 2026</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ORIGINAL CTA ASSESSMENT MATERIAL</w:t>
            </w:r>
          </w:p>
          <w:p>
            <w:pPr>
              <w:spacing w:after="20" w:line="250" w:lineRule="auto"/>
            </w:pPr>
            <w:r>
              <w:rPr>
                <w:rFonts w:ascii="Arial" w:hAnsi="Arial" w:eastAsia="Arial"/>
                <w:color w:val="1F2937"/>
                <w:sz w:val="19"/>
              </w:rPr>
              <w:t>Every question and case detail in this checkpoint is an original CTA educational item. No item is an actual, recalled, reconstructed, or purported licensing-examination question.</w:t>
            </w:r>
          </w:p>
        </w:tc>
      </w:tr>
    </w:tbl>
    <w:p>
      <w:pPr>
        <w:spacing w:after="0"/>
      </w:pPr>
    </w:p>
    <w:p>
      <w:pPr>
        <w:spacing w:before="60" w:after="0" w:line="254" w:lineRule="auto"/>
        <w:jc w:val="center"/>
      </w:pPr>
      <w:r>
        <w:rPr>
          <w:rFonts w:ascii="Arial" w:hAnsi="Arial" w:eastAsia="Arial"/>
          <w:b/>
          <w:i w:val="0"/>
          <w:color w:val="17365D"/>
          <w:sz w:val="22"/>
        </w:rPr>
        <w:t>Clinical Training Academy</w:t>
      </w:r>
    </w:p>
    <w:p>
      <w:r>
        <w:br w:type="page"/>
      </w:r>
    </w:p>
    <w:p>
      <w:pPr>
        <w:pStyle w:val="Heading1"/>
        <w:spacing w:before="100" w:after="80"/>
        <w:keepNext/>
      </w:pPr>
      <w:r>
        <w:rPr>
          <w:rFonts w:ascii="Arial" w:hAnsi="Arial" w:eastAsia="Arial"/>
          <w:b/>
          <w:color w:val="17365D"/>
          <w:sz w:val="23"/>
        </w:rPr>
        <w:t>Administration Instructions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7365D"/>
                <w:sz w:val="21"/>
              </w:rPr>
              <w:t>SUGGESTED TIMED ADMINISTRATION</w:t>
            </w:r>
          </w:p>
          <w:p>
            <w:pPr>
              <w:spacing w:after="20" w:line="250" w:lineRule="auto"/>
            </w:pPr>
            <w:r>
              <w:rPr>
                <w:rFonts w:ascii="Arial" w:hAnsi="Arial" w:eastAsia="Arial"/>
                <w:color w:val="1F2937"/>
                <w:sz w:val="20"/>
              </w:rPr>
              <w:t>62 minutes. This proportional practice time is a CTA training recommendation for 39 questions, not an official NBCC time limit or passing standard.</w:t>
            </w:r>
          </w:p>
        </w:tc>
      </w:tr>
    </w:tbl>
    <w:p>
      <w:pPr>
        <w:spacing w:after="0"/>
      </w:pPr>
    </w:p>
    <w:p>
      <w:pPr>
        <w:pStyle w:val="ListBullet"/>
        <w:spacing w:after="50" w:line="250" w:lineRule="auto"/>
        <w:keepLines/>
      </w:pPr>
      <w:r>
        <w:rPr>
          <w:rFonts w:ascii="Arial" w:hAnsi="Arial" w:eastAsia="Arial"/>
          <w:color w:val="1F2937"/>
          <w:sz w:val="20"/>
        </w:rPr>
        <w:t>Complete the three cases in order. Each case contains an intake section and two later sections.</w:t>
      </w:r>
    </w:p>
    <w:p>
      <w:pPr>
        <w:pStyle w:val="ListBullet"/>
        <w:spacing w:after="50" w:line="250" w:lineRule="auto"/>
        <w:keepLines/>
      </w:pPr>
      <w:r>
        <w:rPr>
          <w:rFonts w:ascii="Arial" w:hAnsi="Arial" w:eastAsia="Arial"/>
          <w:color w:val="1F2937"/>
          <w:sz w:val="20"/>
        </w:rPr>
        <w:t>Before advancing, review every answer in the current section. After moving forward, do not revise earlier sections.</w:t>
      </w:r>
    </w:p>
    <w:p>
      <w:pPr>
        <w:pStyle w:val="ListBullet"/>
        <w:spacing w:after="50" w:line="250" w:lineRule="auto"/>
        <w:keepLines/>
      </w:pPr>
      <w:r>
        <w:rPr>
          <w:rFonts w:ascii="Arial" w:hAnsi="Arial" w:eastAsia="Arial"/>
          <w:color w:val="1F2937"/>
          <w:sz w:val="20"/>
        </w:rPr>
        <w:t>Choose one best answer for every item. Guess when necessary; do not leave an item blank.</w:t>
      </w:r>
    </w:p>
    <w:p>
      <w:pPr>
        <w:pStyle w:val="ListBullet"/>
        <w:spacing w:after="50" w:line="250" w:lineRule="auto"/>
        <w:keepLines/>
      </w:pPr>
      <w:r>
        <w:rPr>
          <w:rFonts w:ascii="Arial" w:hAnsi="Arial" w:eastAsia="Arial"/>
          <w:color w:val="1F2937"/>
          <w:sz w:val="20"/>
        </w:rPr>
        <w:t>Use only facts released up to the current section. Do not import later information, unstated assumptions, or preferred diagnoses.</w:t>
      </w:r>
    </w:p>
    <w:p>
      <w:pPr>
        <w:pStyle w:val="ListBullet"/>
        <w:spacing w:after="50" w:line="250" w:lineRule="auto"/>
        <w:keepLines/>
      </w:pPr>
      <w:r>
        <w:rPr>
          <w:rFonts w:ascii="Arial" w:hAnsi="Arial" w:eastAsia="Arial"/>
          <w:color w:val="1F2937"/>
          <w:sz w:val="20"/>
        </w:rPr>
        <w:t>Record confidence from 1 (guess/low confidence) to 3 (high confidence). Low-confidence correct answers still require review.</w:t>
      </w:r>
    </w:p>
    <w:p>
      <w:pPr>
        <w:pStyle w:val="ListBullet"/>
        <w:spacing w:after="50" w:line="250" w:lineRule="auto"/>
        <w:keepLines/>
      </w:pPr>
      <w:r>
        <w:rPr>
          <w:rFonts w:ascii="Arial" w:hAnsi="Arial" w:eastAsia="Arial"/>
          <w:color w:val="1F2937"/>
          <w:sz w:val="20"/>
        </w:rPr>
        <w:t>Do not interpret your raw score as an official NCMHCE passing score or guarantee.</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CHECKPOINT COVERAGE</w:t>
            </w:r>
          </w:p>
          <w:p>
            <w:pPr>
              <w:spacing w:after="20" w:line="250" w:lineRule="auto"/>
            </w:pPr>
            <w:r>
              <w:rPr>
                <w:rFonts w:ascii="Arial" w:hAnsi="Arial" w:eastAsia="Arial"/>
                <w:color w:val="1F2937"/>
                <w:sz w:val="19"/>
              </w:rPr>
              <w:t>Workbook 1 strategy and sequencing; Workbook 2 identity, scope, competence, supervision, culture, boundaries, and self-awareness; Workbook 3 intake, consent, communication access, MSE, biopsychosocial-cultural assessment, telehealth, screening, and documentation; Workbook 4 crisis, medical urgency, suicide and violence risk, reporting duties, means safety, level of care, and handoff.</w:t>
            </w:r>
          </w:p>
        </w:tc>
      </w:tr>
    </w:tbl>
    <w:p>
      <w:pPr>
        <w:spacing w:after="0"/>
      </w:pPr>
    </w:p>
    <w:p>
      <w:pPr>
        <w:pStyle w:val="Heading2"/>
        <w:spacing w:before="140" w:after="80"/>
        <w:keepNext/>
      </w:pPr>
      <w:r>
        <w:rPr>
          <w:rFonts w:ascii="Arial" w:hAnsi="Arial" w:eastAsia="Arial"/>
          <w:b/>
          <w:color w:val="159C9C"/>
          <w:sz w:val="26"/>
        </w:rPr>
        <w:t>CTA Error Codes to Use After Scoring</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93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Code</w:t>
            </w:r>
          </w:p>
        </w:tc>
        <w:tc>
          <w:tcPr>
            <w:tcW w:type="dxa" w:w="295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Meaning</w:t>
            </w:r>
          </w:p>
        </w:tc>
        <w:tc>
          <w:tcPr>
            <w:tcW w:type="dxa" w:w="662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Correction prompt</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w:t>
            </w:r>
          </w:p>
        </w:tc>
        <w:tc>
          <w:tcPr>
            <w:tcW w:type="dxa" w:w="295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Sequence / task word</w:t>
            </w:r>
          </w:p>
        </w:tc>
        <w:tc>
          <w:tcPr>
            <w:tcW w:type="dxa" w:w="662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action had to occur before the option I selected?</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w:t>
            </w:r>
          </w:p>
        </w:tc>
        <w:tc>
          <w:tcPr>
            <w:tcW w:type="dxa" w:w="295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Evidence / inference</w:t>
            </w:r>
          </w:p>
        </w:tc>
        <w:tc>
          <w:tcPr>
            <w:tcW w:type="dxa" w:w="662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Which fact did I add, ignore, or overinterpret?</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w:t>
            </w:r>
          </w:p>
        </w:tc>
        <w:tc>
          <w:tcPr>
            <w:tcW w:type="dxa" w:w="295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Assessment sufficiency</w:t>
            </w:r>
          </w:p>
        </w:tc>
        <w:tc>
          <w:tcPr>
            <w:tcW w:type="dxa" w:w="662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I treat a screen or single fact as a complete conclusion?</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w:t>
            </w:r>
          </w:p>
        </w:tc>
        <w:tc>
          <w:tcPr>
            <w:tcW w:type="dxa" w:w="295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Scope, status, competence, or proportionality</w:t>
            </w:r>
          </w:p>
        </w:tc>
        <w:tc>
          <w:tcPr>
            <w:tcW w:type="dxa" w:w="662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I confuse authority, competence, or level of care?</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w:t>
            </w:r>
          </w:p>
        </w:tc>
        <w:tc>
          <w:tcPr>
            <w:tcW w:type="dxa" w:w="295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Culture, disability, language, or context</w:t>
            </w:r>
          </w:p>
        </w:tc>
        <w:tc>
          <w:tcPr>
            <w:tcW w:type="dxa" w:w="662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I individualize access and meaning rather than assume?</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w:t>
            </w:r>
          </w:p>
        </w:tc>
        <w:tc>
          <w:tcPr>
            <w:tcW w:type="dxa" w:w="295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Risk formulation</w:t>
            </w:r>
          </w:p>
        </w:tc>
        <w:tc>
          <w:tcPr>
            <w:tcW w:type="dxa" w:w="662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I assess intent, means, timing, behavior, modifiers, and supports?</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w:t>
            </w:r>
          </w:p>
        </w:tc>
        <w:tc>
          <w:tcPr>
            <w:tcW w:type="dxa" w:w="295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Legal or ethical duty</w:t>
            </w:r>
          </w:p>
        </w:tc>
        <w:tc>
          <w:tcPr>
            <w:tcW w:type="dxa" w:w="662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I identify the threshold, recipient, timing, and limits of disclosure?</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w:t>
            </w:r>
          </w:p>
        </w:tc>
        <w:tc>
          <w:tcPr>
            <w:tcW w:type="dxa" w:w="295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Medical or means-safety priority</w:t>
            </w:r>
          </w:p>
        </w:tc>
        <w:tc>
          <w:tcPr>
            <w:tcW w:type="dxa" w:w="662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I act on urgent medical signs or verify access reduction?</w:t>
            </w:r>
          </w:p>
        </w:tc>
      </w:tr>
      <w:tr>
        <w:trPr>
          <w:cantSplit/>
        </w:trPr>
        <w:tc>
          <w:tcPr>
            <w:tcW w:type="dxa" w:w="9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w:t>
            </w:r>
          </w:p>
        </w:tc>
        <w:tc>
          <w:tcPr>
            <w:tcW w:type="dxa" w:w="295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Documentation or handoff</w:t>
            </w:r>
          </w:p>
        </w:tc>
        <w:tc>
          <w:tcPr>
            <w:tcW w:type="dxa" w:w="662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Could another professional reconstruct the facts, decisions, and transfer?</w:t>
            </w:r>
          </w:p>
        </w:tc>
      </w:tr>
      <w:tr>
        <w:trPr>
          <w:cantSplit/>
        </w:trPr>
        <w:tc>
          <w:tcPr>
            <w:tcW w:type="dxa" w:w="9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w:t>
            </w:r>
          </w:p>
        </w:tc>
        <w:tc>
          <w:tcPr>
            <w:tcW w:type="dxa" w:w="295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Counselor impact</w:t>
            </w:r>
          </w:p>
        </w:tc>
        <w:tc>
          <w:tcPr>
            <w:tcW w:type="dxa" w:w="662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Did the counselor’s reaction or functioning distort the plan?</w:t>
            </w:r>
          </w:p>
        </w:tc>
      </w:tr>
    </w:tbl>
    <w:p>
      <w:pPr>
        <w:spacing w:after="0"/>
      </w:pPr>
    </w:p>
    <w:p>
      <w:pPr>
        <w:pStyle w:val="Heading2"/>
        <w:spacing w:before="140" w:after="80"/>
        <w:keepNext/>
      </w:pPr>
      <w:r>
        <w:rPr>
          <w:rFonts w:ascii="Arial" w:hAnsi="Arial" w:eastAsia="Arial"/>
          <w:b/>
          <w:color w:val="159C9C"/>
          <w:sz w:val="26"/>
        </w:rPr>
        <w:t>Master Answer Record</w:t>
      </w:r>
    </w:p>
    <w:tbl>
      <w:tblPr>
        <w:tblW w:type="auto" w:w="0"/>
        <w:jc w:val="center"/>
        <w:tblLayout w:type="fixed"/>
        <w:tblLook w:firstColumn="1" w:firstRow="1" w:lastColumn="0" w:lastRow="0" w:noHBand="0" w:noVBand="1" w:val="04A0"/>
      </w:tblPr>
      <w:tblGrid>
        <w:gridCol w:w="1718"/>
        <w:gridCol w:w="1718"/>
        <w:gridCol w:w="1718"/>
        <w:gridCol w:w="1718"/>
        <w:gridCol w:w="1718"/>
        <w:gridCol w:w="1718"/>
      </w:tblGrid>
      <w:tr>
        <w:trPr>
          <w:tblHeader w:val="true"/>
          <w:cantSplit/>
        </w:trPr>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Case 1 Q</w:t>
            </w:r>
          </w:p>
        </w:tc>
        <w:tc>
          <w:tcPr>
            <w:tcW w:type="dxa" w:w="208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Answer / Conf.</w:t>
            </w:r>
          </w:p>
        </w:tc>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Case 2 Q</w:t>
            </w:r>
          </w:p>
        </w:tc>
        <w:tc>
          <w:tcPr>
            <w:tcW w:type="dxa" w:w="208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Answer / Conf.</w:t>
            </w:r>
          </w:p>
        </w:tc>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Case 3 Q</w:t>
            </w:r>
          </w:p>
        </w:tc>
        <w:tc>
          <w:tcPr>
            <w:tcW w:type="dxa" w:w="208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Answer / Conf.</w:t>
            </w:r>
          </w:p>
        </w:tc>
      </w:tr>
      <w:tr>
        <w:trPr>
          <w:cantSplit/>
        </w:trPr>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14</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27</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r>
      <w:tr>
        <w:trPr>
          <w:cantSplit/>
        </w:trPr>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2</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15</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28</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r>
      <w:tr>
        <w:trPr>
          <w:cantSplit/>
        </w:trPr>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3</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16</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29</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r>
      <w:tr>
        <w:trPr>
          <w:cantSplit/>
        </w:trPr>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4</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17</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30</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r>
      <w:tr>
        <w:trPr>
          <w:cantSplit/>
        </w:trPr>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5</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18</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31</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r>
      <w:tr>
        <w:trPr>
          <w:cantSplit/>
        </w:trPr>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6</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19</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32</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r>
      <w:tr>
        <w:trPr>
          <w:cantSplit/>
        </w:trPr>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7</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20</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33</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r>
      <w:tr>
        <w:trPr>
          <w:cantSplit/>
        </w:trPr>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8</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21</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34</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r>
      <w:tr>
        <w:trPr>
          <w:cantSplit/>
        </w:trPr>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9</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22</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35</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r>
      <w:tr>
        <w:trPr>
          <w:cantSplit/>
        </w:trPr>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10</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23</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36</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r>
      <w:tr>
        <w:trPr>
          <w:cantSplit/>
        </w:trPr>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11</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24</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37</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r>
      <w:tr>
        <w:trPr>
          <w:cantSplit/>
        </w:trPr>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12</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25</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38</w:t>
            </w:r>
          </w:p>
        </w:tc>
        <w:tc>
          <w:tcPr>
            <w:tcW w:type="dxa" w:w="208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r>
      <w:tr>
        <w:trPr>
          <w:cantSplit/>
        </w:trPr>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13</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26</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39</w:t>
            </w:r>
          </w:p>
        </w:tc>
        <w:tc>
          <w:tcPr>
            <w:tcW w:type="dxa" w:w="208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_____ / ___</w:t>
            </w:r>
          </w:p>
        </w:tc>
      </w:tr>
    </w:tbl>
    <w:p>
      <w:pPr>
        <w:spacing w:after="0"/>
      </w:pPr>
    </w:p>
    <w:p>
      <w:r>
        <w:br w:type="page"/>
      </w:r>
    </w:p>
    <w:tbl>
      <w:tblPr>
        <w:tblW w:type="auto" w:w="0"/>
        <w:jc w:val="center"/>
        <w:tblLayout w:type="fixed"/>
        <w:tblLook w:firstColumn="1" w:firstRow="1" w:lastColumn="0" w:lastRow="0" w:noHBand="0" w:noVBand="1" w:val="04A0"/>
      </w:tblPr>
      <w:tblGrid>
        <w:gridCol w:w="5155"/>
        <w:gridCol w:w="5155"/>
      </w:tblGrid>
      <w:tr>
        <w:trPr>
          <w:cantSplit/>
        </w:trPr>
        <w:tc>
          <w:tcPr>
            <w:tcW w:type="dxa" w:w="1944"/>
            <w:shd w:fill="C6922F"/>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CASE 1</w:t>
            </w:r>
          </w:p>
        </w:tc>
        <w:tc>
          <w:tcPr>
            <w:tcW w:type="dxa" w:w="8568"/>
            <w:shd w:fill="17365D"/>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Marisol Vega - First Telehealth Intake</w:t>
            </w:r>
          </w:p>
        </w:tc>
      </w:tr>
      <w:tr>
        <w:trPr>
          <w:cantSplit/>
        </w:trPr>
        <w:tc>
          <w:tcPr>
            <w:tcW w:type="dxa" w:w="1944"/>
            <w:shd w:fill="159C9C"/>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4"/>
              </w:rPr>
              <w:t>PART 1</w:t>
            </w:r>
          </w:p>
        </w:tc>
        <w:tc>
          <w:tcPr>
            <w:tcW w:type="dxa" w:w="8568"/>
            <w:shd w:fill="E7F3F3"/>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17365D"/>
                <w:sz w:val="22"/>
              </w:rPr>
              <w:t>Initial intake</w:t>
            </w:r>
          </w:p>
        </w:tc>
      </w:tr>
    </w:tbl>
    <w:p>
      <w:pPr>
        <w:spacing w:before="140" w:after="120" w:line="254" w:lineRule="auto"/>
      </w:pPr>
      <w:r>
        <w:rPr>
          <w:rFonts w:ascii="Arial" w:hAnsi="Arial" w:eastAsia="Arial"/>
          <w:b w:val="0"/>
          <w:i w:val="0"/>
          <w:color w:val="1F2937"/>
          <w:sz w:val="21"/>
        </w:rPr>
        <w:t>Marisol Vega, age 57, begins a first video counseling appointment eight months after her husband’s death. Her adult daughter, Rosa, scheduled the visit and is seated beside her. Marisol is in her apartment in Fresno and says she prefers Spanish for complex health and mental health discussions, although she understands basic conversational English. The counselor speaks conversational Spanish but is not clinically fluent. Rosa offers to interpret. Marisol reports insomnia, grief, worry, intermittent headaches, and “pressure in my chest when I get stressed.” She denies suicidal thoughts. The counselor has not yet completed telehealth consent, privacy review, emergency planning, or a communication-access plan.</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NO-RETURN SIMULATION</w:t>
            </w:r>
          </w:p>
          <w:p>
            <w:pPr>
              <w:spacing w:after="20" w:line="250" w:lineRule="auto"/>
            </w:pPr>
            <w:r>
              <w:rPr>
                <w:rFonts w:ascii="Arial" w:hAnsi="Arial" w:eastAsia="Arial"/>
                <w:color w:val="1F2937"/>
                <w:sz w:val="18"/>
              </w:rPr>
              <w:t>Complete every question in this section before continuing. After you move to the next part, do not revise earlier responses.</w:t>
            </w:r>
          </w:p>
        </w:tc>
      </w:tr>
    </w:tbl>
    <w:p>
      <w:pPr>
        <w:spacing w:after="0"/>
      </w:pPr>
    </w:p>
    <w:p>
      <w:pPr>
        <w:spacing w:before="100" w:after="40"/>
        <w:keepNext/>
      </w:pPr>
      <w:r>
        <w:rPr>
          <w:rFonts w:ascii="Arial" w:hAnsi="Arial" w:eastAsia="Arial"/>
          <w:b/>
          <w:color w:val="1F7A8C"/>
          <w:sz w:val="17"/>
        </w:rPr>
        <w:t>LPCC-CP1-Q001 | Application | Easy | WB1/WB3 | Primary concept: Telehealth intake sequence</w:t>
      </w:r>
    </w:p>
    <w:p>
      <w:pPr>
        <w:spacing w:after="60" w:line="247" w:lineRule="auto"/>
        <w:keepNext/>
      </w:pPr>
      <w:r>
        <w:rPr>
          <w:rFonts w:ascii="Arial" w:hAnsi="Arial" w:eastAsia="Arial"/>
          <w:b/>
          <w:color w:val="1F2937"/>
          <w:sz w:val="20"/>
        </w:rPr>
        <w:t>What should the counselor do FIRST before beginning the routine clinical interview?</w:t>
      </w:r>
    </w:p>
    <w:p>
      <w:pPr>
        <w:spacing w:after="32" w:line="245" w:lineRule="auto"/>
        <w:ind w:left="230" w:hanging="230"/>
      </w:pPr>
      <w:r>
        <w:rPr>
          <w:rFonts w:ascii="Arial" w:hAnsi="Arial" w:eastAsia="Arial"/>
          <w:color w:val="1F2937"/>
          <w:sz w:val="19"/>
        </w:rPr>
        <w:t>A. Ask Marisol to describe her childhood and prior relationships in detail.</w:t>
      </w:r>
    </w:p>
    <w:p>
      <w:pPr>
        <w:spacing w:after="32" w:line="245" w:lineRule="auto"/>
        <w:ind w:left="230" w:hanging="230"/>
      </w:pPr>
      <w:r>
        <w:rPr>
          <w:rFonts w:ascii="Arial" w:hAnsi="Arial" w:eastAsia="Arial"/>
          <w:color w:val="1F2937"/>
          <w:sz w:val="19"/>
        </w:rPr>
        <w:t>B. Confirm identity and exact location, establish privacy and emergency contact information, explain telehealth and relevant roles, identify the communication accommodation needed, and obtain documented consent before routine assessment.</w:t>
      </w:r>
    </w:p>
    <w:p>
      <w:pPr>
        <w:spacing w:after="32" w:line="245" w:lineRule="auto"/>
        <w:ind w:left="230" w:hanging="230"/>
      </w:pPr>
      <w:r>
        <w:rPr>
          <w:rFonts w:ascii="Arial" w:hAnsi="Arial" w:eastAsia="Arial"/>
          <w:color w:val="1F2937"/>
          <w:sz w:val="19"/>
        </w:rPr>
        <w:t>C. Administer a grief inventory immediately so the session begins with objective data.</w:t>
      </w:r>
    </w:p>
    <w:p>
      <w:pPr>
        <w:spacing w:after="32" w:line="245" w:lineRule="auto"/>
        <w:ind w:left="230" w:hanging="230"/>
      </w:pPr>
      <w:r>
        <w:rPr>
          <w:rFonts w:ascii="Arial" w:hAnsi="Arial" w:eastAsia="Arial"/>
          <w:color w:val="1F2937"/>
          <w:sz w:val="19"/>
        </w:rPr>
        <w:t>D. Ask Rosa to summarize the problem while Marisol listens.</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LPCC-CP1-Q002 | Application | Moderate | WB2/WB3 | Primary concept: Qualified language access</w:t>
      </w:r>
    </w:p>
    <w:p>
      <w:pPr>
        <w:spacing w:after="60" w:line="247" w:lineRule="auto"/>
        <w:keepNext/>
      </w:pPr>
      <w:r>
        <w:rPr>
          <w:rFonts w:ascii="Arial" w:hAnsi="Arial" w:eastAsia="Arial"/>
          <w:b/>
          <w:color w:val="1F2937"/>
          <w:sz w:val="20"/>
        </w:rPr>
        <w:t>How should the counselor address Marisol’s preference for Spanish during complex mental health and medical discussions?</w:t>
      </w:r>
    </w:p>
    <w:p>
      <w:pPr>
        <w:spacing w:after="32" w:line="245" w:lineRule="auto"/>
        <w:ind w:left="230" w:hanging="230"/>
      </w:pPr>
      <w:r>
        <w:rPr>
          <w:rFonts w:ascii="Arial" w:hAnsi="Arial" w:eastAsia="Arial"/>
          <w:color w:val="1F2937"/>
          <w:sz w:val="19"/>
        </w:rPr>
        <w:t>A. Use conversational Spanish and ask Marisol to correct any misunderstandings.</w:t>
      </w:r>
    </w:p>
    <w:p>
      <w:pPr>
        <w:spacing w:after="32" w:line="245" w:lineRule="auto"/>
        <w:ind w:left="230" w:hanging="230"/>
      </w:pPr>
      <w:r>
        <w:rPr>
          <w:rFonts w:ascii="Arial" w:hAnsi="Arial" w:eastAsia="Arial"/>
          <w:color w:val="1F2937"/>
          <w:sz w:val="19"/>
        </w:rPr>
        <w:t>B. Rely on Rosa because family members usually understand cultural meaning better than professionals.</w:t>
      </w:r>
    </w:p>
    <w:p>
      <w:pPr>
        <w:spacing w:after="32" w:line="245" w:lineRule="auto"/>
        <w:ind w:left="230" w:hanging="230"/>
      </w:pPr>
      <w:r>
        <w:rPr>
          <w:rFonts w:ascii="Arial" w:hAnsi="Arial" w:eastAsia="Arial"/>
          <w:color w:val="1F2937"/>
          <w:sz w:val="19"/>
        </w:rPr>
        <w:t>C. Continue in English because Marisol understands basic conversation.</w:t>
      </w:r>
    </w:p>
    <w:p>
      <w:pPr>
        <w:spacing w:after="32" w:line="245" w:lineRule="auto"/>
        <w:ind w:left="230" w:hanging="230"/>
      </w:pPr>
      <w:r>
        <w:rPr>
          <w:rFonts w:ascii="Arial" w:hAnsi="Arial" w:eastAsia="Arial"/>
          <w:color w:val="1F2937"/>
          <w:sz w:val="19"/>
        </w:rPr>
        <w:t>D. Arrange qualified language assistance or a clinically appropriate Spanish-speaking provider, ask Marisol about her preferred communication method, and avoid using Rosa as the default interpreter for a complex confidential assessment.</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LPCC-CP1-Q003 | Knowledge &amp; Application | Easy | WB3 | Primary concept: Informed consent and understanding</w:t>
      </w:r>
    </w:p>
    <w:p>
      <w:pPr>
        <w:spacing w:after="60" w:line="247" w:lineRule="auto"/>
        <w:keepNext/>
      </w:pPr>
      <w:r>
        <w:rPr>
          <w:rFonts w:ascii="Arial" w:hAnsi="Arial" w:eastAsia="Arial"/>
          <w:b/>
          <w:color w:val="1F2937"/>
          <w:sz w:val="20"/>
        </w:rPr>
        <w:t>Which approach BEST supports valid informed consent in this intake?</w:t>
      </w:r>
    </w:p>
    <w:p>
      <w:pPr>
        <w:spacing w:after="32" w:line="245" w:lineRule="auto"/>
        <w:ind w:left="230" w:hanging="230"/>
      </w:pPr>
      <w:r>
        <w:rPr>
          <w:rFonts w:ascii="Arial" w:hAnsi="Arial" w:eastAsia="Arial"/>
          <w:color w:val="1F2937"/>
          <w:sz w:val="19"/>
        </w:rPr>
        <w:t>A. Explain the counseling process, risks and benefits, alternatives, fees and policies, confidentiality and its limits, telehealth use, and relevant professional status in an accessible format; invite questions, assess understanding, and document consent.</w:t>
      </w:r>
    </w:p>
    <w:p>
      <w:pPr>
        <w:spacing w:after="32" w:line="245" w:lineRule="auto"/>
        <w:ind w:left="230" w:hanging="230"/>
      </w:pPr>
      <w:r>
        <w:rPr>
          <w:rFonts w:ascii="Arial" w:hAnsi="Arial" w:eastAsia="Arial"/>
          <w:color w:val="1F2937"/>
          <w:sz w:val="19"/>
        </w:rPr>
        <w:t>B. Ask Marisol to sign the standard form without discussion because the form contains all required information.</w:t>
      </w:r>
    </w:p>
    <w:p>
      <w:pPr>
        <w:spacing w:after="32" w:line="245" w:lineRule="auto"/>
        <w:ind w:left="230" w:hanging="230"/>
      </w:pPr>
      <w:r>
        <w:rPr>
          <w:rFonts w:ascii="Arial" w:hAnsi="Arial" w:eastAsia="Arial"/>
          <w:color w:val="1F2937"/>
          <w:sz w:val="19"/>
        </w:rPr>
        <w:t>C. Ask Rosa to consent for Marisol because Rosa scheduled the appointment.</w:t>
      </w:r>
    </w:p>
    <w:p>
      <w:pPr>
        <w:spacing w:after="32" w:line="245" w:lineRule="auto"/>
        <w:ind w:left="230" w:hanging="230"/>
      </w:pPr>
      <w:r>
        <w:rPr>
          <w:rFonts w:ascii="Arial" w:hAnsi="Arial" w:eastAsia="Arial"/>
          <w:color w:val="1F2937"/>
          <w:sz w:val="19"/>
        </w:rPr>
        <w:t>D. Delay all informed-consent discussion until after the counselor decides on a diagnosis.</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LPCC-CP1-Q004 | Knowledge &amp; Application | Easy | WB3 | Primary concept: Objective mental status documentation</w:t>
      </w:r>
    </w:p>
    <w:p>
      <w:pPr>
        <w:spacing w:after="60" w:line="247" w:lineRule="auto"/>
        <w:keepNext/>
      </w:pPr>
      <w:r>
        <w:rPr>
          <w:rFonts w:ascii="Arial" w:hAnsi="Arial" w:eastAsia="Arial"/>
          <w:b/>
          <w:color w:val="1F2937"/>
          <w:sz w:val="20"/>
        </w:rPr>
        <w:t>Which entry is the MOST objective mental status documentation based on the information available?</w:t>
      </w:r>
    </w:p>
    <w:p>
      <w:pPr>
        <w:spacing w:after="32" w:line="245" w:lineRule="auto"/>
        <w:ind w:left="230" w:hanging="230"/>
      </w:pPr>
      <w:r>
        <w:rPr>
          <w:rFonts w:ascii="Arial" w:hAnsi="Arial" w:eastAsia="Arial"/>
          <w:color w:val="1F2937"/>
          <w:sz w:val="19"/>
        </w:rPr>
        <w:t>A. Marisol is dependent and allows her daughter to control the session.</w:t>
      </w:r>
    </w:p>
    <w:p>
      <w:pPr>
        <w:spacing w:after="32" w:line="245" w:lineRule="auto"/>
        <w:ind w:left="230" w:hanging="230"/>
      </w:pPr>
      <w:r>
        <w:rPr>
          <w:rFonts w:ascii="Arial" w:hAnsi="Arial" w:eastAsia="Arial"/>
          <w:color w:val="1F2937"/>
          <w:sz w:val="19"/>
        </w:rPr>
        <w:t>B. Marisol is probably concealing a severe psychiatric disorder.</w:t>
      </w:r>
    </w:p>
    <w:p>
      <w:pPr>
        <w:spacing w:after="32" w:line="245" w:lineRule="auto"/>
        <w:ind w:left="230" w:hanging="230"/>
      </w:pPr>
      <w:r>
        <w:rPr>
          <w:rFonts w:ascii="Arial" w:hAnsi="Arial" w:eastAsia="Arial"/>
          <w:color w:val="1F2937"/>
          <w:sz w:val="19"/>
        </w:rPr>
        <w:t>C. Marisol appears neatly dressed, is alert, answers some questions directly after interpretation, looks toward Rosa before several responses, and shows a constricted but reactive affect.</w:t>
      </w:r>
    </w:p>
    <w:p>
      <w:pPr>
        <w:spacing w:after="32" w:line="245" w:lineRule="auto"/>
        <w:ind w:left="230" w:hanging="230"/>
      </w:pPr>
      <w:r>
        <w:rPr>
          <w:rFonts w:ascii="Arial" w:hAnsi="Arial" w:eastAsia="Arial"/>
          <w:color w:val="1F2937"/>
          <w:sz w:val="19"/>
        </w:rPr>
        <w:t>D. Marisol has poor insight because she values her daughter’s presence.</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LPCC-CP1-Q005 | Application | Moderate | WB2/WB3 | Primary concept: California LPCC assessment scope</w:t>
      </w:r>
    </w:p>
    <w:p>
      <w:pPr>
        <w:spacing w:after="60" w:line="247" w:lineRule="auto"/>
        <w:keepNext/>
      </w:pPr>
      <w:r>
        <w:rPr>
          <w:rFonts w:ascii="Arial" w:hAnsi="Arial" w:eastAsia="Arial"/>
          <w:b/>
          <w:color w:val="1F2937"/>
          <w:sz w:val="20"/>
        </w:rPr>
        <w:t>Which assessment plan is MOST consistent with California LPCC scope and competence?</w:t>
      </w:r>
    </w:p>
    <w:p>
      <w:pPr>
        <w:spacing w:after="32" w:line="245" w:lineRule="auto"/>
        <w:ind w:left="230" w:hanging="230"/>
      </w:pPr>
      <w:r>
        <w:rPr>
          <w:rFonts w:ascii="Arial" w:hAnsi="Arial" w:eastAsia="Arial"/>
          <w:color w:val="1F2937"/>
          <w:sz w:val="19"/>
        </w:rPr>
        <w:t>A. Administer a projective personality test to determine hidden grief conflicts.</w:t>
      </w:r>
    </w:p>
    <w:p>
      <w:pPr>
        <w:spacing w:after="32" w:line="245" w:lineRule="auto"/>
        <w:ind w:left="230" w:hanging="230"/>
      </w:pPr>
      <w:r>
        <w:rPr>
          <w:rFonts w:ascii="Arial" w:hAnsi="Arial" w:eastAsia="Arial"/>
          <w:color w:val="1F2937"/>
          <w:sz w:val="19"/>
        </w:rPr>
        <w:t>B. Use a validated symptom and functioning measure in an appropriate language, within the counselor’s training, to support counseling goals while integrating interview data and explaining the measure’s limits.</w:t>
      </w:r>
    </w:p>
    <w:p>
      <w:pPr>
        <w:spacing w:after="32" w:line="245" w:lineRule="auto"/>
        <w:ind w:left="230" w:hanging="230"/>
      </w:pPr>
      <w:r>
        <w:rPr>
          <w:rFonts w:ascii="Arial" w:hAnsi="Arial" w:eastAsia="Arial"/>
          <w:color w:val="1F2937"/>
          <w:sz w:val="19"/>
        </w:rPr>
        <w:t>C. Administer an individually scored intelligence test to explain Marisol’s hesitation.</w:t>
      </w:r>
    </w:p>
    <w:p>
      <w:pPr>
        <w:spacing w:after="32" w:line="245" w:lineRule="auto"/>
        <w:ind w:left="230" w:hanging="230"/>
      </w:pPr>
      <w:r>
        <w:rPr>
          <w:rFonts w:ascii="Arial" w:hAnsi="Arial" w:eastAsia="Arial"/>
          <w:color w:val="1F2937"/>
          <w:sz w:val="19"/>
        </w:rPr>
        <w:t>D. Use a battery of four tests to determine whether psychosis or cognitive impairment is present.</w:t>
      </w:r>
    </w:p>
    <w:p>
      <w:pPr>
        <w:spacing w:after="40"/>
      </w:pPr>
      <w:r>
        <w:rPr>
          <w:rFonts w:ascii="Arial" w:hAnsi="Arial" w:eastAsia="Arial"/>
          <w:i/>
          <w:color w:val="4E5B6B"/>
          <w:sz w:val="18"/>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rPr>
          <w:cantSplit/>
        </w:trPr>
        <w:tc>
          <w:tcPr>
            <w:tcW w:type="dxa" w:w="1944"/>
            <w:shd w:fill="C6922F"/>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CASE 1</w:t>
            </w:r>
          </w:p>
        </w:tc>
        <w:tc>
          <w:tcPr>
            <w:tcW w:type="dxa" w:w="8568"/>
            <w:shd w:fill="17365D"/>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Marisol Vega - First Telehealth Intake</w:t>
            </w:r>
          </w:p>
        </w:tc>
      </w:tr>
      <w:tr>
        <w:trPr>
          <w:cantSplit/>
        </w:trPr>
        <w:tc>
          <w:tcPr>
            <w:tcW w:type="dxa" w:w="1944"/>
            <w:shd w:fill="159C9C"/>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4"/>
              </w:rPr>
              <w:t>PART 2</w:t>
            </w:r>
          </w:p>
        </w:tc>
        <w:tc>
          <w:tcPr>
            <w:tcW w:type="dxa" w:w="8568"/>
            <w:shd w:fill="E7F3F3"/>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17365D"/>
                <w:sz w:val="22"/>
              </w:rPr>
              <w:t>New medical information</w:t>
            </w:r>
          </w:p>
        </w:tc>
      </w:tr>
    </w:tbl>
    <w:p>
      <w:pPr>
        <w:spacing w:before="140" w:after="120" w:line="254" w:lineRule="auto"/>
      </w:pPr>
      <w:r>
        <w:rPr>
          <w:rFonts w:ascii="Arial" w:hAnsi="Arial" w:eastAsia="Arial"/>
          <w:b w:val="0"/>
          <w:i w:val="0"/>
          <w:color w:val="1F2937"/>
          <w:sz w:val="21"/>
        </w:rPr>
        <w:t>Twenty minutes into the interview, Marisol pauses, drops her mug, and develops a right-sided facial droop. Her speech becomes slurred, and she says her right arm feels numb. Rosa says the change began about one minute ago. Marisol appears frightened and has difficulty answering questions.</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NO-RETURN SIMULATION</w:t>
            </w:r>
          </w:p>
          <w:p>
            <w:pPr>
              <w:spacing w:after="20" w:line="250" w:lineRule="auto"/>
            </w:pPr>
            <w:r>
              <w:rPr>
                <w:rFonts w:ascii="Arial" w:hAnsi="Arial" w:eastAsia="Arial"/>
                <w:color w:val="1F2937"/>
                <w:sz w:val="18"/>
              </w:rPr>
              <w:t>Complete every question in this section before continuing. After you move to the next part, do not revise earlier responses.</w:t>
            </w:r>
          </w:p>
        </w:tc>
      </w:tr>
    </w:tbl>
    <w:p>
      <w:pPr>
        <w:spacing w:after="0"/>
      </w:pPr>
    </w:p>
    <w:p>
      <w:pPr>
        <w:spacing w:before="100" w:after="40"/>
        <w:keepNext/>
      </w:pPr>
      <w:r>
        <w:rPr>
          <w:rFonts w:ascii="Arial" w:hAnsi="Arial" w:eastAsia="Arial"/>
          <w:b/>
          <w:color w:val="1F7A8C"/>
          <w:sz w:val="17"/>
        </w:rPr>
        <w:t>LPCC-CP1-Q006 | Integrated Clinical Reasoning | Easy | WB4 | Primary concept: Medical emergency priority</w:t>
      </w:r>
    </w:p>
    <w:p>
      <w:pPr>
        <w:spacing w:after="60" w:line="247" w:lineRule="auto"/>
        <w:keepNext/>
      </w:pPr>
      <w:r>
        <w:rPr>
          <w:rFonts w:ascii="Arial" w:hAnsi="Arial" w:eastAsia="Arial"/>
          <w:b/>
          <w:color w:val="1F2937"/>
          <w:sz w:val="20"/>
        </w:rPr>
        <w:t>What should the counselor do FIRST when Marisol develops sudden facial droop, slurred speech, and arm numbness?</w:t>
      </w:r>
    </w:p>
    <w:p>
      <w:pPr>
        <w:spacing w:after="32" w:line="245" w:lineRule="auto"/>
        <w:ind w:left="230" w:hanging="230"/>
      </w:pPr>
      <w:r>
        <w:rPr>
          <w:rFonts w:ascii="Arial" w:hAnsi="Arial" w:eastAsia="Arial"/>
          <w:color w:val="1F2937"/>
          <w:sz w:val="19"/>
        </w:rPr>
        <w:t>A. Activate emergency medical services immediately, note the symptom-onset time, keep Marisol connected and supervised when feasible, and provide responders with the exact location and observed signs.</w:t>
      </w:r>
    </w:p>
    <w:p>
      <w:pPr>
        <w:spacing w:after="32" w:line="245" w:lineRule="auto"/>
        <w:ind w:left="230" w:hanging="230"/>
      </w:pPr>
      <w:r>
        <w:rPr>
          <w:rFonts w:ascii="Arial" w:hAnsi="Arial" w:eastAsia="Arial"/>
          <w:color w:val="1F2937"/>
          <w:sz w:val="19"/>
        </w:rPr>
        <w:t>B. Guide Marisol through slow breathing because the symptoms are probably panic.</w:t>
      </w:r>
    </w:p>
    <w:p>
      <w:pPr>
        <w:spacing w:after="32" w:line="245" w:lineRule="auto"/>
        <w:ind w:left="230" w:hanging="230"/>
      </w:pPr>
      <w:r>
        <w:rPr>
          <w:rFonts w:ascii="Arial" w:hAnsi="Arial" w:eastAsia="Arial"/>
          <w:color w:val="1F2937"/>
          <w:sz w:val="19"/>
        </w:rPr>
        <w:t>C. Complete the remaining MSE domains before deciding whether medical care is needed.</w:t>
      </w:r>
    </w:p>
    <w:p>
      <w:pPr>
        <w:spacing w:after="32" w:line="245" w:lineRule="auto"/>
        <w:ind w:left="230" w:hanging="230"/>
      </w:pPr>
      <w:r>
        <w:rPr>
          <w:rFonts w:ascii="Arial" w:hAnsi="Arial" w:eastAsia="Arial"/>
          <w:color w:val="1F2937"/>
          <w:sz w:val="19"/>
        </w:rPr>
        <w:t>D. End the video session and ask Rosa to drive Marisol to an appointment tomorrow.</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LPCC-CP1-Q007 | Application | Moderate | WB3/WB4 | Primary concept: Telehealth emergency coordination</w:t>
      </w:r>
    </w:p>
    <w:p>
      <w:pPr>
        <w:spacing w:after="60" w:line="247" w:lineRule="auto"/>
        <w:keepNext/>
      </w:pPr>
      <w:r>
        <w:rPr>
          <w:rFonts w:ascii="Arial" w:hAnsi="Arial" w:eastAsia="Arial"/>
          <w:b/>
          <w:color w:val="1F2937"/>
          <w:sz w:val="20"/>
        </w:rPr>
        <w:t>Which telehealth response BEST supports a safe emergency handoff?</w:t>
      </w:r>
    </w:p>
    <w:p>
      <w:pPr>
        <w:spacing w:after="32" w:line="245" w:lineRule="auto"/>
        <w:ind w:left="230" w:hanging="230"/>
      </w:pPr>
      <w:r>
        <w:rPr>
          <w:rFonts w:ascii="Arial" w:hAnsi="Arial" w:eastAsia="Arial"/>
          <w:color w:val="1F2937"/>
          <w:sz w:val="19"/>
        </w:rPr>
        <w:t>A. Tell Rosa to search online for the nearest urgent-care clinic while the counselor ends the call.</w:t>
      </w:r>
    </w:p>
    <w:p>
      <w:pPr>
        <w:spacing w:after="32" w:line="245" w:lineRule="auto"/>
        <w:ind w:left="230" w:hanging="230"/>
      </w:pPr>
      <w:r>
        <w:rPr>
          <w:rFonts w:ascii="Arial" w:hAnsi="Arial" w:eastAsia="Arial"/>
          <w:color w:val="1F2937"/>
          <w:sz w:val="19"/>
        </w:rPr>
        <w:t>B. Ask Marisol to sign a release before any emergency information is shared.</w:t>
      </w:r>
    </w:p>
    <w:p>
      <w:pPr>
        <w:spacing w:after="32" w:line="245" w:lineRule="auto"/>
        <w:ind w:left="230" w:hanging="230"/>
      </w:pPr>
      <w:r>
        <w:rPr>
          <w:rFonts w:ascii="Arial" w:hAnsi="Arial" w:eastAsia="Arial"/>
          <w:color w:val="1F2937"/>
          <w:sz w:val="19"/>
        </w:rPr>
        <w:t>C. Wait for the symptoms to pass so the counselor does not overreact.</w:t>
      </w:r>
    </w:p>
    <w:p>
      <w:pPr>
        <w:spacing w:after="32" w:line="245" w:lineRule="auto"/>
        <w:ind w:left="230" w:hanging="230"/>
      </w:pPr>
      <w:r>
        <w:rPr>
          <w:rFonts w:ascii="Arial" w:hAnsi="Arial" w:eastAsia="Arial"/>
          <w:color w:val="1F2937"/>
          <w:sz w:val="19"/>
        </w:rPr>
        <w:t>D. Use the verified location to contact emergency services or direct Rosa to call while the counselor remains connected, ask that the door be accessible, communicate symptom onset and observations, and confirm responder arrival or transfer.</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LPCC-CP1-Q008 | Application | Moderate | WB3/WB4 | Primary concept: Emergency documentation</w:t>
      </w:r>
    </w:p>
    <w:p>
      <w:pPr>
        <w:spacing w:after="60" w:line="247" w:lineRule="auto"/>
        <w:keepNext/>
      </w:pPr>
      <w:r>
        <w:rPr>
          <w:rFonts w:ascii="Arial" w:hAnsi="Arial" w:eastAsia="Arial"/>
          <w:b/>
          <w:color w:val="1F2937"/>
          <w:sz w:val="20"/>
        </w:rPr>
        <w:t>Which documentation is MOST appropriate after emergency transfer?</w:t>
      </w:r>
    </w:p>
    <w:p>
      <w:pPr>
        <w:spacing w:after="32" w:line="245" w:lineRule="auto"/>
        <w:ind w:left="230" w:hanging="230"/>
      </w:pPr>
      <w:r>
        <w:rPr>
          <w:rFonts w:ascii="Arial" w:hAnsi="Arial" w:eastAsia="Arial"/>
          <w:color w:val="1F2937"/>
          <w:sz w:val="19"/>
        </w:rPr>
        <w:t>A. “Client had a stroke because grief was overwhelming.”</w:t>
      </w:r>
    </w:p>
    <w:p>
      <w:pPr>
        <w:spacing w:after="32" w:line="245" w:lineRule="auto"/>
        <w:ind w:left="230" w:hanging="230"/>
      </w:pPr>
      <w:r>
        <w:rPr>
          <w:rFonts w:ascii="Arial" w:hAnsi="Arial" w:eastAsia="Arial"/>
          <w:color w:val="1F2937"/>
          <w:sz w:val="19"/>
        </w:rPr>
        <w:t>B. “Daughter was dramatic and caused unnecessary escalation.”</w:t>
      </w:r>
    </w:p>
    <w:p>
      <w:pPr>
        <w:spacing w:after="32" w:line="245" w:lineRule="auto"/>
        <w:ind w:left="230" w:hanging="230"/>
      </w:pPr>
      <w:r>
        <w:rPr>
          <w:rFonts w:ascii="Arial" w:hAnsi="Arial" w:eastAsia="Arial"/>
          <w:color w:val="1F2937"/>
          <w:sz w:val="19"/>
        </w:rPr>
        <w:t>C. Document the client’s and daughter’s statements, objective signs observed, known onset time, verified location, emergency contacts made, information disclosed, instructions given, responder arrival, handoff status, consultations, and planned follow-up.</w:t>
      </w:r>
    </w:p>
    <w:p>
      <w:pPr>
        <w:spacing w:after="32" w:line="245" w:lineRule="auto"/>
        <w:ind w:left="230" w:hanging="230"/>
      </w:pPr>
      <w:r>
        <w:rPr>
          <w:rFonts w:ascii="Arial" w:hAnsi="Arial" w:eastAsia="Arial"/>
          <w:color w:val="1F2937"/>
          <w:sz w:val="19"/>
        </w:rPr>
        <w:t>D. Document only that the session ended early for medical reasons.</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LPCC-CP1-Q009 | Integrated Clinical Reasoning | Difficult | WB1/WB3/WB4 | Primary concept: Avoiding premature psychiatric interpretation</w:t>
      </w:r>
    </w:p>
    <w:p>
      <w:pPr>
        <w:spacing w:after="60" w:line="247" w:lineRule="auto"/>
        <w:keepNext/>
      </w:pPr>
      <w:r>
        <w:rPr>
          <w:rFonts w:ascii="Arial" w:hAnsi="Arial" w:eastAsia="Arial"/>
          <w:b/>
          <w:color w:val="1F2937"/>
          <w:sz w:val="20"/>
        </w:rPr>
        <w:t>Which interpretation is MOST clinically sound at this point?</w:t>
      </w:r>
    </w:p>
    <w:p>
      <w:pPr>
        <w:spacing w:after="32" w:line="245" w:lineRule="auto"/>
        <w:ind w:left="230" w:hanging="230"/>
      </w:pPr>
      <w:r>
        <w:rPr>
          <w:rFonts w:ascii="Arial" w:hAnsi="Arial" w:eastAsia="Arial"/>
          <w:color w:val="1F2937"/>
          <w:sz w:val="19"/>
        </w:rPr>
        <w:t>A. Marisol is experiencing panic disorder because chest pressure and speech changes are anxiety symptoms.</w:t>
      </w:r>
    </w:p>
    <w:p>
      <w:pPr>
        <w:spacing w:after="32" w:line="245" w:lineRule="auto"/>
        <w:ind w:left="230" w:hanging="230"/>
      </w:pPr>
      <w:r>
        <w:rPr>
          <w:rFonts w:ascii="Arial" w:hAnsi="Arial" w:eastAsia="Arial"/>
          <w:color w:val="1F2937"/>
          <w:sz w:val="19"/>
        </w:rPr>
        <w:t>B. The sudden focal neurological changes require medical evaluation before the counselor attributes them to panic, grief, dissociation, or another psychiatric condition.</w:t>
      </w:r>
    </w:p>
    <w:p>
      <w:pPr>
        <w:spacing w:after="32" w:line="245" w:lineRule="auto"/>
        <w:ind w:left="230" w:hanging="230"/>
      </w:pPr>
      <w:r>
        <w:rPr>
          <w:rFonts w:ascii="Arial" w:hAnsi="Arial" w:eastAsia="Arial"/>
          <w:color w:val="1F2937"/>
          <w:sz w:val="19"/>
        </w:rPr>
        <w:t>C. Marisol is malingering because symptoms appeared during informed consent.</w:t>
      </w:r>
    </w:p>
    <w:p>
      <w:pPr>
        <w:spacing w:after="32" w:line="245" w:lineRule="auto"/>
        <w:ind w:left="230" w:hanging="230"/>
      </w:pPr>
      <w:r>
        <w:rPr>
          <w:rFonts w:ascii="Arial" w:hAnsi="Arial" w:eastAsia="Arial"/>
          <w:color w:val="1F2937"/>
          <w:sz w:val="19"/>
        </w:rPr>
        <w:t>D. The counselor should diagnose acute stress disorder and continue the interview.</w:t>
      </w:r>
    </w:p>
    <w:p>
      <w:pPr>
        <w:spacing w:after="40"/>
      </w:pPr>
      <w:r>
        <w:rPr>
          <w:rFonts w:ascii="Arial" w:hAnsi="Arial" w:eastAsia="Arial"/>
          <w:i/>
          <w:color w:val="4E5B6B"/>
          <w:sz w:val="18"/>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rPr>
          <w:cantSplit/>
        </w:trPr>
        <w:tc>
          <w:tcPr>
            <w:tcW w:type="dxa" w:w="1944"/>
            <w:shd w:fill="C6922F"/>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CASE 1</w:t>
            </w:r>
          </w:p>
        </w:tc>
        <w:tc>
          <w:tcPr>
            <w:tcW w:type="dxa" w:w="8568"/>
            <w:shd w:fill="17365D"/>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Marisol Vega - First Telehealth Intake</w:t>
            </w:r>
          </w:p>
        </w:tc>
      </w:tr>
      <w:tr>
        <w:trPr>
          <w:cantSplit/>
        </w:trPr>
        <w:tc>
          <w:tcPr>
            <w:tcW w:type="dxa" w:w="1944"/>
            <w:shd w:fill="159C9C"/>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4"/>
              </w:rPr>
              <w:t>PART 3</w:t>
            </w:r>
          </w:p>
        </w:tc>
        <w:tc>
          <w:tcPr>
            <w:tcW w:type="dxa" w:w="8568"/>
            <w:shd w:fill="E7F3F3"/>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17365D"/>
                <w:sz w:val="22"/>
              </w:rPr>
              <w:t>Return after emergency care</w:t>
            </w:r>
          </w:p>
        </w:tc>
      </w:tr>
    </w:tbl>
    <w:p>
      <w:pPr>
        <w:spacing w:before="140" w:after="120" w:line="254" w:lineRule="auto"/>
      </w:pPr>
      <w:r>
        <w:rPr>
          <w:rFonts w:ascii="Arial" w:hAnsi="Arial" w:eastAsia="Arial"/>
          <w:b w:val="0"/>
          <w:i w:val="0"/>
          <w:color w:val="1F2937"/>
          <w:sz w:val="21"/>
        </w:rPr>
        <w:t>Emergency responders transported Marisol to the hospital. The hospital evaluated a suspected transient ischemic event and recommended neurology and primary-care follow-up. Two weeks later, Marisol returns to counseling while the medical workup continues. With qualified language assistance, she says she wants help with grief and anxiety. Her church is central to her life, and she worries that counseling may require “letting go” of her husband. She prefers a Spanish-speaking counselor if available but is willing to continue temporarily with qualified interpretation.</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NO-RETURN SIMULATION</w:t>
            </w:r>
          </w:p>
          <w:p>
            <w:pPr>
              <w:spacing w:after="20" w:line="250" w:lineRule="auto"/>
            </w:pPr>
            <w:r>
              <w:rPr>
                <w:rFonts w:ascii="Arial" w:hAnsi="Arial" w:eastAsia="Arial"/>
                <w:color w:val="1F2937"/>
                <w:sz w:val="18"/>
              </w:rPr>
              <w:t>Complete every question in this section before continuing. After you move to the next part, do not revise earlier responses.</w:t>
            </w:r>
          </w:p>
        </w:tc>
      </w:tr>
    </w:tbl>
    <w:p>
      <w:pPr>
        <w:spacing w:after="0"/>
      </w:pPr>
    </w:p>
    <w:p>
      <w:pPr>
        <w:spacing w:before="100" w:after="40"/>
        <w:keepNext/>
      </w:pPr>
      <w:r>
        <w:rPr>
          <w:rFonts w:ascii="Arial" w:hAnsi="Arial" w:eastAsia="Arial"/>
          <w:b/>
          <w:color w:val="1F7A8C"/>
          <w:sz w:val="17"/>
        </w:rPr>
        <w:t>LPCC-CP1-Q010 | Integrated Clinical Reasoning | Moderate | WB1/WB3 | Primary concept: Re-entry after medical event</w:t>
      </w:r>
    </w:p>
    <w:p>
      <w:pPr>
        <w:spacing w:after="60" w:line="247" w:lineRule="auto"/>
        <w:keepNext/>
      </w:pPr>
      <w:r>
        <w:rPr>
          <w:rFonts w:ascii="Arial" w:hAnsi="Arial" w:eastAsia="Arial"/>
          <w:b/>
          <w:color w:val="1F2937"/>
          <w:sz w:val="20"/>
        </w:rPr>
        <w:t>What should the counselor do NEXT when Marisol returns two weeks later?</w:t>
      </w:r>
    </w:p>
    <w:p>
      <w:pPr>
        <w:spacing w:after="32" w:line="245" w:lineRule="auto"/>
        <w:ind w:left="230" w:hanging="230"/>
      </w:pPr>
      <w:r>
        <w:rPr>
          <w:rFonts w:ascii="Arial" w:hAnsi="Arial" w:eastAsia="Arial"/>
          <w:color w:val="1F2937"/>
          <w:sz w:val="19"/>
        </w:rPr>
        <w:t>A. Resume the original intake exactly where it stopped and ignore the medical event because it occurred outside counseling.</w:t>
      </w:r>
    </w:p>
    <w:p>
      <w:pPr>
        <w:spacing w:after="32" w:line="245" w:lineRule="auto"/>
        <w:ind w:left="230" w:hanging="230"/>
      </w:pPr>
      <w:r>
        <w:rPr>
          <w:rFonts w:ascii="Arial" w:hAnsi="Arial" w:eastAsia="Arial"/>
          <w:color w:val="1F2937"/>
          <w:sz w:val="19"/>
        </w:rPr>
        <w:t>B. Begin grief exposure immediately to prevent avoidance.</w:t>
      </w:r>
    </w:p>
    <w:p>
      <w:pPr>
        <w:spacing w:after="32" w:line="245" w:lineRule="auto"/>
        <w:ind w:left="230" w:hanging="230"/>
      </w:pPr>
      <w:r>
        <w:rPr>
          <w:rFonts w:ascii="Arial" w:hAnsi="Arial" w:eastAsia="Arial"/>
          <w:color w:val="1F2937"/>
          <w:sz w:val="19"/>
        </w:rPr>
        <w:t>C. Transfer the case automatically because any medical condition makes counseling inappropriate.</w:t>
      </w:r>
    </w:p>
    <w:p>
      <w:pPr>
        <w:spacing w:after="32" w:line="245" w:lineRule="auto"/>
        <w:ind w:left="230" w:hanging="230"/>
      </w:pPr>
      <w:r>
        <w:rPr>
          <w:rFonts w:ascii="Arial" w:hAnsi="Arial" w:eastAsia="Arial"/>
          <w:color w:val="1F2937"/>
          <w:sz w:val="19"/>
        </w:rPr>
        <w:t>D. Update the assessment and MSE, clarify current symptoms and safety, confirm communication access and telehealth consent, review medical recommendations and releases for coordination, and determine whether outpatient counseling remains appropriate.</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LPCC-CP1-Q011 | Application | Moderate | WB3 | Primary concept: Culturally responsive goal setting</w:t>
      </w:r>
    </w:p>
    <w:p>
      <w:pPr>
        <w:spacing w:after="60" w:line="247" w:lineRule="auto"/>
        <w:keepNext/>
      </w:pPr>
      <w:r>
        <w:rPr>
          <w:rFonts w:ascii="Arial" w:hAnsi="Arial" w:eastAsia="Arial"/>
          <w:b/>
          <w:color w:val="1F2937"/>
          <w:sz w:val="20"/>
        </w:rPr>
        <w:t>Which treatment-planning response BEST reflects cultural humility?</w:t>
      </w:r>
    </w:p>
    <w:p>
      <w:pPr>
        <w:spacing w:after="32" w:line="245" w:lineRule="auto"/>
        <w:ind w:left="230" w:hanging="230"/>
      </w:pPr>
      <w:r>
        <w:rPr>
          <w:rFonts w:ascii="Arial" w:hAnsi="Arial" w:eastAsia="Arial"/>
          <w:color w:val="1F2937"/>
          <w:sz w:val="19"/>
        </w:rPr>
        <w:t>A. Collaborate with Marisol to define what healing, remembrance, faith, family involvement, and improved functioning mean to her, then translate those values into measurable counseling goals.</w:t>
      </w:r>
    </w:p>
    <w:p>
      <w:pPr>
        <w:spacing w:after="32" w:line="245" w:lineRule="auto"/>
        <w:ind w:left="230" w:hanging="230"/>
      </w:pPr>
      <w:r>
        <w:rPr>
          <w:rFonts w:ascii="Arial" w:hAnsi="Arial" w:eastAsia="Arial"/>
          <w:color w:val="1F2937"/>
          <w:sz w:val="19"/>
        </w:rPr>
        <w:t>B. Explain that successful grief treatment requires emotional detachment from her husband and church.</w:t>
      </w:r>
    </w:p>
    <w:p>
      <w:pPr>
        <w:spacing w:after="32" w:line="245" w:lineRule="auto"/>
        <w:ind w:left="230" w:hanging="230"/>
      </w:pPr>
      <w:r>
        <w:rPr>
          <w:rFonts w:ascii="Arial" w:hAnsi="Arial" w:eastAsia="Arial"/>
          <w:color w:val="1F2937"/>
          <w:sz w:val="19"/>
        </w:rPr>
        <w:t>C. Avoid discussing spiritual values because religion is outside mental health counseling.</w:t>
      </w:r>
    </w:p>
    <w:p>
      <w:pPr>
        <w:spacing w:after="32" w:line="245" w:lineRule="auto"/>
        <w:ind w:left="230" w:hanging="230"/>
      </w:pPr>
      <w:r>
        <w:rPr>
          <w:rFonts w:ascii="Arial" w:hAnsi="Arial" w:eastAsia="Arial"/>
          <w:color w:val="1F2937"/>
          <w:sz w:val="19"/>
        </w:rPr>
        <w:t>D. Ask Rosa to choose goals because she initiated treatment.</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LPCC-CP1-Q012 | Integrated Clinical Reasoning | Difficult | WB3 | Primary concept: Measurement-based assessment</w:t>
      </w:r>
    </w:p>
    <w:p>
      <w:pPr>
        <w:spacing w:after="60" w:line="247" w:lineRule="auto"/>
        <w:keepNext/>
      </w:pPr>
      <w:r>
        <w:rPr>
          <w:rFonts w:ascii="Arial" w:hAnsi="Arial" w:eastAsia="Arial"/>
          <w:b/>
          <w:color w:val="1F2937"/>
          <w:sz w:val="20"/>
        </w:rPr>
        <w:t>How should the counselor use a grief, anxiety, or functioning measure at this stage?</w:t>
      </w:r>
    </w:p>
    <w:p>
      <w:pPr>
        <w:spacing w:after="32" w:line="245" w:lineRule="auto"/>
        <w:ind w:left="230" w:hanging="230"/>
      </w:pPr>
      <w:r>
        <w:rPr>
          <w:rFonts w:ascii="Arial" w:hAnsi="Arial" w:eastAsia="Arial"/>
          <w:color w:val="1F2937"/>
          <w:sz w:val="19"/>
        </w:rPr>
        <w:t>A. Use the score as the sole basis for diagnosis and level of care.</w:t>
      </w:r>
    </w:p>
    <w:p>
      <w:pPr>
        <w:spacing w:after="32" w:line="245" w:lineRule="auto"/>
        <w:ind w:left="230" w:hanging="230"/>
      </w:pPr>
      <w:r>
        <w:rPr>
          <w:rFonts w:ascii="Arial" w:hAnsi="Arial" w:eastAsia="Arial"/>
          <w:color w:val="1F2937"/>
          <w:sz w:val="19"/>
        </w:rPr>
        <w:t>B. Select the English version because standardized measures should never be adapted for language.</w:t>
      </w:r>
    </w:p>
    <w:p>
      <w:pPr>
        <w:spacing w:after="32" w:line="245" w:lineRule="auto"/>
        <w:ind w:left="230" w:hanging="230"/>
      </w:pPr>
      <w:r>
        <w:rPr>
          <w:rFonts w:ascii="Arial" w:hAnsi="Arial" w:eastAsia="Arial"/>
          <w:color w:val="1F2937"/>
          <w:sz w:val="19"/>
        </w:rPr>
        <w:t>C. Choose an appropriate validated version within competence, explain its purpose and limits, establish a baseline, integrate results with interview and medical context, and repeat it when clinically useful to evaluate change.</w:t>
      </w:r>
    </w:p>
    <w:p>
      <w:pPr>
        <w:spacing w:after="32" w:line="245" w:lineRule="auto"/>
        <w:ind w:left="230" w:hanging="230"/>
      </w:pPr>
      <w:r>
        <w:rPr>
          <w:rFonts w:ascii="Arial" w:hAnsi="Arial" w:eastAsia="Arial"/>
          <w:color w:val="1F2937"/>
          <w:sz w:val="19"/>
        </w:rPr>
        <w:t>D. Avoid all measures because Marisol experienced a medical emergency.</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LPCC-CP1-Q013 | Integrated Clinical Reasoning | Difficult | WB2 | Primary concept: Competence and continuity</w:t>
      </w:r>
    </w:p>
    <w:p>
      <w:pPr>
        <w:spacing w:after="60" w:line="247" w:lineRule="auto"/>
        <w:keepNext/>
      </w:pPr>
      <w:r>
        <w:rPr>
          <w:rFonts w:ascii="Arial" w:hAnsi="Arial" w:eastAsia="Arial"/>
          <w:b/>
          <w:color w:val="1F2937"/>
          <w:sz w:val="20"/>
        </w:rPr>
        <w:t>The counselor recognizes limited grief-treatment experience and limited Spanish clinical fluency. What is the BEST response?</w:t>
      </w:r>
    </w:p>
    <w:p>
      <w:pPr>
        <w:spacing w:after="32" w:line="245" w:lineRule="auto"/>
        <w:ind w:left="230" w:hanging="230"/>
      </w:pPr>
      <w:r>
        <w:rPr>
          <w:rFonts w:ascii="Arial" w:hAnsi="Arial" w:eastAsia="Arial"/>
          <w:color w:val="1F2937"/>
          <w:sz w:val="19"/>
        </w:rPr>
        <w:t>A. Continue without consultation because rapport has already formed.</w:t>
      </w:r>
    </w:p>
    <w:p>
      <w:pPr>
        <w:spacing w:after="32" w:line="245" w:lineRule="auto"/>
        <w:ind w:left="230" w:hanging="230"/>
      </w:pPr>
      <w:r>
        <w:rPr>
          <w:rFonts w:ascii="Arial" w:hAnsi="Arial" w:eastAsia="Arial"/>
          <w:color w:val="1F2937"/>
          <w:sz w:val="19"/>
        </w:rPr>
        <w:t>B. Use supervision or consultation to define the competence gap, arrange qualified language access, discuss referral or co-treatment options transparently, and maintain continuity until an appropriate transition is completed if referral is indicated.</w:t>
      </w:r>
    </w:p>
    <w:p>
      <w:pPr>
        <w:spacing w:after="32" w:line="245" w:lineRule="auto"/>
        <w:ind w:left="230" w:hanging="230"/>
      </w:pPr>
      <w:r>
        <w:rPr>
          <w:rFonts w:ascii="Arial" w:hAnsi="Arial" w:eastAsia="Arial"/>
          <w:color w:val="1F2937"/>
          <w:sz w:val="19"/>
        </w:rPr>
        <w:t>C. End services immediately by email to avoid practicing beyond competence.</w:t>
      </w:r>
    </w:p>
    <w:p>
      <w:pPr>
        <w:spacing w:after="32" w:line="245" w:lineRule="auto"/>
        <w:ind w:left="230" w:hanging="230"/>
      </w:pPr>
      <w:r>
        <w:rPr>
          <w:rFonts w:ascii="Arial" w:hAnsi="Arial" w:eastAsia="Arial"/>
          <w:color w:val="1F2937"/>
          <w:sz w:val="19"/>
        </w:rPr>
        <w:t>D. Ask Rosa to provide both interpretation and treatment recommendations.</w:t>
      </w:r>
    </w:p>
    <w:p>
      <w:pPr>
        <w:spacing w:after="40"/>
      </w:pPr>
      <w:r>
        <w:rPr>
          <w:rFonts w:ascii="Arial" w:hAnsi="Arial" w:eastAsia="Arial"/>
          <w:i/>
          <w:color w:val="4E5B6B"/>
          <w:sz w:val="18"/>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rPr>
          <w:cantSplit/>
        </w:trPr>
        <w:tc>
          <w:tcPr>
            <w:tcW w:type="dxa" w:w="1944"/>
            <w:shd w:fill="C6922F"/>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CASE 2</w:t>
            </w:r>
          </w:p>
        </w:tc>
        <w:tc>
          <w:tcPr>
            <w:tcW w:type="dxa" w:w="8568"/>
            <w:shd w:fill="17365D"/>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Avery Chen - Access, Identity, and Competence</w:t>
            </w:r>
          </w:p>
        </w:tc>
      </w:tr>
      <w:tr>
        <w:trPr>
          <w:cantSplit/>
        </w:trPr>
        <w:tc>
          <w:tcPr>
            <w:tcW w:type="dxa" w:w="1944"/>
            <w:shd w:fill="159C9C"/>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4"/>
              </w:rPr>
              <w:t>PART 1</w:t>
            </w:r>
          </w:p>
        </w:tc>
        <w:tc>
          <w:tcPr>
            <w:tcW w:type="dxa" w:w="8568"/>
            <w:shd w:fill="E7F3F3"/>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17365D"/>
                <w:sz w:val="22"/>
              </w:rPr>
              <w:t>Initial college counseling intake</w:t>
            </w:r>
          </w:p>
        </w:tc>
      </w:tr>
    </w:tbl>
    <w:p>
      <w:pPr>
        <w:spacing w:before="140" w:after="120" w:line="254" w:lineRule="auto"/>
      </w:pPr>
      <w:r>
        <w:rPr>
          <w:rFonts w:ascii="Arial" w:hAnsi="Arial" w:eastAsia="Arial"/>
          <w:b w:val="0"/>
          <w:i w:val="0"/>
          <w:color w:val="1F2937"/>
          <w:sz w:val="21"/>
        </w:rPr>
        <w:t>Avery Chen, age 20, is a nonbinary Deaf college student meeting with an APCC at a campus counseling clinic. Avery’s primary language is American Sign Language and they request a qualified ASL interpreter, explaining that written English is tiring and incomplete for complex topics. The clinic scheduled Avery’s cousin, Mei, to interpret because no other interpreter was immediately available. Avery reports panic in crowded classrooms, repeated harassment related to gender identity and deafness, and nightmares after an assault last year. The APCC has completed general trauma coursework but has little supervised experience with Deaf clients and no supervised experience delivering trauma-focused protocols. The APCC’s supervisor is available.</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NO-RETURN SIMULATION</w:t>
            </w:r>
          </w:p>
          <w:p>
            <w:pPr>
              <w:spacing w:after="20" w:line="250" w:lineRule="auto"/>
            </w:pPr>
            <w:r>
              <w:rPr>
                <w:rFonts w:ascii="Arial" w:hAnsi="Arial" w:eastAsia="Arial"/>
                <w:color w:val="1F2937"/>
                <w:sz w:val="18"/>
              </w:rPr>
              <w:t>Complete every question in this section before continuing. After you move to the next part, do not revise earlier responses.</w:t>
            </w:r>
          </w:p>
        </w:tc>
      </w:tr>
    </w:tbl>
    <w:p>
      <w:pPr>
        <w:spacing w:after="0"/>
      </w:pPr>
    </w:p>
    <w:p>
      <w:pPr>
        <w:spacing w:before="100" w:after="40"/>
        <w:keepNext/>
      </w:pPr>
      <w:r>
        <w:rPr>
          <w:rFonts w:ascii="Arial" w:hAnsi="Arial" w:eastAsia="Arial"/>
          <w:b/>
          <w:color w:val="1F7A8C"/>
          <w:sz w:val="17"/>
        </w:rPr>
        <w:t>LPCC-CP1-Q014 | Knowledge &amp; Application | Easy | WB2/WB3 | Primary concept: Disability accommodation and effective communication</w:t>
      </w:r>
    </w:p>
    <w:p>
      <w:pPr>
        <w:spacing w:after="60" w:line="247" w:lineRule="auto"/>
        <w:keepNext/>
      </w:pPr>
      <w:r>
        <w:rPr>
          <w:rFonts w:ascii="Arial" w:hAnsi="Arial" w:eastAsia="Arial"/>
          <w:b/>
          <w:color w:val="1F2937"/>
          <w:sz w:val="20"/>
        </w:rPr>
        <w:t>What is the BEST initial response to Avery’s request for ASL access?</w:t>
      </w:r>
    </w:p>
    <w:p>
      <w:pPr>
        <w:spacing w:after="32" w:line="245" w:lineRule="auto"/>
        <w:ind w:left="230" w:hanging="230"/>
      </w:pPr>
      <w:r>
        <w:rPr>
          <w:rFonts w:ascii="Arial" w:hAnsi="Arial" w:eastAsia="Arial"/>
          <w:color w:val="1F2937"/>
          <w:sz w:val="19"/>
        </w:rPr>
        <w:t>A. Use written English for the entire assessment because it is cheaper and creates a record.</w:t>
      </w:r>
    </w:p>
    <w:p>
      <w:pPr>
        <w:spacing w:after="32" w:line="245" w:lineRule="auto"/>
        <w:ind w:left="230" w:hanging="230"/>
      </w:pPr>
      <w:r>
        <w:rPr>
          <w:rFonts w:ascii="Arial" w:hAnsi="Arial" w:eastAsia="Arial"/>
          <w:color w:val="1F2937"/>
          <w:sz w:val="19"/>
        </w:rPr>
        <w:t>B. Ask Avery’s cousin to interpret because a familiar person reduces anxiety.</w:t>
      </w:r>
    </w:p>
    <w:p>
      <w:pPr>
        <w:spacing w:after="32" w:line="245" w:lineRule="auto"/>
        <w:ind w:left="230" w:hanging="230"/>
      </w:pPr>
      <w:r>
        <w:rPr>
          <w:rFonts w:ascii="Arial" w:hAnsi="Arial" w:eastAsia="Arial"/>
          <w:color w:val="1F2937"/>
          <w:sz w:val="19"/>
        </w:rPr>
        <w:t>C. Postpone services indefinitely until the agency hires a Deaf clinician.</w:t>
      </w:r>
    </w:p>
    <w:p>
      <w:pPr>
        <w:spacing w:after="32" w:line="245" w:lineRule="auto"/>
        <w:ind w:left="230" w:hanging="230"/>
      </w:pPr>
      <w:r>
        <w:rPr>
          <w:rFonts w:ascii="Arial" w:hAnsi="Arial" w:eastAsia="Arial"/>
          <w:color w:val="1F2937"/>
          <w:sz w:val="19"/>
        </w:rPr>
        <w:t>D. Ask Avery which effective communication method is preferred and arrange a qualified interpreter or appropriate accessible service for the complex counseling interaction rather than defaulting to a family member.</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LPCC-CP1-Q015 | Knowledge &amp; Application | Easy | WB2/WB3 | Primary concept: APCC status disclosure</w:t>
      </w:r>
    </w:p>
    <w:p>
      <w:pPr>
        <w:spacing w:after="60" w:line="247" w:lineRule="auto"/>
        <w:keepNext/>
      </w:pPr>
      <w:r>
        <w:rPr>
          <w:rFonts w:ascii="Arial" w:hAnsi="Arial" w:eastAsia="Arial"/>
          <w:b/>
          <w:color w:val="1F2937"/>
          <w:sz w:val="20"/>
        </w:rPr>
        <w:t>Which disclosure is required before the APCC provides professional services?</w:t>
      </w:r>
    </w:p>
    <w:p>
      <w:pPr>
        <w:spacing w:after="32" w:line="245" w:lineRule="auto"/>
        <w:ind w:left="230" w:hanging="230"/>
      </w:pPr>
      <w:r>
        <w:rPr>
          <w:rFonts w:ascii="Arial" w:hAnsi="Arial" w:eastAsia="Arial"/>
          <w:color w:val="1F2937"/>
          <w:sz w:val="19"/>
        </w:rPr>
        <w:t>A. Inform Avery that the counselor is unlicensed and practicing under supervision, explain the supervisor’s role and relevant confidentiality implications, and complete the broader informed-consent process in an accessible format.</w:t>
      </w:r>
    </w:p>
    <w:p>
      <w:pPr>
        <w:spacing w:after="32" w:line="245" w:lineRule="auto"/>
        <w:ind w:left="230" w:hanging="230"/>
      </w:pPr>
      <w:r>
        <w:rPr>
          <w:rFonts w:ascii="Arial" w:hAnsi="Arial" w:eastAsia="Arial"/>
          <w:color w:val="1F2937"/>
          <w:sz w:val="19"/>
        </w:rPr>
        <w:t>B. State only that the clinic employs licensed professionals.</w:t>
      </w:r>
    </w:p>
    <w:p>
      <w:pPr>
        <w:spacing w:after="32" w:line="245" w:lineRule="auto"/>
        <w:ind w:left="230" w:hanging="230"/>
      </w:pPr>
      <w:r>
        <w:rPr>
          <w:rFonts w:ascii="Arial" w:hAnsi="Arial" w:eastAsia="Arial"/>
          <w:color w:val="1F2937"/>
          <w:sz w:val="19"/>
        </w:rPr>
        <w:t>C. Wait until Avery asks about credentials.</w:t>
      </w:r>
    </w:p>
    <w:p>
      <w:pPr>
        <w:spacing w:after="32" w:line="245" w:lineRule="auto"/>
        <w:ind w:left="230" w:hanging="230"/>
      </w:pPr>
      <w:r>
        <w:rPr>
          <w:rFonts w:ascii="Arial" w:hAnsi="Arial" w:eastAsia="Arial"/>
          <w:color w:val="1F2937"/>
          <w:sz w:val="19"/>
        </w:rPr>
        <w:t>D. Describe the APCC as an independently licensed counselor because the supervisor reviews notes.</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LPCC-CP1-Q016 | Application | Moderate | WB2 | Primary concept: Competence and supervision</w:t>
      </w:r>
    </w:p>
    <w:p>
      <w:pPr>
        <w:spacing w:after="60" w:line="247" w:lineRule="auto"/>
        <w:keepNext/>
      </w:pPr>
      <w:r>
        <w:rPr>
          <w:rFonts w:ascii="Arial" w:hAnsi="Arial" w:eastAsia="Arial"/>
          <w:b/>
          <w:color w:val="1F2937"/>
          <w:sz w:val="20"/>
        </w:rPr>
        <w:t>Given the APCC’s limited experience with Deaf clients and trauma-focused protocols, what should the counselor do?</w:t>
      </w:r>
    </w:p>
    <w:p>
      <w:pPr>
        <w:spacing w:after="32" w:line="245" w:lineRule="auto"/>
        <w:ind w:left="230" w:hanging="230"/>
      </w:pPr>
      <w:r>
        <w:rPr>
          <w:rFonts w:ascii="Arial" w:hAnsi="Arial" w:eastAsia="Arial"/>
          <w:color w:val="1F2937"/>
          <w:sz w:val="19"/>
        </w:rPr>
        <w:t>A. Proceed independently because coursework establishes competence for every client population.</w:t>
      </w:r>
    </w:p>
    <w:p>
      <w:pPr>
        <w:spacing w:after="32" w:line="245" w:lineRule="auto"/>
        <w:ind w:left="230" w:hanging="230"/>
      </w:pPr>
      <w:r>
        <w:rPr>
          <w:rFonts w:ascii="Arial" w:hAnsi="Arial" w:eastAsia="Arial"/>
          <w:color w:val="1F2937"/>
          <w:sz w:val="19"/>
        </w:rPr>
        <w:t>B. Refuse all counseling because any competence gap requires immediate termination.</w:t>
      </w:r>
    </w:p>
    <w:p>
      <w:pPr>
        <w:spacing w:after="32" w:line="245" w:lineRule="auto"/>
        <w:ind w:left="230" w:hanging="230"/>
      </w:pPr>
      <w:r>
        <w:rPr>
          <w:rFonts w:ascii="Arial" w:hAnsi="Arial" w:eastAsia="Arial"/>
          <w:color w:val="1F2937"/>
          <w:sz w:val="19"/>
        </w:rPr>
        <w:t>C. Consult the supervisor promptly, assess which services can be provided safely, obtain relevant training or consultation, arrange accessible referral or co-treatment when needed, and preserve continuity and client choice.</w:t>
      </w:r>
    </w:p>
    <w:p>
      <w:pPr>
        <w:spacing w:after="32" w:line="245" w:lineRule="auto"/>
        <w:ind w:left="230" w:hanging="230"/>
      </w:pPr>
      <w:r>
        <w:rPr>
          <w:rFonts w:ascii="Arial" w:hAnsi="Arial" w:eastAsia="Arial"/>
          <w:color w:val="1F2937"/>
          <w:sz w:val="19"/>
        </w:rPr>
        <w:t>D. Ask the interpreter to direct the clinical plan.</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LPCC-CP1-Q017 | Application | Moderate | WB3 | Primary concept: Cultural formulation</w:t>
      </w:r>
    </w:p>
    <w:p>
      <w:pPr>
        <w:spacing w:after="60" w:line="247" w:lineRule="auto"/>
        <w:keepNext/>
      </w:pPr>
      <w:r>
        <w:rPr>
          <w:rFonts w:ascii="Arial" w:hAnsi="Arial" w:eastAsia="Arial"/>
          <w:b/>
          <w:color w:val="1F2937"/>
          <w:sz w:val="20"/>
        </w:rPr>
        <w:t>Which question BEST advances a culturally responsive formulation?</w:t>
      </w:r>
    </w:p>
    <w:p>
      <w:pPr>
        <w:spacing w:after="32" w:line="245" w:lineRule="auto"/>
        <w:ind w:left="230" w:hanging="230"/>
      </w:pPr>
      <w:r>
        <w:rPr>
          <w:rFonts w:ascii="Arial" w:hAnsi="Arial" w:eastAsia="Arial"/>
          <w:color w:val="1F2937"/>
          <w:sz w:val="19"/>
        </w:rPr>
        <w:t>A. “Do Deaf people usually avoid crowded classrooms?”</w:t>
      </w:r>
    </w:p>
    <w:p>
      <w:pPr>
        <w:spacing w:after="32" w:line="245" w:lineRule="auto"/>
        <w:ind w:left="230" w:hanging="230"/>
      </w:pPr>
      <w:r>
        <w:rPr>
          <w:rFonts w:ascii="Arial" w:hAnsi="Arial" w:eastAsia="Arial"/>
          <w:color w:val="1F2937"/>
          <w:sz w:val="19"/>
        </w:rPr>
        <w:t>B. “How do your Deaf identity, gender identity, experiences of harassment, communication access, family and community relationships, and personal strengths shape what is happening and what would make counseling useful?”</w:t>
      </w:r>
    </w:p>
    <w:p>
      <w:pPr>
        <w:spacing w:after="32" w:line="245" w:lineRule="auto"/>
        <w:ind w:left="230" w:hanging="230"/>
      </w:pPr>
      <w:r>
        <w:rPr>
          <w:rFonts w:ascii="Arial" w:hAnsi="Arial" w:eastAsia="Arial"/>
          <w:color w:val="1F2937"/>
          <w:sz w:val="19"/>
        </w:rPr>
        <w:t>C. “Which identity causes the most symptoms?”</w:t>
      </w:r>
    </w:p>
    <w:p>
      <w:pPr>
        <w:spacing w:after="32" w:line="245" w:lineRule="auto"/>
        <w:ind w:left="230" w:hanging="230"/>
      </w:pPr>
      <w:r>
        <w:rPr>
          <w:rFonts w:ascii="Arial" w:hAnsi="Arial" w:eastAsia="Arial"/>
          <w:color w:val="1F2937"/>
          <w:sz w:val="19"/>
        </w:rPr>
        <w:t>D. “Would you prefer that we avoid identity topics and focus only on panic?”</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LPCC-CP1-Q018 | Knowledge &amp; Application | Easy | WB3 | Primary concept: Screening versus diagnosis</w:t>
      </w:r>
    </w:p>
    <w:p>
      <w:pPr>
        <w:spacing w:after="60" w:line="247" w:lineRule="auto"/>
        <w:keepNext/>
      </w:pPr>
      <w:r>
        <w:rPr>
          <w:rFonts w:ascii="Arial" w:hAnsi="Arial" w:eastAsia="Arial"/>
          <w:b/>
          <w:color w:val="1F2937"/>
          <w:sz w:val="20"/>
        </w:rPr>
        <w:t>Avery scores above cutoff on brief trauma and panic screens. What is the MOST accurate interpretation?</w:t>
      </w:r>
    </w:p>
    <w:p>
      <w:pPr>
        <w:spacing w:after="32" w:line="245" w:lineRule="auto"/>
        <w:ind w:left="230" w:hanging="230"/>
      </w:pPr>
      <w:r>
        <w:rPr>
          <w:rFonts w:ascii="Arial" w:hAnsi="Arial" w:eastAsia="Arial"/>
          <w:color w:val="1F2937"/>
          <w:sz w:val="19"/>
        </w:rPr>
        <w:t>A. The scores prove posttraumatic stress disorder and panic disorder.</w:t>
      </w:r>
    </w:p>
    <w:p>
      <w:pPr>
        <w:spacing w:after="32" w:line="245" w:lineRule="auto"/>
        <w:ind w:left="230" w:hanging="230"/>
      </w:pPr>
      <w:r>
        <w:rPr>
          <w:rFonts w:ascii="Arial" w:hAnsi="Arial" w:eastAsia="Arial"/>
          <w:color w:val="1F2937"/>
          <w:sz w:val="19"/>
        </w:rPr>
        <w:t>B. The scores determine that inpatient care is required.</w:t>
      </w:r>
    </w:p>
    <w:p>
      <w:pPr>
        <w:spacing w:after="32" w:line="245" w:lineRule="auto"/>
        <w:ind w:left="230" w:hanging="230"/>
      </w:pPr>
      <w:r>
        <w:rPr>
          <w:rFonts w:ascii="Arial" w:hAnsi="Arial" w:eastAsia="Arial"/>
          <w:color w:val="1F2937"/>
          <w:sz w:val="19"/>
        </w:rPr>
        <w:t>C. The scores indicate the need for a fuller accessible assessment of symptoms, duration, impairment, differential explanations, risk, context, and co-occurring concerns; they do not independently establish diagnosis or level of care.</w:t>
      </w:r>
    </w:p>
    <w:p>
      <w:pPr>
        <w:spacing w:after="32" w:line="245" w:lineRule="auto"/>
        <w:ind w:left="230" w:hanging="230"/>
      </w:pPr>
      <w:r>
        <w:rPr>
          <w:rFonts w:ascii="Arial" w:hAnsi="Arial" w:eastAsia="Arial"/>
          <w:color w:val="1F2937"/>
          <w:sz w:val="19"/>
        </w:rPr>
        <w:t>D. The scores are invalid because an interpreter was used.</w:t>
      </w:r>
    </w:p>
    <w:p>
      <w:pPr>
        <w:spacing w:after="40"/>
      </w:pPr>
      <w:r>
        <w:rPr>
          <w:rFonts w:ascii="Arial" w:hAnsi="Arial" w:eastAsia="Arial"/>
          <w:i/>
          <w:color w:val="4E5B6B"/>
          <w:sz w:val="18"/>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rPr>
          <w:cantSplit/>
        </w:trPr>
        <w:tc>
          <w:tcPr>
            <w:tcW w:type="dxa" w:w="1944"/>
            <w:shd w:fill="C6922F"/>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CASE 2</w:t>
            </w:r>
          </w:p>
        </w:tc>
        <w:tc>
          <w:tcPr>
            <w:tcW w:type="dxa" w:w="8568"/>
            <w:shd w:fill="17365D"/>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Avery Chen - Access, Identity, and Competence</w:t>
            </w:r>
          </w:p>
        </w:tc>
      </w:tr>
      <w:tr>
        <w:trPr>
          <w:cantSplit/>
        </w:trPr>
        <w:tc>
          <w:tcPr>
            <w:tcW w:type="dxa" w:w="1944"/>
            <w:shd w:fill="159C9C"/>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4"/>
              </w:rPr>
              <w:t>PART 2</w:t>
            </w:r>
          </w:p>
        </w:tc>
        <w:tc>
          <w:tcPr>
            <w:tcW w:type="dxa" w:w="8568"/>
            <w:shd w:fill="E7F3F3"/>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17365D"/>
                <w:sz w:val="22"/>
              </w:rPr>
              <w:t>Risk information emerges</w:t>
            </w:r>
          </w:p>
        </w:tc>
      </w:tr>
    </w:tbl>
    <w:p>
      <w:pPr>
        <w:spacing w:before="140" w:after="120" w:line="254" w:lineRule="auto"/>
      </w:pPr>
      <w:r>
        <w:rPr>
          <w:rFonts w:ascii="Arial" w:hAnsi="Arial" w:eastAsia="Arial"/>
          <w:b w:val="0"/>
          <w:i w:val="0"/>
          <w:color w:val="1F2937"/>
          <w:sz w:val="21"/>
        </w:rPr>
        <w:t>After a qualified interpreter joins the session, Avery states, “Sometimes after the harassment I wish I could disappear.” Avery denies a current plan or intent to die. They report one recent episode of hitting their thigh hard to interrupt a panic episode. Avery has no access to firearms, identifies a supportive roommate, and is willing to discuss immediate safety and follow-up.</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NO-RETURN SIMULATION</w:t>
            </w:r>
          </w:p>
          <w:p>
            <w:pPr>
              <w:spacing w:after="20" w:line="250" w:lineRule="auto"/>
            </w:pPr>
            <w:r>
              <w:rPr>
                <w:rFonts w:ascii="Arial" w:hAnsi="Arial" w:eastAsia="Arial"/>
                <w:color w:val="1F2937"/>
                <w:sz w:val="18"/>
              </w:rPr>
              <w:t>Complete every question in this section before continuing. After you move to the next part, do not revise earlier responses.</w:t>
            </w:r>
          </w:p>
        </w:tc>
      </w:tr>
    </w:tbl>
    <w:p>
      <w:pPr>
        <w:spacing w:after="0"/>
      </w:pPr>
    </w:p>
    <w:p>
      <w:pPr>
        <w:spacing w:before="100" w:after="40"/>
        <w:keepNext/>
      </w:pPr>
      <w:r>
        <w:rPr>
          <w:rFonts w:ascii="Arial" w:hAnsi="Arial" w:eastAsia="Arial"/>
          <w:b/>
          <w:color w:val="1F7A8C"/>
          <w:sz w:val="17"/>
        </w:rPr>
        <w:t>LPCC-CP1-Q019 | Application | Moderate | WB4 | Primary concept: Focused suicide-risk assessment</w:t>
      </w:r>
    </w:p>
    <w:p>
      <w:pPr>
        <w:spacing w:after="60" w:line="247" w:lineRule="auto"/>
        <w:keepNext/>
      </w:pPr>
      <w:r>
        <w:rPr>
          <w:rFonts w:ascii="Arial" w:hAnsi="Arial" w:eastAsia="Arial"/>
          <w:b/>
          <w:color w:val="1F2937"/>
          <w:sz w:val="20"/>
        </w:rPr>
        <w:t>What should the counselor do FIRST after Avery says, “Sometimes I wish I could disappear”?</w:t>
      </w:r>
    </w:p>
    <w:p>
      <w:pPr>
        <w:spacing w:after="32" w:line="245" w:lineRule="auto"/>
        <w:ind w:left="230" w:hanging="230"/>
      </w:pPr>
      <w:r>
        <w:rPr>
          <w:rFonts w:ascii="Arial" w:hAnsi="Arial" w:eastAsia="Arial"/>
          <w:color w:val="1F2937"/>
          <w:sz w:val="19"/>
        </w:rPr>
        <w:t>A. Conduct a direct, accessible suicide-risk assessment addressing current thoughts, intent, plan, preparation, past behavior, access to means, recent changes, protective factors, supports, and ability to collaborate on safety.</w:t>
      </w:r>
    </w:p>
    <w:p>
      <w:pPr>
        <w:spacing w:after="32" w:line="245" w:lineRule="auto"/>
        <w:ind w:left="230" w:hanging="230"/>
      </w:pPr>
      <w:r>
        <w:rPr>
          <w:rFonts w:ascii="Arial" w:hAnsi="Arial" w:eastAsia="Arial"/>
          <w:color w:val="1F2937"/>
          <w:sz w:val="19"/>
        </w:rPr>
        <w:t>B. Assume the statement is figurative because Avery denies a plan.</w:t>
      </w:r>
    </w:p>
    <w:p>
      <w:pPr>
        <w:spacing w:after="32" w:line="245" w:lineRule="auto"/>
        <w:ind w:left="230" w:hanging="230"/>
      </w:pPr>
      <w:r>
        <w:rPr>
          <w:rFonts w:ascii="Arial" w:hAnsi="Arial" w:eastAsia="Arial"/>
          <w:color w:val="1F2937"/>
          <w:sz w:val="19"/>
        </w:rPr>
        <w:t>C. Ask the roommate to decide whether Avery is safe.</w:t>
      </w:r>
    </w:p>
    <w:p>
      <w:pPr>
        <w:spacing w:after="32" w:line="245" w:lineRule="auto"/>
        <w:ind w:left="230" w:hanging="230"/>
      </w:pPr>
      <w:r>
        <w:rPr>
          <w:rFonts w:ascii="Arial" w:hAnsi="Arial" w:eastAsia="Arial"/>
          <w:color w:val="1F2937"/>
          <w:sz w:val="19"/>
        </w:rPr>
        <w:t>D. Begin trauma processing to reduce the underlying distress.</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LPCC-CP1-Q020 | Application | Moderate | WB4 | Primary concept: Nonsuicidal self-injury assessment</w:t>
      </w:r>
    </w:p>
    <w:p>
      <w:pPr>
        <w:spacing w:after="60" w:line="247" w:lineRule="auto"/>
        <w:keepNext/>
      </w:pPr>
      <w:r>
        <w:rPr>
          <w:rFonts w:ascii="Arial" w:hAnsi="Arial" w:eastAsia="Arial"/>
          <w:b/>
          <w:color w:val="1F2937"/>
          <w:sz w:val="20"/>
        </w:rPr>
        <w:t>How should the counselor interpret Avery’s report of hitting their thigh to interrupt panic?</w:t>
      </w:r>
    </w:p>
    <w:p>
      <w:pPr>
        <w:spacing w:after="32" w:line="245" w:lineRule="auto"/>
        <w:ind w:left="230" w:hanging="230"/>
      </w:pPr>
      <w:r>
        <w:rPr>
          <w:rFonts w:ascii="Arial" w:hAnsi="Arial" w:eastAsia="Arial"/>
          <w:color w:val="1F2937"/>
          <w:sz w:val="19"/>
        </w:rPr>
        <w:t>A. Treat it as proof of a suicide attempt.</w:t>
      </w:r>
    </w:p>
    <w:p>
      <w:pPr>
        <w:spacing w:after="32" w:line="245" w:lineRule="auto"/>
        <w:ind w:left="230" w:hanging="230"/>
      </w:pPr>
      <w:r>
        <w:rPr>
          <w:rFonts w:ascii="Arial" w:hAnsi="Arial" w:eastAsia="Arial"/>
          <w:color w:val="1F2937"/>
          <w:sz w:val="19"/>
        </w:rPr>
        <w:t>B. Ignore it because no tissue damage was reported.</w:t>
      </w:r>
    </w:p>
    <w:p>
      <w:pPr>
        <w:spacing w:after="32" w:line="245" w:lineRule="auto"/>
        <w:ind w:left="230" w:hanging="230"/>
      </w:pPr>
      <w:r>
        <w:rPr>
          <w:rFonts w:ascii="Arial" w:hAnsi="Arial" w:eastAsia="Arial"/>
          <w:color w:val="1F2937"/>
          <w:sz w:val="19"/>
        </w:rPr>
        <w:t>C. Assess the behavior’s function, frequency, severity, escalation, medical consequences, triggers, suicidal intent, co-occurring suicidal thoughts, and alternatives while integrating it into the overall risk formulation.</w:t>
      </w:r>
    </w:p>
    <w:p>
      <w:pPr>
        <w:spacing w:after="32" w:line="245" w:lineRule="auto"/>
        <w:ind w:left="230" w:hanging="230"/>
      </w:pPr>
      <w:r>
        <w:rPr>
          <w:rFonts w:ascii="Arial" w:hAnsi="Arial" w:eastAsia="Arial"/>
          <w:color w:val="1F2937"/>
          <w:sz w:val="19"/>
        </w:rPr>
        <w:t>D. Diagnose a personality disorder based on the behavior.</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LPCC-CP1-Q021 | Integrated Clinical Reasoning | Difficult | WB1/WB4 | Primary concept: Outpatient versus emergency level of care</w:t>
      </w:r>
    </w:p>
    <w:p>
      <w:pPr>
        <w:spacing w:after="60" w:line="247" w:lineRule="auto"/>
        <w:keepNext/>
      </w:pPr>
      <w:r>
        <w:rPr>
          <w:rFonts w:ascii="Arial" w:hAnsi="Arial" w:eastAsia="Arial"/>
          <w:b/>
          <w:color w:val="1F2937"/>
          <w:sz w:val="20"/>
        </w:rPr>
        <w:t>After assessment, Avery denies current intent and plan, has no access to lethal means, agrees to involve a supportive roommate, can use coping steps, and commits to an urgent follow-up. Which disposition is BEST supported by the current facts?</w:t>
      </w:r>
    </w:p>
    <w:p>
      <w:pPr>
        <w:spacing w:after="32" w:line="245" w:lineRule="auto"/>
        <w:ind w:left="230" w:hanging="230"/>
      </w:pPr>
      <w:r>
        <w:rPr>
          <w:rFonts w:ascii="Arial" w:hAnsi="Arial" w:eastAsia="Arial"/>
          <w:color w:val="1F2937"/>
          <w:sz w:val="19"/>
        </w:rPr>
        <w:t>A. Automatic involuntary detention because any death wish requires hospitalization.</w:t>
      </w:r>
    </w:p>
    <w:p>
      <w:pPr>
        <w:spacing w:after="32" w:line="245" w:lineRule="auto"/>
        <w:ind w:left="230" w:hanging="230"/>
      </w:pPr>
      <w:r>
        <w:rPr>
          <w:rFonts w:ascii="Arial" w:hAnsi="Arial" w:eastAsia="Arial"/>
          <w:color w:val="1F2937"/>
          <w:sz w:val="19"/>
        </w:rPr>
        <w:t>B. A collaborative outpatient safety plan with specific supports, means-safety review, clear escalation instructions, close follow-up, and reassessment, while remaining ready to escalate if new risk information emerges.</w:t>
      </w:r>
    </w:p>
    <w:p>
      <w:pPr>
        <w:spacing w:after="32" w:line="245" w:lineRule="auto"/>
        <w:ind w:left="230" w:hanging="230"/>
      </w:pPr>
      <w:r>
        <w:rPr>
          <w:rFonts w:ascii="Arial" w:hAnsi="Arial" w:eastAsia="Arial"/>
          <w:color w:val="1F2937"/>
          <w:sz w:val="19"/>
        </w:rPr>
        <w:t>C. Routine monthly therapy with no safety plan because Avery denied intent.</w:t>
      </w:r>
    </w:p>
    <w:p>
      <w:pPr>
        <w:spacing w:after="32" w:line="245" w:lineRule="auto"/>
        <w:ind w:left="230" w:hanging="230"/>
      </w:pPr>
      <w:r>
        <w:rPr>
          <w:rFonts w:ascii="Arial" w:hAnsi="Arial" w:eastAsia="Arial"/>
          <w:color w:val="1F2937"/>
          <w:sz w:val="19"/>
        </w:rPr>
        <w:t>D. Immediate trauma exposure during the same session.</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LPCC-CP1-Q022 | Application | Moderate | WB3/WB4 | Primary concept: Contextual and objective documentation</w:t>
      </w:r>
    </w:p>
    <w:p>
      <w:pPr>
        <w:spacing w:after="60" w:line="247" w:lineRule="auto"/>
        <w:keepNext/>
      </w:pPr>
      <w:r>
        <w:rPr>
          <w:rFonts w:ascii="Arial" w:hAnsi="Arial" w:eastAsia="Arial"/>
          <w:b/>
          <w:color w:val="1F2937"/>
          <w:sz w:val="20"/>
        </w:rPr>
        <w:t>Which note BEST documents this session?</w:t>
      </w:r>
    </w:p>
    <w:p>
      <w:pPr>
        <w:spacing w:after="32" w:line="245" w:lineRule="auto"/>
        <w:ind w:left="230" w:hanging="230"/>
      </w:pPr>
      <w:r>
        <w:rPr>
          <w:rFonts w:ascii="Arial" w:hAnsi="Arial" w:eastAsia="Arial"/>
          <w:color w:val="1F2937"/>
          <w:sz w:val="19"/>
        </w:rPr>
        <w:t>A. “Avery was dramatic about harassment and probably wanted attention.”</w:t>
      </w:r>
    </w:p>
    <w:p>
      <w:pPr>
        <w:spacing w:after="32" w:line="245" w:lineRule="auto"/>
        <w:ind w:left="230" w:hanging="230"/>
      </w:pPr>
      <w:r>
        <w:rPr>
          <w:rFonts w:ascii="Arial" w:hAnsi="Arial" w:eastAsia="Arial"/>
          <w:color w:val="1F2937"/>
          <w:sz w:val="19"/>
        </w:rPr>
        <w:t>B. “Client is low risk because they denied a plan.”</w:t>
      </w:r>
    </w:p>
    <w:p>
      <w:pPr>
        <w:spacing w:after="32" w:line="245" w:lineRule="auto"/>
        <w:ind w:left="230" w:hanging="230"/>
      </w:pPr>
      <w:r>
        <w:rPr>
          <w:rFonts w:ascii="Arial" w:hAnsi="Arial" w:eastAsia="Arial"/>
          <w:color w:val="1F2937"/>
          <w:sz w:val="19"/>
        </w:rPr>
        <w:t>C. “Client has PTSD and panic disorder based on screening scores.”</w:t>
      </w:r>
    </w:p>
    <w:p>
      <w:pPr>
        <w:spacing w:after="32" w:line="245" w:lineRule="auto"/>
        <w:ind w:left="230" w:hanging="230"/>
      </w:pPr>
      <w:r>
        <w:rPr>
          <w:rFonts w:ascii="Arial" w:hAnsi="Arial" w:eastAsia="Arial"/>
          <w:color w:val="1F2937"/>
          <w:sz w:val="19"/>
        </w:rPr>
        <w:t>D. Document Avery’s statements and relevant quotes, communication accommodation and interpreter involvement, observed MSE findings, harassment context, suicide and self-injury assessment findings, protective factors, consultations, safety plan, level-of-care rationale, and follow-up arrangements.</w:t>
      </w:r>
    </w:p>
    <w:p>
      <w:pPr>
        <w:spacing w:after="40"/>
      </w:pPr>
      <w:r>
        <w:rPr>
          <w:rFonts w:ascii="Arial" w:hAnsi="Arial" w:eastAsia="Arial"/>
          <w:i/>
          <w:color w:val="4E5B6B"/>
          <w:sz w:val="18"/>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rPr>
          <w:cantSplit/>
        </w:trPr>
        <w:tc>
          <w:tcPr>
            <w:tcW w:type="dxa" w:w="1944"/>
            <w:shd w:fill="C6922F"/>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CASE 2</w:t>
            </w:r>
          </w:p>
        </w:tc>
        <w:tc>
          <w:tcPr>
            <w:tcW w:type="dxa" w:w="8568"/>
            <w:shd w:fill="17365D"/>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Avery Chen - Access, Identity, and Competence</w:t>
            </w:r>
          </w:p>
        </w:tc>
      </w:tr>
      <w:tr>
        <w:trPr>
          <w:cantSplit/>
        </w:trPr>
        <w:tc>
          <w:tcPr>
            <w:tcW w:type="dxa" w:w="1944"/>
            <w:shd w:fill="159C9C"/>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4"/>
              </w:rPr>
              <w:t>PART 3</w:t>
            </w:r>
          </w:p>
        </w:tc>
        <w:tc>
          <w:tcPr>
            <w:tcW w:type="dxa" w:w="8568"/>
            <w:shd w:fill="E7F3F3"/>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17365D"/>
                <w:sz w:val="22"/>
              </w:rPr>
              <w:t>Treatment request and counselor reaction</w:t>
            </w:r>
          </w:p>
        </w:tc>
      </w:tr>
    </w:tbl>
    <w:p>
      <w:pPr>
        <w:spacing w:before="140" w:after="120" w:line="254" w:lineRule="auto"/>
      </w:pPr>
      <w:r>
        <w:rPr>
          <w:rFonts w:ascii="Arial" w:hAnsi="Arial" w:eastAsia="Arial"/>
          <w:b w:val="0"/>
          <w:i w:val="0"/>
          <w:color w:val="1F2937"/>
          <w:sz w:val="21"/>
        </w:rPr>
        <w:t>At the next session, Avery asks the APCC to begin EMDR immediately because a social-media video described it as the fastest trauma treatment. The APCC attended a one-day introductory workshop but has not completed supervised clinical training in EMDR. Avery also says the newly assigned interpreter is a member of the same small Deaf community and expresses concern about privacy. The APCC notices a strong urge to prove that they are affirming by agreeing to Avery’s request and avoiding referral.</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NO-RETURN SIMULATION</w:t>
            </w:r>
          </w:p>
          <w:p>
            <w:pPr>
              <w:spacing w:after="20" w:line="250" w:lineRule="auto"/>
            </w:pPr>
            <w:r>
              <w:rPr>
                <w:rFonts w:ascii="Arial" w:hAnsi="Arial" w:eastAsia="Arial"/>
                <w:color w:val="1F2937"/>
                <w:sz w:val="18"/>
              </w:rPr>
              <w:t>Complete every question in this section before continuing. After you move to the next part, do not revise earlier responses.</w:t>
            </w:r>
          </w:p>
        </w:tc>
      </w:tr>
    </w:tbl>
    <w:p>
      <w:pPr>
        <w:spacing w:after="0"/>
      </w:pPr>
    </w:p>
    <w:p>
      <w:pPr>
        <w:spacing w:before="100" w:after="40"/>
        <w:keepNext/>
      </w:pPr>
      <w:r>
        <w:rPr>
          <w:rFonts w:ascii="Arial" w:hAnsi="Arial" w:eastAsia="Arial"/>
          <w:b/>
          <w:color w:val="1F7A8C"/>
          <w:sz w:val="17"/>
        </w:rPr>
        <w:t>LPCC-CP1-Q023 | Integrated Clinical Reasoning | Difficult | WB2 | Primary concept: Specialized intervention competence</w:t>
      </w:r>
    </w:p>
    <w:p>
      <w:pPr>
        <w:spacing w:after="60" w:line="247" w:lineRule="auto"/>
        <w:keepNext/>
      </w:pPr>
      <w:r>
        <w:rPr>
          <w:rFonts w:ascii="Arial" w:hAnsi="Arial" w:eastAsia="Arial"/>
          <w:b/>
          <w:color w:val="1F2937"/>
          <w:sz w:val="20"/>
        </w:rPr>
        <w:t>How should the APCC respond to Avery’s request to begin EMDR immediately?</w:t>
      </w:r>
    </w:p>
    <w:p>
      <w:pPr>
        <w:spacing w:after="32" w:line="245" w:lineRule="auto"/>
        <w:ind w:left="230" w:hanging="230"/>
      </w:pPr>
      <w:r>
        <w:rPr>
          <w:rFonts w:ascii="Arial" w:hAnsi="Arial" w:eastAsia="Arial"/>
          <w:color w:val="1F2937"/>
          <w:sz w:val="19"/>
        </w:rPr>
        <w:t>A. Explain the counselor’s current training limits, consult the supervisor, discuss evidence-based options and Avery’s preferences, and arrange competent treatment through training, co-treatment, or referral while maintaining continuity.</w:t>
      </w:r>
    </w:p>
    <w:p>
      <w:pPr>
        <w:spacing w:after="32" w:line="245" w:lineRule="auto"/>
        <w:ind w:left="230" w:hanging="230"/>
      </w:pPr>
      <w:r>
        <w:rPr>
          <w:rFonts w:ascii="Arial" w:hAnsi="Arial" w:eastAsia="Arial"/>
          <w:color w:val="1F2937"/>
          <w:sz w:val="19"/>
        </w:rPr>
        <w:t>B. Begin EMDR because a one-day workshop is enough when the client requests it.</w:t>
      </w:r>
    </w:p>
    <w:p>
      <w:pPr>
        <w:spacing w:after="32" w:line="245" w:lineRule="auto"/>
        <w:ind w:left="230" w:hanging="230"/>
      </w:pPr>
      <w:r>
        <w:rPr>
          <w:rFonts w:ascii="Arial" w:hAnsi="Arial" w:eastAsia="Arial"/>
          <w:color w:val="1F2937"/>
          <w:sz w:val="19"/>
        </w:rPr>
        <w:t>C. Tell Avery that EMDR is ineffective and select a different method without discussion.</w:t>
      </w:r>
    </w:p>
    <w:p>
      <w:pPr>
        <w:spacing w:after="32" w:line="245" w:lineRule="auto"/>
        <w:ind w:left="230" w:hanging="230"/>
      </w:pPr>
      <w:r>
        <w:rPr>
          <w:rFonts w:ascii="Arial" w:hAnsi="Arial" w:eastAsia="Arial"/>
          <w:color w:val="1F2937"/>
          <w:sz w:val="19"/>
        </w:rPr>
        <w:t>D. Terminate services immediately because Avery asked for a specialized treatment.</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LPCC-CP1-Q024 | Application | Moderate | WB2/WB3 | Primary concept: Interpreter privacy and client choice</w:t>
      </w:r>
    </w:p>
    <w:p>
      <w:pPr>
        <w:spacing w:after="60" w:line="247" w:lineRule="auto"/>
        <w:keepNext/>
      </w:pPr>
      <w:r>
        <w:rPr>
          <w:rFonts w:ascii="Arial" w:hAnsi="Arial" w:eastAsia="Arial"/>
          <w:b/>
          <w:color w:val="1F2937"/>
          <w:sz w:val="20"/>
        </w:rPr>
        <w:t>Avery worries that the assigned interpreter belongs to the same small community. What should the counselor do?</w:t>
      </w:r>
    </w:p>
    <w:p>
      <w:pPr>
        <w:spacing w:after="32" w:line="245" w:lineRule="auto"/>
        <w:ind w:left="230" w:hanging="230"/>
      </w:pPr>
      <w:r>
        <w:rPr>
          <w:rFonts w:ascii="Arial" w:hAnsi="Arial" w:eastAsia="Arial"/>
          <w:color w:val="1F2937"/>
          <w:sz w:val="19"/>
        </w:rPr>
        <w:t>A. Tell Avery confidentiality rules eliminate any possible discomfort.</w:t>
      </w:r>
    </w:p>
    <w:p>
      <w:pPr>
        <w:spacing w:after="32" w:line="245" w:lineRule="auto"/>
        <w:ind w:left="230" w:hanging="230"/>
      </w:pPr>
      <w:r>
        <w:rPr>
          <w:rFonts w:ascii="Arial" w:hAnsi="Arial" w:eastAsia="Arial"/>
          <w:color w:val="1F2937"/>
          <w:sz w:val="19"/>
        </w:rPr>
        <w:t>B. Require the interpreter because the clinic already paid for the service.</w:t>
      </w:r>
    </w:p>
    <w:p>
      <w:pPr>
        <w:spacing w:after="32" w:line="245" w:lineRule="auto"/>
        <w:ind w:left="230" w:hanging="230"/>
      </w:pPr>
      <w:r>
        <w:rPr>
          <w:rFonts w:ascii="Arial" w:hAnsi="Arial" w:eastAsia="Arial"/>
          <w:color w:val="1F2937"/>
          <w:sz w:val="19"/>
        </w:rPr>
        <w:t>C. Acknowledge the concern, explain interpreter confidentiality and limits, explore qualified alternatives or remote options, assess what communication method is effective, and support Avery’s informed choice without compromising access.</w:t>
      </w:r>
    </w:p>
    <w:p>
      <w:pPr>
        <w:spacing w:after="32" w:line="245" w:lineRule="auto"/>
        <w:ind w:left="230" w:hanging="230"/>
      </w:pPr>
      <w:r>
        <w:rPr>
          <w:rFonts w:ascii="Arial" w:hAnsi="Arial" w:eastAsia="Arial"/>
          <w:color w:val="1F2937"/>
          <w:sz w:val="19"/>
        </w:rPr>
        <w:t>D. Ask Avery to use the cousin instead because family privacy is easier to manage.</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LPCC-CP1-Q025 | Integrated Clinical Reasoning | Difficult | WB2 | Primary concept: Countertransference and rescue impulse</w:t>
      </w:r>
    </w:p>
    <w:p>
      <w:pPr>
        <w:spacing w:after="60" w:line="247" w:lineRule="auto"/>
        <w:keepNext/>
      </w:pPr>
      <w:r>
        <w:rPr>
          <w:rFonts w:ascii="Arial" w:hAnsi="Arial" w:eastAsia="Arial"/>
          <w:b/>
          <w:color w:val="1F2937"/>
          <w:sz w:val="20"/>
        </w:rPr>
        <w:t>The counselor notices a strong urge to prove they are affirming by providing the requested treatment despite limited competence. What is the BEST response?</w:t>
      </w:r>
    </w:p>
    <w:p>
      <w:pPr>
        <w:spacing w:after="32" w:line="245" w:lineRule="auto"/>
        <w:ind w:left="230" w:hanging="230"/>
      </w:pPr>
      <w:r>
        <w:rPr>
          <w:rFonts w:ascii="Arial" w:hAnsi="Arial" w:eastAsia="Arial"/>
          <w:color w:val="1F2937"/>
          <w:sz w:val="19"/>
        </w:rPr>
        <w:t>A. Follow the urge because affirmation requires granting the client’s request.</w:t>
      </w:r>
    </w:p>
    <w:p>
      <w:pPr>
        <w:spacing w:after="32" w:line="245" w:lineRule="auto"/>
        <w:ind w:left="230" w:hanging="230"/>
      </w:pPr>
      <w:r>
        <w:rPr>
          <w:rFonts w:ascii="Arial" w:hAnsi="Arial" w:eastAsia="Arial"/>
          <w:color w:val="1F2937"/>
          <w:sz w:val="19"/>
        </w:rPr>
        <w:t>B. Recognize the urge as counselor-impact data, regulate in session, avoid making the client manage the counselor’s feelings, and use supervision to choose a competent, client-centered plan.</w:t>
      </w:r>
    </w:p>
    <w:p>
      <w:pPr>
        <w:spacing w:after="32" w:line="245" w:lineRule="auto"/>
        <w:ind w:left="230" w:hanging="230"/>
      </w:pPr>
      <w:r>
        <w:rPr>
          <w:rFonts w:ascii="Arial" w:hAnsi="Arial" w:eastAsia="Arial"/>
          <w:color w:val="1F2937"/>
          <w:sz w:val="19"/>
        </w:rPr>
        <w:t>C. Disclose the entire internal conflict so Avery can reassure the counselor.</w:t>
      </w:r>
    </w:p>
    <w:p>
      <w:pPr>
        <w:spacing w:after="32" w:line="245" w:lineRule="auto"/>
        <w:ind w:left="230" w:hanging="230"/>
      </w:pPr>
      <w:r>
        <w:rPr>
          <w:rFonts w:ascii="Arial" w:hAnsi="Arial" w:eastAsia="Arial"/>
          <w:color w:val="1F2937"/>
          <w:sz w:val="19"/>
        </w:rPr>
        <w:t>D. Avoid future work with Deaf or nonbinary clients.</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LPCC-CP1-Q026 | Integrated Clinical Reasoning | Difficult | WB2 | Primary concept: Evidence-based treatment selection</w:t>
      </w:r>
    </w:p>
    <w:p>
      <w:pPr>
        <w:spacing w:after="60" w:line="247" w:lineRule="auto"/>
        <w:keepNext/>
      </w:pPr>
      <w:r>
        <w:rPr>
          <w:rFonts w:ascii="Arial" w:hAnsi="Arial" w:eastAsia="Arial"/>
          <w:b/>
          <w:color w:val="1F2937"/>
          <w:sz w:val="20"/>
        </w:rPr>
        <w:t>Which treatment-selection process is MOST appropriate?</w:t>
      </w:r>
    </w:p>
    <w:p>
      <w:pPr>
        <w:spacing w:after="32" w:line="245" w:lineRule="auto"/>
        <w:ind w:left="230" w:hanging="230"/>
      </w:pPr>
      <w:r>
        <w:rPr>
          <w:rFonts w:ascii="Arial" w:hAnsi="Arial" w:eastAsia="Arial"/>
          <w:color w:val="1F2937"/>
          <w:sz w:val="19"/>
        </w:rPr>
        <w:t>A. Choose the modality with the strongest marketing claims.</w:t>
      </w:r>
    </w:p>
    <w:p>
      <w:pPr>
        <w:spacing w:after="32" w:line="245" w:lineRule="auto"/>
        <w:ind w:left="230" w:hanging="230"/>
      </w:pPr>
      <w:r>
        <w:rPr>
          <w:rFonts w:ascii="Arial" w:hAnsi="Arial" w:eastAsia="Arial"/>
          <w:color w:val="1F2937"/>
          <w:sz w:val="19"/>
        </w:rPr>
        <w:t>B. Select the counselor’s favorite approach because consistency is more important than client preference.</w:t>
      </w:r>
    </w:p>
    <w:p>
      <w:pPr>
        <w:spacing w:after="32" w:line="245" w:lineRule="auto"/>
        <w:ind w:left="230" w:hanging="230"/>
      </w:pPr>
      <w:r>
        <w:rPr>
          <w:rFonts w:ascii="Arial" w:hAnsi="Arial" w:eastAsia="Arial"/>
          <w:color w:val="1F2937"/>
          <w:sz w:val="19"/>
        </w:rPr>
        <w:t>C. Use only the screening scores to determine the treatment.</w:t>
      </w:r>
    </w:p>
    <w:p>
      <w:pPr>
        <w:spacing w:after="32" w:line="245" w:lineRule="auto"/>
        <w:ind w:left="230" w:hanging="230"/>
      </w:pPr>
      <w:r>
        <w:rPr>
          <w:rFonts w:ascii="Arial" w:hAnsi="Arial" w:eastAsia="Arial"/>
          <w:color w:val="1F2937"/>
          <w:sz w:val="19"/>
        </w:rPr>
        <w:t>D. Integrate the best available evidence, counselor competence, a fuller formulation, Avery’s goals and preferences, cultural and disability context, access feasibility, potential harms, and ongoing outcome monitoring.</w:t>
      </w:r>
    </w:p>
    <w:p>
      <w:pPr>
        <w:spacing w:after="40"/>
      </w:pPr>
      <w:r>
        <w:rPr>
          <w:rFonts w:ascii="Arial" w:hAnsi="Arial" w:eastAsia="Arial"/>
          <w:i/>
          <w:color w:val="4E5B6B"/>
          <w:sz w:val="18"/>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rPr>
          <w:cantSplit/>
        </w:trPr>
        <w:tc>
          <w:tcPr>
            <w:tcW w:type="dxa" w:w="1944"/>
            <w:shd w:fill="C6922F"/>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CASE 3</w:t>
            </w:r>
          </w:p>
        </w:tc>
        <w:tc>
          <w:tcPr>
            <w:tcW w:type="dxa" w:w="8568"/>
            <w:shd w:fill="17365D"/>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Marcus Hill - Dual Risk and Protective Duties</w:t>
            </w:r>
          </w:p>
        </w:tc>
      </w:tr>
      <w:tr>
        <w:trPr>
          <w:cantSplit/>
        </w:trPr>
        <w:tc>
          <w:tcPr>
            <w:tcW w:type="dxa" w:w="1944"/>
            <w:shd w:fill="159C9C"/>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4"/>
              </w:rPr>
              <w:t>PART 1</w:t>
            </w:r>
          </w:p>
        </w:tc>
        <w:tc>
          <w:tcPr>
            <w:tcW w:type="dxa" w:w="8568"/>
            <w:shd w:fill="E7F3F3"/>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17365D"/>
                <w:sz w:val="22"/>
              </w:rPr>
              <w:t>Urgent video session</w:t>
            </w:r>
          </w:p>
        </w:tc>
      </w:tr>
    </w:tbl>
    <w:p>
      <w:pPr>
        <w:spacing w:before="140" w:after="120" w:line="254" w:lineRule="auto"/>
      </w:pPr>
      <w:r>
        <w:rPr>
          <w:rFonts w:ascii="Arial" w:hAnsi="Arial" w:eastAsia="Arial"/>
          <w:b w:val="0"/>
          <w:i w:val="0"/>
          <w:color w:val="1F2937"/>
          <w:sz w:val="21"/>
        </w:rPr>
        <w:t>Marcus Hill, age 42, joins a scheduled video session from a parked truck outside a bar in Sacramento after losing his job. He reports drinking heavily and speaks loudly. A handgun is stored in a locked toolbox behind the seat. Marcus says his former supervisor, Elena Ruiz, “ruined my life,” adds that he knows she closes the workplace alone at 10 p.m., and says, “I’ll make her pay tonight.” He also says, “Maybe I won’t come back either.” He identifies Elena’s workplace and describes access to the firearm. The counselor does not yet know the truck’s exact location or whether Marcus can remain connected.</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NO-RETURN SIMULATION</w:t>
            </w:r>
          </w:p>
          <w:p>
            <w:pPr>
              <w:spacing w:after="20" w:line="250" w:lineRule="auto"/>
            </w:pPr>
            <w:r>
              <w:rPr>
                <w:rFonts w:ascii="Arial" w:hAnsi="Arial" w:eastAsia="Arial"/>
                <w:color w:val="1F2937"/>
                <w:sz w:val="18"/>
              </w:rPr>
              <w:t>Complete every question in this section before continuing. After you move to the next part, do not revise earlier responses.</w:t>
            </w:r>
          </w:p>
        </w:tc>
      </w:tr>
    </w:tbl>
    <w:p>
      <w:pPr>
        <w:spacing w:after="0"/>
      </w:pPr>
    </w:p>
    <w:p>
      <w:pPr>
        <w:spacing w:before="100" w:after="40"/>
        <w:keepNext/>
      </w:pPr>
      <w:r>
        <w:rPr>
          <w:rFonts w:ascii="Arial" w:hAnsi="Arial" w:eastAsia="Arial"/>
          <w:b/>
          <w:color w:val="1F7A8C"/>
          <w:sz w:val="17"/>
        </w:rPr>
        <w:t>LPCC-CP1-Q027 | Application | Easy | WB1/WB4 | Primary concept: Telehealth crisis location and connection</w:t>
      </w:r>
    </w:p>
    <w:p>
      <w:pPr>
        <w:spacing w:after="60" w:line="247" w:lineRule="auto"/>
        <w:keepNext/>
      </w:pPr>
      <w:r>
        <w:rPr>
          <w:rFonts w:ascii="Arial" w:hAnsi="Arial" w:eastAsia="Arial"/>
          <w:b/>
          <w:color w:val="1F2937"/>
          <w:sz w:val="20"/>
        </w:rPr>
        <w:t>What should the counselor do FIRST?</w:t>
      </w:r>
    </w:p>
    <w:p>
      <w:pPr>
        <w:spacing w:after="32" w:line="245" w:lineRule="auto"/>
        <w:ind w:left="230" w:hanging="230"/>
      </w:pPr>
      <w:r>
        <w:rPr>
          <w:rFonts w:ascii="Arial" w:hAnsi="Arial" w:eastAsia="Arial"/>
          <w:color w:val="1F2937"/>
          <w:sz w:val="19"/>
        </w:rPr>
        <w:t>A. Keep Marcus connected, obtain the exact location and identifying vehicle details, determine whether anyone else is nearby, and begin focused assessment of suicide, violence, firearm access, timing, intoxication, and ability to collaborate while activating the emergency plan as indicated.</w:t>
      </w:r>
    </w:p>
    <w:p>
      <w:pPr>
        <w:spacing w:after="32" w:line="245" w:lineRule="auto"/>
        <w:ind w:left="230" w:hanging="230"/>
      </w:pPr>
      <w:r>
        <w:rPr>
          <w:rFonts w:ascii="Arial" w:hAnsi="Arial" w:eastAsia="Arial"/>
          <w:color w:val="1F2937"/>
          <w:sz w:val="19"/>
        </w:rPr>
        <w:t>B. Explore the full history of Marcus’s employment conflict before asking about safety.</w:t>
      </w:r>
    </w:p>
    <w:p>
      <w:pPr>
        <w:spacing w:after="32" w:line="245" w:lineRule="auto"/>
        <w:ind w:left="230" w:hanging="230"/>
      </w:pPr>
      <w:r>
        <w:rPr>
          <w:rFonts w:ascii="Arial" w:hAnsi="Arial" w:eastAsia="Arial"/>
          <w:color w:val="1F2937"/>
          <w:sz w:val="19"/>
        </w:rPr>
        <w:t>C. Ask Marcus to schedule an in-person appointment next week.</w:t>
      </w:r>
    </w:p>
    <w:p>
      <w:pPr>
        <w:spacing w:after="32" w:line="245" w:lineRule="auto"/>
        <w:ind w:left="230" w:hanging="230"/>
      </w:pPr>
      <w:r>
        <w:rPr>
          <w:rFonts w:ascii="Arial" w:hAnsi="Arial" w:eastAsia="Arial"/>
          <w:color w:val="1F2937"/>
          <w:sz w:val="19"/>
        </w:rPr>
        <w:t>D. Tell Marcus to drive home and remove the firearm from the truck.</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LPCC-CP1-Q028 | Application | Moderate | WB4 | Primary concept: Dual suicide and violence assessment</w:t>
      </w:r>
    </w:p>
    <w:p>
      <w:pPr>
        <w:spacing w:after="60" w:line="247" w:lineRule="auto"/>
        <w:keepNext/>
      </w:pPr>
      <w:r>
        <w:rPr>
          <w:rFonts w:ascii="Arial" w:hAnsi="Arial" w:eastAsia="Arial"/>
          <w:b/>
          <w:color w:val="1F2937"/>
          <w:sz w:val="20"/>
        </w:rPr>
        <w:t>Which assessment focus is MOST important next?</w:t>
      </w:r>
    </w:p>
    <w:p>
      <w:pPr>
        <w:spacing w:after="32" w:line="245" w:lineRule="auto"/>
        <w:ind w:left="230" w:hanging="230"/>
      </w:pPr>
      <w:r>
        <w:rPr>
          <w:rFonts w:ascii="Arial" w:hAnsi="Arial" w:eastAsia="Arial"/>
          <w:color w:val="1F2937"/>
          <w:sz w:val="19"/>
        </w:rPr>
        <w:t>A. Whether Marcus has ever disliked another supervisor.</w:t>
      </w:r>
    </w:p>
    <w:p>
      <w:pPr>
        <w:spacing w:after="32" w:line="245" w:lineRule="auto"/>
        <w:ind w:left="230" w:hanging="230"/>
      </w:pPr>
      <w:r>
        <w:rPr>
          <w:rFonts w:ascii="Arial" w:hAnsi="Arial" w:eastAsia="Arial"/>
          <w:color w:val="1F2937"/>
          <w:sz w:val="19"/>
        </w:rPr>
        <w:t>B. Whether Marcus meets all criteria for alcohol use disorder.</w:t>
      </w:r>
    </w:p>
    <w:p>
      <w:pPr>
        <w:spacing w:after="32" w:line="245" w:lineRule="auto"/>
        <w:ind w:left="230" w:hanging="230"/>
      </w:pPr>
      <w:r>
        <w:rPr>
          <w:rFonts w:ascii="Arial" w:hAnsi="Arial" w:eastAsia="Arial"/>
          <w:color w:val="1F2937"/>
          <w:sz w:val="19"/>
        </w:rPr>
        <w:t>C. Current intent, plan, timing, preparation, firearm access, target identification, route and opportunity, intoxication effects, suicidal intent, past violence or attempts, protective factors, supports, and willingness to take immediate safety steps.</w:t>
      </w:r>
    </w:p>
    <w:p>
      <w:pPr>
        <w:spacing w:after="32" w:line="245" w:lineRule="auto"/>
        <w:ind w:left="230" w:hanging="230"/>
      </w:pPr>
      <w:r>
        <w:rPr>
          <w:rFonts w:ascii="Arial" w:hAnsi="Arial" w:eastAsia="Arial"/>
          <w:color w:val="1F2937"/>
          <w:sz w:val="19"/>
        </w:rPr>
        <w:t>D. Whether Marcus would prefer individual or group counseling after discharge.</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LPCC-CP1-Q029 | Knowledge &amp; Application | Easy | WB4 | Primary concept: California duty to protect</w:t>
      </w:r>
    </w:p>
    <w:p>
      <w:pPr>
        <w:spacing w:after="60" w:line="247" w:lineRule="auto"/>
        <w:keepNext/>
      </w:pPr>
      <w:r>
        <w:rPr>
          <w:rFonts w:ascii="Arial" w:hAnsi="Arial" w:eastAsia="Arial"/>
          <w:b/>
          <w:color w:val="1F2937"/>
          <w:sz w:val="20"/>
        </w:rPr>
        <w:t>Which response is MOST consistent with California duty-to-protect principles?</w:t>
      </w:r>
    </w:p>
    <w:p>
      <w:pPr>
        <w:spacing w:after="32" w:line="245" w:lineRule="auto"/>
        <w:ind w:left="230" w:hanging="230"/>
      </w:pPr>
      <w:r>
        <w:rPr>
          <w:rFonts w:ascii="Arial" w:hAnsi="Arial" w:eastAsia="Arial"/>
          <w:color w:val="1F2937"/>
          <w:sz w:val="19"/>
        </w:rPr>
        <w:t>A. Maintain confidentiality unless Marcus physically approaches the workplace.</w:t>
      </w:r>
    </w:p>
    <w:p>
      <w:pPr>
        <w:spacing w:after="32" w:line="245" w:lineRule="auto"/>
        <w:ind w:left="230" w:hanging="230"/>
      </w:pPr>
      <w:r>
        <w:rPr>
          <w:rFonts w:ascii="Arial" w:hAnsi="Arial" w:eastAsia="Arial"/>
          <w:color w:val="1F2937"/>
          <w:sz w:val="19"/>
        </w:rPr>
        <w:t>B. Make reasonable efforts to communicate the serious threat to the reasonably identifiable victim and law enforcement while continuing the broader crisis response.</w:t>
      </w:r>
    </w:p>
    <w:p>
      <w:pPr>
        <w:spacing w:after="32" w:line="245" w:lineRule="auto"/>
        <w:ind w:left="230" w:hanging="230"/>
      </w:pPr>
      <w:r>
        <w:rPr>
          <w:rFonts w:ascii="Arial" w:hAnsi="Arial" w:eastAsia="Arial"/>
          <w:color w:val="1F2937"/>
          <w:sz w:val="19"/>
        </w:rPr>
        <w:t>C. Warn only Marcus’s family because they know him best.</w:t>
      </w:r>
    </w:p>
    <w:p>
      <w:pPr>
        <w:spacing w:after="32" w:line="245" w:lineRule="auto"/>
        <w:ind w:left="230" w:hanging="230"/>
      </w:pPr>
      <w:r>
        <w:rPr>
          <w:rFonts w:ascii="Arial" w:hAnsi="Arial" w:eastAsia="Arial"/>
          <w:color w:val="1F2937"/>
          <w:sz w:val="19"/>
        </w:rPr>
        <w:t>D. Ask Marcus to retract the statement in writing.</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LPCC-CP1-Q030 | Integrated Clinical Reasoning | Difficult | WB4 | Primary concept: Emergency level of care</w:t>
      </w:r>
    </w:p>
    <w:p>
      <w:pPr>
        <w:spacing w:after="60" w:line="247" w:lineRule="auto"/>
        <w:keepNext/>
      </w:pPr>
      <w:r>
        <w:rPr>
          <w:rFonts w:ascii="Arial" w:hAnsi="Arial" w:eastAsia="Arial"/>
          <w:b/>
          <w:color w:val="1F2937"/>
          <w:sz w:val="20"/>
        </w:rPr>
        <w:t>Marcus remains intoxicated, has immediate firearm access, intends to confront Elena tonight, and says he may die as well. Which disposition is BEST?</w:t>
      </w:r>
    </w:p>
    <w:p>
      <w:pPr>
        <w:spacing w:after="32" w:line="245" w:lineRule="auto"/>
        <w:ind w:left="230" w:hanging="230"/>
      </w:pPr>
      <w:r>
        <w:rPr>
          <w:rFonts w:ascii="Arial" w:hAnsi="Arial" w:eastAsia="Arial"/>
          <w:color w:val="1F2937"/>
          <w:sz w:val="19"/>
        </w:rPr>
        <w:t>A. Routine outpatient follow-up after Marcus sleeps.</w:t>
      </w:r>
    </w:p>
    <w:p>
      <w:pPr>
        <w:spacing w:after="32" w:line="245" w:lineRule="auto"/>
        <w:ind w:left="230" w:hanging="230"/>
      </w:pPr>
      <w:r>
        <w:rPr>
          <w:rFonts w:ascii="Arial" w:hAnsi="Arial" w:eastAsia="Arial"/>
          <w:color w:val="1F2937"/>
          <w:sz w:val="19"/>
        </w:rPr>
        <w:t>B. Ask the bartender to monitor Marcus without contacting emergency services.</w:t>
      </w:r>
    </w:p>
    <w:p>
      <w:pPr>
        <w:spacing w:after="32" w:line="245" w:lineRule="auto"/>
        <w:ind w:left="230" w:hanging="230"/>
      </w:pPr>
      <w:r>
        <w:rPr>
          <w:rFonts w:ascii="Arial" w:hAnsi="Arial" w:eastAsia="Arial"/>
          <w:color w:val="1F2937"/>
          <w:sz w:val="19"/>
        </w:rPr>
        <w:t>C. Continue counseling until Marcus promises not to act.</w:t>
      </w:r>
    </w:p>
    <w:p>
      <w:pPr>
        <w:spacing w:after="32" w:line="245" w:lineRule="auto"/>
        <w:ind w:left="230" w:hanging="230"/>
      </w:pPr>
      <w:r>
        <w:rPr>
          <w:rFonts w:ascii="Arial" w:hAnsi="Arial" w:eastAsia="Arial"/>
          <w:color w:val="1F2937"/>
          <w:sz w:val="19"/>
        </w:rPr>
        <w:t>D. Arrange an urgent emergency evaluation through the available authorized crisis or emergency system, keep Marcus connected when feasible, prevent driving, coordinate firearm access reduction, and provide a direct handoff.</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LPCC-CP1-Q031 | Knowledge &amp; Application | Easy | WB2/WB4 | Primary concept: California 5150 authority</w:t>
      </w:r>
    </w:p>
    <w:p>
      <w:pPr>
        <w:spacing w:after="60" w:line="247" w:lineRule="auto"/>
        <w:keepNext/>
      </w:pPr>
      <w:r>
        <w:rPr>
          <w:rFonts w:ascii="Arial" w:hAnsi="Arial" w:eastAsia="Arial"/>
          <w:b/>
          <w:color w:val="1F2937"/>
          <w:sz w:val="20"/>
        </w:rPr>
        <w:t>Which statement BEST reflects the counselor’s role regarding a possible 72-hour detention?</w:t>
      </w:r>
    </w:p>
    <w:p>
      <w:pPr>
        <w:spacing w:after="32" w:line="245" w:lineRule="auto"/>
        <w:ind w:left="230" w:hanging="230"/>
      </w:pPr>
      <w:r>
        <w:rPr>
          <w:rFonts w:ascii="Arial" w:hAnsi="Arial" w:eastAsia="Arial"/>
          <w:color w:val="1F2937"/>
          <w:sz w:val="19"/>
        </w:rPr>
        <w:t>A. Use a peace officer, county-designated professional, designated mobile crisis team member, or designated-facility process rather than assuming LPCC licensure alone grants detention authority.</w:t>
      </w:r>
    </w:p>
    <w:p>
      <w:pPr>
        <w:spacing w:after="32" w:line="245" w:lineRule="auto"/>
        <w:ind w:left="230" w:hanging="230"/>
      </w:pPr>
      <w:r>
        <w:rPr>
          <w:rFonts w:ascii="Arial" w:hAnsi="Arial" w:eastAsia="Arial"/>
          <w:color w:val="1F2937"/>
          <w:sz w:val="19"/>
        </w:rPr>
        <w:t>B. Every California LPCC automatically has authority to initiate a detention in any county.</w:t>
      </w:r>
    </w:p>
    <w:p>
      <w:pPr>
        <w:spacing w:after="32" w:line="245" w:lineRule="auto"/>
        <w:ind w:left="230" w:hanging="230"/>
      </w:pPr>
      <w:r>
        <w:rPr>
          <w:rFonts w:ascii="Arial" w:hAnsi="Arial" w:eastAsia="Arial"/>
          <w:color w:val="1F2937"/>
          <w:sz w:val="19"/>
        </w:rPr>
        <w:t>C. Only a psychiatrist may participate in emergency detention decisions.</w:t>
      </w:r>
    </w:p>
    <w:p>
      <w:pPr>
        <w:spacing w:after="32" w:line="245" w:lineRule="auto"/>
        <w:ind w:left="230" w:hanging="230"/>
      </w:pPr>
      <w:r>
        <w:rPr>
          <w:rFonts w:ascii="Arial" w:hAnsi="Arial" w:eastAsia="Arial"/>
          <w:color w:val="1F2937"/>
          <w:sz w:val="19"/>
        </w:rPr>
        <w:t>D. The counselor must avoid emergency contact unless Marcus signs a release.</w:t>
      </w:r>
    </w:p>
    <w:p>
      <w:pPr>
        <w:spacing w:after="40"/>
      </w:pPr>
      <w:r>
        <w:rPr>
          <w:rFonts w:ascii="Arial" w:hAnsi="Arial" w:eastAsia="Arial"/>
          <w:i/>
          <w:color w:val="4E5B6B"/>
          <w:sz w:val="18"/>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rPr>
          <w:cantSplit/>
        </w:trPr>
        <w:tc>
          <w:tcPr>
            <w:tcW w:type="dxa" w:w="1944"/>
            <w:shd w:fill="C6922F"/>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CASE 3</w:t>
            </w:r>
          </w:p>
        </w:tc>
        <w:tc>
          <w:tcPr>
            <w:tcW w:type="dxa" w:w="8568"/>
            <w:shd w:fill="17365D"/>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Marcus Hill - Dual Risk and Protective Duties</w:t>
            </w:r>
          </w:p>
        </w:tc>
      </w:tr>
      <w:tr>
        <w:trPr>
          <w:cantSplit/>
        </w:trPr>
        <w:tc>
          <w:tcPr>
            <w:tcW w:type="dxa" w:w="1944"/>
            <w:shd w:fill="159C9C"/>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4"/>
              </w:rPr>
              <w:t>PART 2</w:t>
            </w:r>
          </w:p>
        </w:tc>
        <w:tc>
          <w:tcPr>
            <w:tcW w:type="dxa" w:w="8568"/>
            <w:shd w:fill="E7F3F3"/>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17365D"/>
                <w:sz w:val="22"/>
              </w:rPr>
              <w:t>Additional child-safety information</w:t>
            </w:r>
          </w:p>
        </w:tc>
      </w:tr>
    </w:tbl>
    <w:p>
      <w:pPr>
        <w:spacing w:before="140" w:after="120" w:line="254" w:lineRule="auto"/>
      </w:pPr>
      <w:r>
        <w:rPr>
          <w:rFonts w:ascii="Arial" w:hAnsi="Arial" w:eastAsia="Arial"/>
          <w:b w:val="0"/>
          <w:i w:val="0"/>
          <w:color w:val="1F2937"/>
          <w:sz w:val="21"/>
        </w:rPr>
        <w:t>Marcus agrees to give his truck keys to the bartender, but the counselor has not confirmed the transfer. Marcus then reports that his 10-year-old daughter, Kayla, is at home with Marcus’s brother, who struck her with an extension cord two days ago and left welts. Marcus says, “Don’t call anyone. He’ll take her away.” The threat toward Elena and Marcus’s suicidal statements remain active.</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NO-RETURN SIMULATION</w:t>
            </w:r>
          </w:p>
          <w:p>
            <w:pPr>
              <w:spacing w:after="20" w:line="250" w:lineRule="auto"/>
            </w:pPr>
            <w:r>
              <w:rPr>
                <w:rFonts w:ascii="Arial" w:hAnsi="Arial" w:eastAsia="Arial"/>
                <w:color w:val="1F2937"/>
                <w:sz w:val="18"/>
              </w:rPr>
              <w:t>Complete every question in this section before continuing. After you move to the next part, do not revise earlier responses.</w:t>
            </w:r>
          </w:p>
        </w:tc>
      </w:tr>
    </w:tbl>
    <w:p>
      <w:pPr>
        <w:spacing w:after="0"/>
      </w:pPr>
    </w:p>
    <w:p>
      <w:pPr>
        <w:spacing w:before="100" w:after="40"/>
        <w:keepNext/>
      </w:pPr>
      <w:r>
        <w:rPr>
          <w:rFonts w:ascii="Arial" w:hAnsi="Arial" w:eastAsia="Arial"/>
          <w:b/>
          <w:color w:val="1F7A8C"/>
          <w:sz w:val="17"/>
        </w:rPr>
        <w:t>LPCC-CP1-Q032 | Knowledge &amp; Application | Easy | WB4 | Primary concept: Child abuse reporting threshold and timing</w:t>
      </w:r>
    </w:p>
    <w:p>
      <w:pPr>
        <w:spacing w:after="60" w:line="247" w:lineRule="auto"/>
        <w:keepNext/>
      </w:pPr>
      <w:r>
        <w:rPr>
          <w:rFonts w:ascii="Arial" w:hAnsi="Arial" w:eastAsia="Arial"/>
          <w:b/>
          <w:color w:val="1F2937"/>
          <w:sz w:val="20"/>
        </w:rPr>
        <w:t>What should the counselor do regarding the report that Kayla was struck with an extension cord and left with welts?</w:t>
      </w:r>
    </w:p>
    <w:p>
      <w:pPr>
        <w:spacing w:after="32" w:line="245" w:lineRule="auto"/>
        <w:ind w:left="230" w:hanging="230"/>
      </w:pPr>
      <w:r>
        <w:rPr>
          <w:rFonts w:ascii="Arial" w:hAnsi="Arial" w:eastAsia="Arial"/>
          <w:color w:val="1F2937"/>
          <w:sz w:val="19"/>
        </w:rPr>
        <w:t>A. Wait until Kayla can be interviewed directly.</w:t>
      </w:r>
    </w:p>
    <w:p>
      <w:pPr>
        <w:spacing w:after="32" w:line="245" w:lineRule="auto"/>
        <w:ind w:left="230" w:hanging="230"/>
      </w:pPr>
      <w:r>
        <w:rPr>
          <w:rFonts w:ascii="Arial" w:hAnsi="Arial" w:eastAsia="Arial"/>
          <w:color w:val="1F2937"/>
          <w:sz w:val="19"/>
        </w:rPr>
        <w:t>B. Ask Marcus’s brother whether the event occurred.</w:t>
      </w:r>
    </w:p>
    <w:p>
      <w:pPr>
        <w:spacing w:after="32" w:line="245" w:lineRule="auto"/>
        <w:ind w:left="230" w:hanging="230"/>
      </w:pPr>
      <w:r>
        <w:rPr>
          <w:rFonts w:ascii="Arial" w:hAnsi="Arial" w:eastAsia="Arial"/>
          <w:color w:val="1F2937"/>
          <w:sz w:val="19"/>
        </w:rPr>
        <w:t>C. Make the child-abuse report immediately or as soon as practicably possible based on reasonable suspicion and complete the required written follow-up within the statutory timeframe, without investigating the allegation.</w:t>
      </w:r>
    </w:p>
    <w:p>
      <w:pPr>
        <w:spacing w:after="32" w:line="245" w:lineRule="auto"/>
        <w:ind w:left="230" w:hanging="230"/>
      </w:pPr>
      <w:r>
        <w:rPr>
          <w:rFonts w:ascii="Arial" w:hAnsi="Arial" w:eastAsia="Arial"/>
          <w:color w:val="1F2937"/>
          <w:sz w:val="19"/>
        </w:rPr>
        <w:t>D. Delay the report until Marcus’s emergency evaluation is complete.</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LPCC-CP1-Q033 | Integrated Clinical Reasoning | Difficult | WB1/WB4 | Primary concept: Simultaneous protective duties</w:t>
      </w:r>
    </w:p>
    <w:p>
      <w:pPr>
        <w:spacing w:after="60" w:line="247" w:lineRule="auto"/>
        <w:keepNext/>
      </w:pPr>
      <w:r>
        <w:rPr>
          <w:rFonts w:ascii="Arial" w:hAnsi="Arial" w:eastAsia="Arial"/>
          <w:b/>
          <w:color w:val="1F2937"/>
          <w:sz w:val="20"/>
        </w:rPr>
        <w:t>Which plan BEST organizes the counselor’s response to the combined facts?</w:t>
      </w:r>
    </w:p>
    <w:p>
      <w:pPr>
        <w:spacing w:after="32" w:line="245" w:lineRule="auto"/>
        <w:ind w:left="230" w:hanging="230"/>
      </w:pPr>
      <w:r>
        <w:rPr>
          <w:rFonts w:ascii="Arial" w:hAnsi="Arial" w:eastAsia="Arial"/>
          <w:color w:val="1F2937"/>
          <w:sz w:val="19"/>
        </w:rPr>
        <w:t>A. Complete the child-abuse written report before taking any other action.</w:t>
      </w:r>
    </w:p>
    <w:p>
      <w:pPr>
        <w:spacing w:after="32" w:line="245" w:lineRule="auto"/>
        <w:ind w:left="230" w:hanging="230"/>
      </w:pPr>
      <w:r>
        <w:rPr>
          <w:rFonts w:ascii="Arial" w:hAnsi="Arial" w:eastAsia="Arial"/>
          <w:color w:val="1F2937"/>
          <w:sz w:val="19"/>
        </w:rPr>
        <w:t>B. Keep Marcus engaged, activate emergency response, make the duty-to-protect communications, initiate the child-abuse report, coordinate firearm access reduction and responder handoff, share only necessary information, and document each action and rationale.</w:t>
      </w:r>
    </w:p>
    <w:p>
      <w:pPr>
        <w:spacing w:after="32" w:line="245" w:lineRule="auto"/>
        <w:ind w:left="230" w:hanging="230"/>
      </w:pPr>
      <w:r>
        <w:rPr>
          <w:rFonts w:ascii="Arial" w:hAnsi="Arial" w:eastAsia="Arial"/>
          <w:color w:val="1F2937"/>
          <w:sz w:val="19"/>
        </w:rPr>
        <w:t>C. Address only suicide risk because counselors should manage one legal duty at a time.</w:t>
      </w:r>
    </w:p>
    <w:p>
      <w:pPr>
        <w:spacing w:after="32" w:line="245" w:lineRule="auto"/>
        <w:ind w:left="230" w:hanging="230"/>
      </w:pPr>
      <w:r>
        <w:rPr>
          <w:rFonts w:ascii="Arial" w:hAnsi="Arial" w:eastAsia="Arial"/>
          <w:color w:val="1F2937"/>
          <w:sz w:val="19"/>
        </w:rPr>
        <w:t>D. End the session after notifying the supervisor and allow the supervisor to decide every next step.</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LPCC-CP1-Q034 | Application | Moderate | WB4 | Primary concept: Lethal-means verification</w:t>
      </w:r>
    </w:p>
    <w:p>
      <w:pPr>
        <w:spacing w:after="60" w:line="247" w:lineRule="auto"/>
        <w:keepNext/>
      </w:pPr>
      <w:r>
        <w:rPr>
          <w:rFonts w:ascii="Arial" w:hAnsi="Arial" w:eastAsia="Arial"/>
          <w:b/>
          <w:color w:val="1F2937"/>
          <w:sz w:val="20"/>
        </w:rPr>
        <w:t>Marcus says he handed his truck keys to the bartender, but the bartender has not confirmed. What is the BEST next step?</w:t>
      </w:r>
    </w:p>
    <w:p>
      <w:pPr>
        <w:spacing w:after="32" w:line="245" w:lineRule="auto"/>
        <w:ind w:left="230" w:hanging="230"/>
      </w:pPr>
      <w:r>
        <w:rPr>
          <w:rFonts w:ascii="Arial" w:hAnsi="Arial" w:eastAsia="Arial"/>
          <w:color w:val="1F2937"/>
          <w:sz w:val="19"/>
        </w:rPr>
        <w:t>A. Accept Marcus’s statement and stop discussing the firearm.</w:t>
      </w:r>
    </w:p>
    <w:p>
      <w:pPr>
        <w:spacing w:after="32" w:line="245" w:lineRule="auto"/>
        <w:ind w:left="230" w:hanging="230"/>
      </w:pPr>
      <w:r>
        <w:rPr>
          <w:rFonts w:ascii="Arial" w:hAnsi="Arial" w:eastAsia="Arial"/>
          <w:color w:val="1F2937"/>
          <w:sz w:val="19"/>
        </w:rPr>
        <w:t>B. Ask Marcus to drive the truck to a safer location.</w:t>
      </w:r>
    </w:p>
    <w:p>
      <w:pPr>
        <w:spacing w:after="32" w:line="245" w:lineRule="auto"/>
        <w:ind w:left="230" w:hanging="230"/>
      </w:pPr>
      <w:r>
        <w:rPr>
          <w:rFonts w:ascii="Arial" w:hAnsi="Arial" w:eastAsia="Arial"/>
          <w:color w:val="1F2937"/>
          <w:sz w:val="19"/>
        </w:rPr>
        <w:t>C. Tell Marcus to place the handgun on the passenger seat where responders can see it.</w:t>
      </w:r>
    </w:p>
    <w:p>
      <w:pPr>
        <w:spacing w:after="32" w:line="245" w:lineRule="auto"/>
        <w:ind w:left="230" w:hanging="230"/>
      </w:pPr>
      <w:r>
        <w:rPr>
          <w:rFonts w:ascii="Arial" w:hAnsi="Arial" w:eastAsia="Arial"/>
          <w:color w:val="1F2937"/>
          <w:sz w:val="19"/>
        </w:rPr>
        <w:t>D. Create and verify a concrete, lawful plan that prevents Marcus from accessing or moving the firearm, involve responders or a willing support as appropriate, and use a backup plan if the transfer cannot be confirmed.</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LPCC-CP1-Q035 | Integrated Clinical Reasoning | Difficult | WB2/WB4 | Primary concept: Minimum necessary protective disclosure</w:t>
      </w:r>
    </w:p>
    <w:p>
      <w:pPr>
        <w:spacing w:after="60" w:line="247" w:lineRule="auto"/>
        <w:keepNext/>
      </w:pPr>
      <w:r>
        <w:rPr>
          <w:rFonts w:ascii="Arial" w:hAnsi="Arial" w:eastAsia="Arial"/>
          <w:b/>
          <w:color w:val="1F2937"/>
          <w:sz w:val="20"/>
        </w:rPr>
        <w:t>Which disclosure approach is MOST appropriate?</w:t>
      </w:r>
    </w:p>
    <w:p>
      <w:pPr>
        <w:spacing w:after="32" w:line="245" w:lineRule="auto"/>
        <w:ind w:left="230" w:hanging="230"/>
      </w:pPr>
      <w:r>
        <w:rPr>
          <w:rFonts w:ascii="Arial" w:hAnsi="Arial" w:eastAsia="Arial"/>
          <w:color w:val="1F2937"/>
          <w:sz w:val="19"/>
        </w:rPr>
        <w:t>A. Communicate the information reasonably necessary for the victim warning, law-enforcement response, child-abuse report, and emergency handoff; avoid unrelated record disclosure and document the purpose and recipient of each communication.</w:t>
      </w:r>
    </w:p>
    <w:p>
      <w:pPr>
        <w:spacing w:after="32" w:line="245" w:lineRule="auto"/>
        <w:ind w:left="230" w:hanging="230"/>
      </w:pPr>
      <w:r>
        <w:rPr>
          <w:rFonts w:ascii="Arial" w:hAnsi="Arial" w:eastAsia="Arial"/>
          <w:color w:val="1F2937"/>
          <w:sz w:val="19"/>
        </w:rPr>
        <w:t>B. Send Marcus’s entire counseling record to every agency involved.</w:t>
      </w:r>
    </w:p>
    <w:p>
      <w:pPr>
        <w:spacing w:after="32" w:line="245" w:lineRule="auto"/>
        <w:ind w:left="230" w:hanging="230"/>
      </w:pPr>
      <w:r>
        <w:rPr>
          <w:rFonts w:ascii="Arial" w:hAnsi="Arial" w:eastAsia="Arial"/>
          <w:color w:val="1F2937"/>
          <w:sz w:val="19"/>
        </w:rPr>
        <w:t>C. Refuse all disclosure because Marcus did not sign a release.</w:t>
      </w:r>
    </w:p>
    <w:p>
      <w:pPr>
        <w:spacing w:after="32" w:line="245" w:lineRule="auto"/>
        <w:ind w:left="230" w:hanging="230"/>
      </w:pPr>
      <w:r>
        <w:rPr>
          <w:rFonts w:ascii="Arial" w:hAnsi="Arial" w:eastAsia="Arial"/>
          <w:color w:val="1F2937"/>
          <w:sz w:val="19"/>
        </w:rPr>
        <w:t>D. Post a public warning on social media so others can protect Elena.</w:t>
      </w:r>
    </w:p>
    <w:p>
      <w:pPr>
        <w:spacing w:after="40"/>
      </w:pPr>
      <w:r>
        <w:rPr>
          <w:rFonts w:ascii="Arial" w:hAnsi="Arial" w:eastAsia="Arial"/>
          <w:i/>
          <w:color w:val="4E5B6B"/>
          <w:sz w:val="18"/>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rPr>
          <w:cantSplit/>
        </w:trPr>
        <w:tc>
          <w:tcPr>
            <w:tcW w:type="dxa" w:w="1944"/>
            <w:shd w:fill="C6922F"/>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CASE 3</w:t>
            </w:r>
          </w:p>
        </w:tc>
        <w:tc>
          <w:tcPr>
            <w:tcW w:type="dxa" w:w="8568"/>
            <w:shd w:fill="17365D"/>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Marcus Hill - Dual Risk and Protective Duties</w:t>
            </w:r>
          </w:p>
        </w:tc>
      </w:tr>
      <w:tr>
        <w:trPr>
          <w:cantSplit/>
        </w:trPr>
        <w:tc>
          <w:tcPr>
            <w:tcW w:type="dxa" w:w="1944"/>
            <w:shd w:fill="159C9C"/>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4"/>
              </w:rPr>
              <w:t>PART 3</w:t>
            </w:r>
          </w:p>
        </w:tc>
        <w:tc>
          <w:tcPr>
            <w:tcW w:type="dxa" w:w="8568"/>
            <w:shd w:fill="E7F3F3"/>
            <w:tcMar>
              <w:top w:w="95" w:type="dxa"/>
              <w:start w:w="110" w:type="dxa"/>
              <w:bottom w:w="95" w:type="dxa"/>
              <w:end w:w="110"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17365D"/>
                <w:sz w:val="22"/>
              </w:rPr>
              <w:t>Emergency handoff and follow-up</w:t>
            </w:r>
          </w:p>
        </w:tc>
      </w:tr>
    </w:tbl>
    <w:p>
      <w:pPr>
        <w:spacing w:before="140" w:after="120" w:line="254" w:lineRule="auto"/>
      </w:pPr>
      <w:r>
        <w:rPr>
          <w:rFonts w:ascii="Arial" w:hAnsi="Arial" w:eastAsia="Arial"/>
          <w:b w:val="0"/>
          <w:i w:val="0"/>
          <w:color w:val="1F2937"/>
          <w:sz w:val="21"/>
        </w:rPr>
        <w:t>A mobile crisis team and law enforcement arrive. An authorized clinician arranges emergency evaluation, and the firearm is secured. Marcus agrees to voluntary transport to an emergency department. Four days later, discharge recommendations include a substance-use assessment, medication consultation, an updated safety plan, no firearm access, and rapid outpatient follow-up. Kayla is staying with a safe relative, and child protective services is involved.</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NO-RETURN SIMULATION</w:t>
            </w:r>
          </w:p>
          <w:p>
            <w:pPr>
              <w:spacing w:after="20" w:line="250" w:lineRule="auto"/>
            </w:pPr>
            <w:r>
              <w:rPr>
                <w:rFonts w:ascii="Arial" w:hAnsi="Arial" w:eastAsia="Arial"/>
                <w:color w:val="1F2937"/>
                <w:sz w:val="18"/>
              </w:rPr>
              <w:t>Complete every question in this section before continuing. After you move to the next part, do not revise earlier responses.</w:t>
            </w:r>
          </w:p>
        </w:tc>
      </w:tr>
    </w:tbl>
    <w:p>
      <w:pPr>
        <w:spacing w:after="0"/>
      </w:pPr>
    </w:p>
    <w:p>
      <w:pPr>
        <w:spacing w:before="100" w:after="40"/>
        <w:keepNext/>
      </w:pPr>
      <w:r>
        <w:rPr>
          <w:rFonts w:ascii="Arial" w:hAnsi="Arial" w:eastAsia="Arial"/>
          <w:b/>
          <w:color w:val="1F7A8C"/>
          <w:sz w:val="17"/>
        </w:rPr>
        <w:t>LPCC-CP1-Q036 | Application | Moderate | WB1/WB4 | Primary concept: Direct handoff</w:t>
      </w:r>
    </w:p>
    <w:p>
      <w:pPr>
        <w:spacing w:after="60" w:line="247" w:lineRule="auto"/>
        <w:keepNext/>
      </w:pPr>
      <w:r>
        <w:rPr>
          <w:rFonts w:ascii="Arial" w:hAnsi="Arial" w:eastAsia="Arial"/>
          <w:b/>
          <w:color w:val="1F2937"/>
          <w:sz w:val="20"/>
        </w:rPr>
        <w:t>What is the BEST action as responders take over the scene?</w:t>
      </w:r>
    </w:p>
    <w:p>
      <w:pPr>
        <w:spacing w:after="32" w:line="245" w:lineRule="auto"/>
        <w:ind w:left="230" w:hanging="230"/>
      </w:pPr>
      <w:r>
        <w:rPr>
          <w:rFonts w:ascii="Arial" w:hAnsi="Arial" w:eastAsia="Arial"/>
          <w:color w:val="1F2937"/>
          <w:sz w:val="19"/>
        </w:rPr>
        <w:t>A. End the call immediately because responsibility has transferred.</w:t>
      </w:r>
    </w:p>
    <w:p>
      <w:pPr>
        <w:spacing w:after="32" w:line="245" w:lineRule="auto"/>
        <w:ind w:left="230" w:hanging="230"/>
      </w:pPr>
      <w:r>
        <w:rPr>
          <w:rFonts w:ascii="Arial" w:hAnsi="Arial" w:eastAsia="Arial"/>
          <w:color w:val="1F2937"/>
          <w:sz w:val="19"/>
        </w:rPr>
        <w:t>B. Tell Marcus to explain everything again and provide no information to responders.</w:t>
      </w:r>
    </w:p>
    <w:p>
      <w:pPr>
        <w:spacing w:after="32" w:line="245" w:lineRule="auto"/>
        <w:ind w:left="230" w:hanging="230"/>
      </w:pPr>
      <w:r>
        <w:rPr>
          <w:rFonts w:ascii="Arial" w:hAnsi="Arial" w:eastAsia="Arial"/>
          <w:color w:val="1F2937"/>
          <w:sz w:val="19"/>
        </w:rPr>
        <w:t>C. Confirm responder identity and arrival, provide concise relevant risk and medical information, clarify firearm and victim concerns, document acceptance of the handoff, and identify the next point of contact.</w:t>
      </w:r>
    </w:p>
    <w:p>
      <w:pPr>
        <w:spacing w:after="32" w:line="245" w:lineRule="auto"/>
        <w:ind w:left="230" w:hanging="230"/>
      </w:pPr>
      <w:r>
        <w:rPr>
          <w:rFonts w:ascii="Arial" w:hAnsi="Arial" w:eastAsia="Arial"/>
          <w:color w:val="1F2937"/>
          <w:sz w:val="19"/>
        </w:rPr>
        <w:t>D. Ask the bartender to transport Marcus instead of the crisis team.</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LPCC-CP1-Q037 | Knowledge &amp; Application | Easy | WB3/WB4 | Primary concept: Crisis documentation</w:t>
      </w:r>
    </w:p>
    <w:p>
      <w:pPr>
        <w:spacing w:after="60" w:line="247" w:lineRule="auto"/>
        <w:keepNext/>
      </w:pPr>
      <w:r>
        <w:rPr>
          <w:rFonts w:ascii="Arial" w:hAnsi="Arial" w:eastAsia="Arial"/>
          <w:b/>
          <w:color w:val="1F2937"/>
          <w:sz w:val="20"/>
        </w:rPr>
        <w:t>Which record is MOST appropriate after the emergency?</w:t>
      </w:r>
    </w:p>
    <w:p>
      <w:pPr>
        <w:spacing w:after="32" w:line="245" w:lineRule="auto"/>
        <w:ind w:left="230" w:hanging="230"/>
      </w:pPr>
      <w:r>
        <w:rPr>
          <w:rFonts w:ascii="Arial" w:hAnsi="Arial" w:eastAsia="Arial"/>
          <w:color w:val="1F2937"/>
          <w:sz w:val="19"/>
        </w:rPr>
        <w:t>A. “Marcus was dangerous and out of control.”</w:t>
      </w:r>
    </w:p>
    <w:p>
      <w:pPr>
        <w:spacing w:after="32" w:line="245" w:lineRule="auto"/>
        <w:ind w:left="230" w:hanging="230"/>
      </w:pPr>
      <w:r>
        <w:rPr>
          <w:rFonts w:ascii="Arial" w:hAnsi="Arial" w:eastAsia="Arial"/>
          <w:color w:val="1F2937"/>
          <w:sz w:val="19"/>
        </w:rPr>
        <w:t>B. Document reported and observed facts and quotes, MSE and intoxication indicators, suicide and violence assessment, firearm information, protective communications, child report, consultations, responders contacted, disclosures, handoff confirmation, disposition rationale, and follow-up plan.</w:t>
      </w:r>
    </w:p>
    <w:p>
      <w:pPr>
        <w:spacing w:after="32" w:line="245" w:lineRule="auto"/>
        <w:ind w:left="230" w:hanging="230"/>
      </w:pPr>
      <w:r>
        <w:rPr>
          <w:rFonts w:ascii="Arial" w:hAnsi="Arial" w:eastAsia="Arial"/>
          <w:color w:val="1F2937"/>
          <w:sz w:val="19"/>
        </w:rPr>
        <w:t>C. Document only that police were called.</w:t>
      </w:r>
    </w:p>
    <w:p>
      <w:pPr>
        <w:spacing w:after="32" w:line="245" w:lineRule="auto"/>
        <w:ind w:left="230" w:hanging="230"/>
      </w:pPr>
      <w:r>
        <w:rPr>
          <w:rFonts w:ascii="Arial" w:hAnsi="Arial" w:eastAsia="Arial"/>
          <w:color w:val="1F2937"/>
          <w:sz w:val="19"/>
        </w:rPr>
        <w:t>D. Delete the video-session note because law enforcement now has a report.</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LPCC-CP1-Q038 | Integrated Clinical Reasoning | Difficult | WB1/WB3/WB4 | Primary concept: Post-crisis reassessment and planning</w:t>
      </w:r>
    </w:p>
    <w:p>
      <w:pPr>
        <w:spacing w:after="60" w:line="247" w:lineRule="auto"/>
        <w:keepNext/>
      </w:pPr>
      <w:r>
        <w:rPr>
          <w:rFonts w:ascii="Arial" w:hAnsi="Arial" w:eastAsia="Arial"/>
          <w:b/>
          <w:color w:val="1F2937"/>
          <w:sz w:val="20"/>
        </w:rPr>
        <w:t>What should the counselor do FIRST at the post-discharge appointment?</w:t>
      </w:r>
    </w:p>
    <w:p>
      <w:pPr>
        <w:spacing w:after="32" w:line="245" w:lineRule="auto"/>
        <w:ind w:left="230" w:hanging="230"/>
      </w:pPr>
      <w:r>
        <w:rPr>
          <w:rFonts w:ascii="Arial" w:hAnsi="Arial" w:eastAsia="Arial"/>
          <w:color w:val="1F2937"/>
          <w:sz w:val="19"/>
        </w:rPr>
        <w:t>A. Resume the pre-crisis treatment plan without discussing the emergency.</w:t>
      </w:r>
    </w:p>
    <w:p>
      <w:pPr>
        <w:spacing w:after="32" w:line="245" w:lineRule="auto"/>
        <w:ind w:left="230" w:hanging="230"/>
      </w:pPr>
      <w:r>
        <w:rPr>
          <w:rFonts w:ascii="Arial" w:hAnsi="Arial" w:eastAsia="Arial"/>
          <w:color w:val="1F2937"/>
          <w:sz w:val="19"/>
        </w:rPr>
        <w:t>B. Focus only on job-search goals because the hospital addressed safety.</w:t>
      </w:r>
    </w:p>
    <w:p>
      <w:pPr>
        <w:spacing w:after="32" w:line="245" w:lineRule="auto"/>
        <w:ind w:left="230" w:hanging="230"/>
      </w:pPr>
      <w:r>
        <w:rPr>
          <w:rFonts w:ascii="Arial" w:hAnsi="Arial" w:eastAsia="Arial"/>
          <w:color w:val="1F2937"/>
          <w:sz w:val="19"/>
        </w:rPr>
        <w:t>C. Begin trauma processing to prevent future threats.</w:t>
      </w:r>
    </w:p>
    <w:p>
      <w:pPr>
        <w:spacing w:after="32" w:line="245" w:lineRule="auto"/>
        <w:ind w:left="230" w:hanging="230"/>
      </w:pPr>
      <w:r>
        <w:rPr>
          <w:rFonts w:ascii="Arial" w:hAnsi="Arial" w:eastAsia="Arial"/>
          <w:color w:val="1F2937"/>
          <w:sz w:val="19"/>
        </w:rPr>
        <w:t>D. Reassess current suicide and violence risk, substance use and withdrawal concerns, access to weapons, MSE and medical status, adherence to discharge recommendations, child and legal-system developments, supports, and level of care; then update the collaborative plan and coordination releases.</w:t>
      </w:r>
    </w:p>
    <w:p>
      <w:pPr>
        <w:spacing w:after="4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LPCC-CP1-Q039 | Application | Moderate | WB2 | Primary concept: Counselor self-awareness after crisis</w:t>
      </w:r>
    </w:p>
    <w:p>
      <w:pPr>
        <w:spacing w:after="60" w:line="247" w:lineRule="auto"/>
        <w:keepNext/>
      </w:pPr>
      <w:r>
        <w:rPr>
          <w:rFonts w:ascii="Arial" w:hAnsi="Arial" w:eastAsia="Arial"/>
          <w:b/>
          <w:color w:val="1F2937"/>
          <w:sz w:val="20"/>
        </w:rPr>
        <w:t>The counselor notices persistent fear, replaying of the session, and difficulty concentrating before the next client. What is the BEST response?</w:t>
      </w:r>
    </w:p>
    <w:p>
      <w:pPr>
        <w:spacing w:after="32" w:line="245" w:lineRule="auto"/>
        <w:ind w:left="230" w:hanging="230"/>
      </w:pPr>
      <w:r>
        <w:rPr>
          <w:rFonts w:ascii="Arial" w:hAnsi="Arial" w:eastAsia="Arial"/>
          <w:color w:val="1F2937"/>
          <w:sz w:val="19"/>
        </w:rPr>
        <w:t>A. Use supervision or consultation to review the case and personal impact, apply immediate regulation and workload protections, monitor functioning, seek additional professional support if needed, and modify duties when impairment could affect client care.</w:t>
      </w:r>
    </w:p>
    <w:p>
      <w:pPr>
        <w:spacing w:after="32" w:line="245" w:lineRule="auto"/>
        <w:ind w:left="230" w:hanging="230"/>
      </w:pPr>
      <w:r>
        <w:rPr>
          <w:rFonts w:ascii="Arial" w:hAnsi="Arial" w:eastAsia="Arial"/>
          <w:color w:val="1F2937"/>
          <w:sz w:val="19"/>
        </w:rPr>
        <w:t>B. Ignore the reaction because competent counselors should not be affected by crisis work.</w:t>
      </w:r>
    </w:p>
    <w:p>
      <w:pPr>
        <w:spacing w:after="32" w:line="245" w:lineRule="auto"/>
        <w:ind w:left="230" w:hanging="230"/>
      </w:pPr>
      <w:r>
        <w:rPr>
          <w:rFonts w:ascii="Arial" w:hAnsi="Arial" w:eastAsia="Arial"/>
          <w:color w:val="1F2937"/>
          <w:sz w:val="19"/>
        </w:rPr>
        <w:t>C. Tell Marcus that the counselor is traumatized so he can apologize.</w:t>
      </w:r>
    </w:p>
    <w:p>
      <w:pPr>
        <w:spacing w:after="32" w:line="245" w:lineRule="auto"/>
        <w:ind w:left="230" w:hanging="230"/>
      </w:pPr>
      <w:r>
        <w:rPr>
          <w:rFonts w:ascii="Arial" w:hAnsi="Arial" w:eastAsia="Arial"/>
          <w:color w:val="1F2937"/>
          <w:sz w:val="19"/>
        </w:rPr>
        <w:t>D. Continue the full caseload without change and rely only on positive thinking.</w:t>
      </w:r>
    </w:p>
    <w:p>
      <w:pPr>
        <w:spacing w:after="40"/>
      </w:pPr>
      <w:r>
        <w:rPr>
          <w:rFonts w:ascii="Arial" w:hAnsi="Arial" w:eastAsia="Arial"/>
          <w:i/>
          <w:color w:val="4E5B6B"/>
          <w:sz w:val="18"/>
        </w:rPr>
        <w:t>My answer: ______    Confidence: 1  2  3</w:t>
      </w:r>
    </w:p>
    <w:p>
      <w:pPr>
        <w:pStyle w:val="Heading1"/>
        <w:spacing w:before="100" w:after="80"/>
        <w:keepNext/>
      </w:pPr>
      <w:r>
        <w:rPr>
          <w:rFonts w:ascii="Arial" w:hAnsi="Arial" w:eastAsia="Arial"/>
          <w:b/>
          <w:color w:val="17365D"/>
          <w:sz w:val="23"/>
        </w:rPr>
        <w:t>Post-Assessment Reflection</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DO NOT SCORE FROM MEMORY</w:t>
            </w:r>
          </w:p>
          <w:p>
            <w:pPr>
              <w:spacing w:after="20" w:line="250" w:lineRule="auto"/>
            </w:pPr>
            <w:r>
              <w:rPr>
                <w:rFonts w:ascii="Arial" w:hAnsi="Arial" w:eastAsia="Arial"/>
                <w:color w:val="1F2937"/>
                <w:sz w:val="19"/>
              </w:rPr>
              <w:t>Use the separate Answer &amp; Rationales form. Review every incorrect answer and every correct answer marked confidence 1.</w:t>
            </w:r>
          </w:p>
        </w:tc>
      </w:tr>
    </w:tbl>
    <w:p>
      <w:pPr>
        <w:spacing w:after="0"/>
      </w:pP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180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Case</w:t>
            </w:r>
          </w:p>
        </w:tc>
        <w:tc>
          <w:tcPr>
            <w:tcW w:type="dxa" w:w="158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Time used</w:t>
            </w:r>
          </w:p>
        </w:tc>
        <w:tc>
          <w:tcPr>
            <w:tcW w:type="dxa" w:w="158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Correct</w:t>
            </w:r>
          </w:p>
        </w:tc>
        <w:tc>
          <w:tcPr>
            <w:tcW w:type="dxa" w:w="223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Low-confidence correct</w:t>
            </w:r>
          </w:p>
        </w:tc>
        <w:tc>
          <w:tcPr>
            <w:tcW w:type="dxa" w:w="331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Primary error codes</w:t>
            </w:r>
          </w:p>
        </w:tc>
      </w:tr>
      <w:tr>
        <w:trPr>
          <w:cantSplit/>
        </w:trPr>
        <w:tc>
          <w:tcPr>
            <w:tcW w:type="dxa" w:w="18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1 - Marisol</w:t>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w:t>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13</w:t>
            </w:r>
          </w:p>
        </w:tc>
        <w:tc>
          <w:tcPr>
            <w:tcW w:type="dxa" w:w="22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w:t>
            </w:r>
          </w:p>
        </w:tc>
        <w:tc>
          <w:tcPr>
            <w:tcW w:type="dxa" w:w="33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w:t>
            </w:r>
          </w:p>
        </w:tc>
      </w:tr>
      <w:tr>
        <w:trPr>
          <w:cantSplit/>
        </w:trPr>
        <w:tc>
          <w:tcPr>
            <w:tcW w:type="dxa" w:w="180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2 - Avery</w:t>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w:t>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13</w:t>
            </w:r>
          </w:p>
        </w:tc>
        <w:tc>
          <w:tcPr>
            <w:tcW w:type="dxa" w:w="22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w:t>
            </w:r>
          </w:p>
        </w:tc>
        <w:tc>
          <w:tcPr>
            <w:tcW w:type="dxa" w:w="33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w:t>
            </w:r>
          </w:p>
        </w:tc>
      </w:tr>
      <w:tr>
        <w:trPr>
          <w:cantSplit/>
        </w:trPr>
        <w:tc>
          <w:tcPr>
            <w:tcW w:type="dxa" w:w="18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3 - Marcus</w:t>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w:t>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13</w:t>
            </w:r>
          </w:p>
        </w:tc>
        <w:tc>
          <w:tcPr>
            <w:tcW w:type="dxa" w:w="22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w:t>
            </w:r>
          </w:p>
        </w:tc>
        <w:tc>
          <w:tcPr>
            <w:tcW w:type="dxa" w:w="33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w:t>
            </w:r>
          </w:p>
        </w:tc>
      </w:tr>
      <w:tr>
        <w:trPr>
          <w:cantSplit/>
        </w:trPr>
        <w:tc>
          <w:tcPr>
            <w:tcW w:type="dxa" w:w="180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Total</w:t>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w:t>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39</w:t>
            </w:r>
          </w:p>
        </w:tc>
        <w:tc>
          <w:tcPr>
            <w:tcW w:type="dxa" w:w="22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w:t>
            </w:r>
          </w:p>
        </w:tc>
        <w:tc>
          <w:tcPr>
            <w:tcW w:type="dxa" w:w="33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w:t>
            </w:r>
          </w:p>
        </w:tc>
      </w:tr>
    </w:tbl>
    <w:p>
      <w:pPr>
        <w:spacing w:after="0"/>
      </w:pPr>
    </w:p>
    <w:p>
      <w:pPr>
        <w:pStyle w:val="Heading2"/>
        <w:spacing w:before="140" w:after="80"/>
        <w:keepNext/>
      </w:pPr>
      <w:r>
        <w:rPr>
          <w:rFonts w:ascii="Arial" w:hAnsi="Arial" w:eastAsia="Arial"/>
          <w:b/>
          <w:color w:val="159C9C"/>
          <w:sz w:val="26"/>
        </w:rPr>
        <w:t>My Three Correction Rules</w:t>
      </w:r>
    </w:p>
    <w:p>
      <w:pPr>
        <w:spacing w:before="0" w:after="140" w:line="254" w:lineRule="auto"/>
      </w:pPr>
      <w:r>
        <w:rPr>
          <w:rFonts w:ascii="Arial" w:hAnsi="Arial" w:eastAsia="Arial"/>
          <w:b w:val="0"/>
          <w:i w:val="0"/>
          <w:color w:val="1F2937"/>
          <w:sz w:val="20"/>
        </w:rPr>
        <w:t>1. __________________________________________________________________________________</w:t>
      </w:r>
    </w:p>
    <w:p>
      <w:pPr>
        <w:spacing w:before="0" w:after="140" w:line="254" w:lineRule="auto"/>
      </w:pPr>
      <w:r>
        <w:rPr>
          <w:rFonts w:ascii="Arial" w:hAnsi="Arial" w:eastAsia="Arial"/>
          <w:b w:val="0"/>
          <w:i w:val="0"/>
          <w:color w:val="1F2937"/>
          <w:sz w:val="20"/>
        </w:rPr>
        <w:t xml:space="preserve">   __________________________________________________________________________________</w:t>
      </w:r>
    </w:p>
    <w:p>
      <w:pPr>
        <w:spacing w:before="0" w:after="140" w:line="254" w:lineRule="auto"/>
      </w:pPr>
      <w:r>
        <w:rPr>
          <w:rFonts w:ascii="Arial" w:hAnsi="Arial" w:eastAsia="Arial"/>
          <w:b w:val="0"/>
          <w:i w:val="0"/>
          <w:color w:val="1F2937"/>
          <w:sz w:val="20"/>
        </w:rPr>
        <w:t>2. __________________________________________________________________________________</w:t>
      </w:r>
    </w:p>
    <w:p>
      <w:pPr>
        <w:spacing w:before="0" w:after="140" w:line="254" w:lineRule="auto"/>
      </w:pPr>
      <w:r>
        <w:rPr>
          <w:rFonts w:ascii="Arial" w:hAnsi="Arial" w:eastAsia="Arial"/>
          <w:b w:val="0"/>
          <w:i w:val="0"/>
          <w:color w:val="1F2937"/>
          <w:sz w:val="20"/>
        </w:rPr>
        <w:t xml:space="preserve">   __________________________________________________________________________________</w:t>
      </w:r>
    </w:p>
    <w:p>
      <w:pPr>
        <w:spacing w:before="0" w:after="140" w:line="254" w:lineRule="auto"/>
      </w:pPr>
      <w:r>
        <w:rPr>
          <w:rFonts w:ascii="Arial" w:hAnsi="Arial" w:eastAsia="Arial"/>
          <w:b w:val="0"/>
          <w:i w:val="0"/>
          <w:color w:val="1F2937"/>
          <w:sz w:val="20"/>
        </w:rPr>
        <w:t>3. __________________________________________________________________________________</w:t>
      </w:r>
    </w:p>
    <w:p>
      <w:pPr>
        <w:spacing w:before="0" w:after="140" w:line="254" w:lineRule="auto"/>
      </w:pPr>
      <w:r>
        <w:rPr>
          <w:rFonts w:ascii="Arial" w:hAnsi="Arial" w:eastAsia="Arial"/>
          <w:b w:val="0"/>
          <w:i w:val="0"/>
          <w:color w:val="1F2937"/>
          <w:sz w:val="20"/>
        </w:rPr>
        <w:t xml:space="preserve">   __________________________________________________________________________________</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READINESS RULE</w:t>
            </w:r>
          </w:p>
          <w:p>
            <w:pPr>
              <w:spacing w:after="20" w:line="250" w:lineRule="auto"/>
            </w:pPr>
            <w:r>
              <w:rPr>
                <w:rFonts w:ascii="Arial" w:hAnsi="Arial" w:eastAsia="Arial"/>
                <w:color w:val="1F2937"/>
                <w:sz w:val="19"/>
              </w:rPr>
              <w:t>Advance only after you can explain the best answer, eliminate every distractor, name the controlling Workbook 1-4 rule, and apply that rule to a new case.</w:t>
            </w:r>
          </w:p>
        </w:tc>
      </w:tr>
    </w:tbl>
    <w:p>
      <w:pPr>
        <w:spacing w:after="0"/>
      </w:pPr>
    </w:p>
    <w:sectPr w:rsidR="00FC693F" w:rsidRPr="0006063C" w:rsidSect="00034616">
      <w:headerReference w:type="default" r:id="rId9"/>
      <w:footerReference w:type="default" r:id="rId10"/>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6"/>
      </w:rPr>
      <w:t xml:space="preserve">Clinical Training Academy - LPCC Checkpoint 1 Candidate Form v1.0  |  Page </w:t>
    </w:r>
    <w:r>
      <w:rPr>
        <w:rFonts w:ascii="Arial" w:hAnsi="Arial" w:eastAsia="Arial"/>
        <w:color w:val="4E5B6B"/>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Checkpoint 1 - Candidate Form</w:t>
          </w:r>
        </w:p>
      </w:tc>
    </w:tr>
  </w:tbl>
  <w:p>
    <w:pPr>
      <w:spacing w:after="0"/>
      <w:pBdr>
        <w:bottom w:val="single" w:sz="5" w:space="1" w:color="159C9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Checkpoint 1 - Candidate Form</dc:title>
  <dc:subject>Cumulative NCMHCE-style assessment covering LPCC Workbooks 1 through 4</dc:subject>
  <dc:creator>Clinical Training and Supervision Academy</dc:creator>
  <cp:keywords>LPCC, APCC, NCMHCE, checkpoint, cumulative assessment, clinical reasoning, intake, scope, crisis</cp:keywords>
  <dc:description>generated by python-docx</dc:description>
  <cp:lastModifiedBy/>
  <cp:revision>1</cp:revision>
  <dcterms:created xsi:type="dcterms:W3CDTF">2013-12-23T23:15:00Z</dcterms:created>
  <dcterms:modified xsi:type="dcterms:W3CDTF">2013-12-23T23:15:00Z</dcterms:modified>
  <cp:category/>
</cp:coreProperties>
</file>