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5" w:lineRule="auto"/>
        <w:jc w:val="center"/>
      </w:pPr>
      <w:r>
        <w:drawing>
          <wp:inline xmlns:a="http://schemas.openxmlformats.org/drawingml/2006/main" xmlns:pic="http://schemas.openxmlformats.org/drawingml/2006/picture">
            <wp:extent cx="1143000" cy="826213"/>
            <wp:docPr id="1" name="Picture 1" descr="Image: image2.png"/>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826213"/>
                    </a:xfrm>
                    <a:prstGeom prst="rect"/>
                  </pic:spPr>
                </pic:pic>
              </a:graphicData>
            </a:graphic>
          </wp:inline>
        </w:drawing>
      </w:r>
    </w:p>
    <w:p>
      <w:pPr>
        <w:spacing w:before="0" w:after="20" w:line="245" w:lineRule="auto"/>
        <w:jc w:val="center"/>
      </w:pPr>
      <w:r>
        <w:rPr>
          <w:rFonts w:ascii="Arial" w:hAnsi="Arial" w:eastAsia="Arial"/>
          <w:b/>
          <w:i w:val="0"/>
          <w:color w:val="159C9C"/>
          <w:sz w:val="19"/>
        </w:rPr>
        <w:t>LPCC NCMHCE EXAM PREPARATION PROGRAM</w:t>
      </w:r>
    </w:p>
    <w:p>
      <w:pPr>
        <w:spacing w:before="0" w:after="120" w:line="245" w:lineRule="auto"/>
        <w:jc w:val="center"/>
      </w:pPr>
      <w:r>
        <w:rPr>
          <w:rFonts w:ascii="Arial" w:hAnsi="Arial" w:eastAsia="Arial"/>
          <w:b/>
          <w:i w:val="0"/>
          <w:color w:val="17365D"/>
          <w:sz w:val="23"/>
        </w:rPr>
        <w:t>Candidate Question Form</w:t>
      </w:r>
    </w:p>
    <w:p>
      <w:pPr>
        <w:spacing w:before="0" w:after="60" w:line="245" w:lineRule="auto"/>
        <w:jc w:val="center"/>
      </w:pPr>
      <w:r>
        <w:rPr>
          <w:rFonts w:ascii="Arial" w:hAnsi="Arial" w:eastAsia="Arial"/>
          <w:b/>
          <w:i w:val="0"/>
          <w:color w:val="17365D"/>
          <w:sz w:val="36"/>
        </w:rPr>
        <w:t>Workbook 10: 17-Question Practice Bank</w:t>
      </w:r>
    </w:p>
    <w:p>
      <w:pPr>
        <w:spacing w:before="0" w:after="40" w:line="245" w:lineRule="auto"/>
        <w:jc w:val="center"/>
      </w:pPr>
      <w:r>
        <w:rPr>
          <w:rFonts w:ascii="Arial" w:hAnsi="Arial" w:eastAsia="Arial"/>
          <w:b w:val="0"/>
          <w:i w:val="0"/>
          <w:color w:val="1F2937"/>
          <w:sz w:val="22"/>
        </w:rPr>
        <w:t>Multicultural, Developmental, Career, Spiritual, Disability, and Context-Responsive Counseling</w:t>
      </w:r>
    </w:p>
    <w:p>
      <w:pPr>
        <w:spacing w:before="0" w:after="80" w:line="245" w:lineRule="auto"/>
        <w:jc w:val="center"/>
      </w:pPr>
      <w:r>
        <w:rPr>
          <w:rFonts w:ascii="Arial" w:hAnsi="Arial" w:eastAsia="Arial"/>
          <w:b w:val="0"/>
          <w:i/>
          <w:color w:val="4B5563"/>
          <w:sz w:val="17"/>
        </w:rPr>
        <w:t>Complete independently before opening the separate answer-and-rationales document</w:t>
      </w:r>
    </w:p>
    <w:p>
      <w:pPr>
        <w:spacing w:before="0" w:after="160" w:line="245" w:lineRule="auto"/>
        <w:jc w:val="center"/>
      </w:pPr>
      <w:r>
        <w:rPr>
          <w:rFonts w:ascii="Arial" w:hAnsi="Arial" w:eastAsia="Arial"/>
          <w:b w:val="0"/>
          <w:i w:val="0"/>
          <w:color w:val="17365D"/>
          <w:sz w:val="17"/>
        </w:rPr>
        <w:t>Version 1.0 - July 2026</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ORIGINAL CTA PRACTICE MATERIAL</w:t>
            </w:r>
          </w:p>
          <w:p>
            <w:pPr>
              <w:spacing w:before="0" w:after="0" w:line="240" w:lineRule="auto"/>
            </w:pPr>
            <w:r>
              <w:rPr>
                <w:rFonts w:ascii="Arial" w:hAnsi="Arial" w:eastAsia="Arial"/>
                <w:color w:val="1F2937"/>
                <w:sz w:val="16"/>
              </w:rPr>
              <w:t>Every question and case detail in this bank is an original CTA educational item. No item is an actual, recalled, reconstructed, or purported licensing-examination question.</w:t>
            </w:r>
          </w:p>
        </w:tc>
      </w:tr>
    </w:tbl>
    <w:p>
      <w:pPr>
        <w:spacing w:before="0" w:after="0" w:line="245" w:lineRule="auto"/>
        <w:jc w:val="center"/>
      </w:pPr>
      <w:r>
        <w:rPr>
          <w:rFonts w:ascii="Arial" w:hAnsi="Arial" w:eastAsia="Arial"/>
          <w:b/>
          <w:i w:val="0"/>
          <w:color w:val="17365D"/>
          <w:sz w:val="16"/>
        </w:rPr>
        <w:t>Clinical Training Academy</w:t>
      </w:r>
    </w:p>
    <w:p>
      <w:r>
        <w:br w:type="page"/>
      </w:r>
    </w:p>
    <w:p>
      <w:pPr>
        <w:pStyle w:val="Heading1"/>
        <w:spacing w:before="0" w:after="60" w:line="245" w:lineRule="auto"/>
        <w:keepNext/>
      </w:pPr>
      <w:r>
        <w:rPr>
          <w:rFonts w:ascii="Arial" w:hAnsi="Arial" w:eastAsia="Arial"/>
          <w:b/>
          <w:color w:val="159C9C"/>
          <w:sz w:val="28"/>
        </w:rPr>
        <w:t>Candidate Instructions</w:t>
      </w:r>
    </w:p>
    <w:p>
      <w:pPr>
        <w:pStyle w:val="ListBullet"/>
        <w:spacing w:before="0" w:after="20" w:line="245" w:lineRule="auto"/>
      </w:pPr>
      <w:r>
        <w:rPr>
          <w:rFonts w:ascii="Arial" w:hAnsi="Arial" w:eastAsia="Arial"/>
          <w:sz w:val="17"/>
        </w:rPr>
        <w:t>Complete all 17 questions without opening the Answer &amp; Rationales form.</w:t>
      </w:r>
    </w:p>
    <w:p>
      <w:pPr>
        <w:pStyle w:val="ListBullet"/>
        <w:spacing w:before="0" w:after="20" w:line="245" w:lineRule="auto"/>
      </w:pPr>
      <w:r>
        <w:rPr>
          <w:rFonts w:ascii="Arial" w:hAnsi="Arial" w:eastAsia="Arial"/>
          <w:sz w:val="17"/>
        </w:rPr>
        <w:t>Suggested timing: 27 minutes total. Record one answer, a confidence rating from 1 to 3, and a flag if review is needed.</w:t>
      </w:r>
    </w:p>
    <w:p>
      <w:pPr>
        <w:pStyle w:val="ListBullet"/>
        <w:spacing w:before="0" w:after="20" w:line="245" w:lineRule="auto"/>
      </w:pPr>
      <w:r>
        <w:rPr>
          <w:rFonts w:ascii="Arial" w:hAnsi="Arial" w:eastAsia="Arial"/>
          <w:sz w:val="17"/>
        </w:rPr>
        <w:t>Questions 1-5 are targeted context-responsive counseling items. Questions 6-17 form one three-part NCMHCE-style case.</w:t>
      </w:r>
    </w:p>
    <w:p>
      <w:pPr>
        <w:pStyle w:val="ListBullet"/>
        <w:spacing w:before="0" w:after="20" w:line="245" w:lineRule="auto"/>
      </w:pPr>
      <w:r>
        <w:rPr>
          <w:rFonts w:ascii="Arial" w:hAnsi="Arial" w:eastAsia="Arial"/>
          <w:sz w:val="17"/>
        </w:rPr>
        <w:t>For the case, use only the facts available in the current section. Once you continue, do not revise earlier case-section answers or use later facts as earlier evidence.</w:t>
      </w:r>
    </w:p>
    <w:p>
      <w:pPr>
        <w:pStyle w:val="ListBullet"/>
        <w:spacing w:before="0" w:after="20" w:line="245" w:lineRule="auto"/>
      </w:pPr>
      <w:r>
        <w:rPr>
          <w:rFonts w:ascii="Arial" w:hAnsi="Arial" w:eastAsia="Arial"/>
          <w:sz w:val="17"/>
        </w:rPr>
        <w:t>Choose one best answer. Give priority to HUMBLE broaching, ACCESS participation, LIFESPAN development and career process, MEANING integration, and RESPOND adaptation and advocacy.</w:t>
      </w:r>
    </w:p>
    <w:p>
      <w:pPr>
        <w:pStyle w:val="ListBullet"/>
        <w:spacing w:before="0" w:after="20" w:line="245" w:lineRule="auto"/>
      </w:pPr>
      <w:r>
        <w:rPr>
          <w:rFonts w:ascii="Arial" w:hAnsi="Arial" w:eastAsia="Arial"/>
          <w:sz w:val="17"/>
        </w:rPr>
        <w:t>After completing the bank, use the separate rationale form to review every option and write a transferable correction rule.</w:t>
      </w:r>
    </w:p>
    <w:tbl>
      <w:tblPr>
        <w:tblW w:type="auto" w:w="0"/>
        <w:jc w:val="center"/>
        <w:tblLayout w:type="fixed"/>
        <w:tblLook w:firstColumn="1" w:firstRow="1" w:lastColumn="0" w:lastRow="0" w:noHBand="0" w:noVBand="1" w:val="04A0"/>
      </w:tblPr>
      <w:tblGrid>
        <w:gridCol w:w="10080"/>
      </w:tblGrid>
      <w:tr>
        <w:tc>
          <w:tcPr>
            <w:tcW w:type="dxa" w:w="10310"/>
            <w:shd w:fill="E8F5F5"/>
            <w:tcMar>
              <w:top w:w="70" w:type="dxa"/>
              <w:start w:w="95" w:type="dxa"/>
              <w:bottom w:w="70" w:type="dxa"/>
              <w:end w:w="95" w:type="dxa"/>
            </w:tcMar>
            <w:tcBorders>
              <w:top w:val="single" w:sz="7" w:color="159C9C"/>
              <w:left w:val="single" w:sz="7" w:color="159C9C"/>
              <w:bottom w:val="single" w:sz="7" w:color="159C9C"/>
              <w:right w:val="single" w:sz="7" w:color="159C9C"/>
              <w:insideH w:val="single" w:sz="7" w:color="159C9C"/>
              <w:insideV w:val="single" w:sz="7" w:color="159C9C"/>
            </w:tcBorders>
          </w:tcPr>
          <w:p>
            <w:pPr>
              <w:spacing w:before="0" w:after="20" w:line="245" w:lineRule="auto"/>
            </w:pPr>
            <w:r>
              <w:rPr>
                <w:rFonts w:ascii="Arial" w:hAnsi="Arial" w:eastAsia="Arial"/>
                <w:b/>
                <w:color w:val="159C9C"/>
                <w:sz w:val="17"/>
              </w:rPr>
              <w:t>WORKBOOK 10 DECISION TOOLS</w:t>
            </w:r>
          </w:p>
          <w:p>
            <w:pPr>
              <w:spacing w:before="0" w:after="0" w:line="240" w:lineRule="auto"/>
            </w:pPr>
            <w:r>
              <w:rPr>
                <w:rFonts w:ascii="Arial" w:hAnsi="Arial" w:eastAsia="Arial"/>
                <w:color w:val="1F2937"/>
                <w:sz w:val="16"/>
              </w:rPr>
              <w:t>HUMBLE examines assumptions, power, broaching, and repair. ACCESS establishes effective communication and participation. LIFESPAN integrates development and career context without turning theory or testing into a verdict. MEANING follows the client’s spirituality, grief, and transition goals with consent and competence. RESPOND adapts delivery, coordinates resources, and supports proportionate advocacy.</w:t>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EDUCATIONAL AND NON-AFFILIATION NOTICE</w:t>
            </w:r>
          </w:p>
          <w:p>
            <w:pPr>
              <w:spacing w:before="0" w:after="0" w:line="240" w:lineRule="auto"/>
            </w:pPr>
            <w:r>
              <w:rPr>
                <w:rFonts w:ascii="Arial" w:hAnsi="Arial" w:eastAsia="Arial"/>
                <w:color w:val="1F2937"/>
                <w:sz w:val="15"/>
              </w:rPr>
              <w:t>This independent exam-preparation bank is not affiliated with or endorsed by the California Board of Behavioral Sciences, NBCC, Pearson VUE, or another testing organization. It does not guarantee passage and does not provide continuing-education credit.</w:t>
            </w:r>
          </w:p>
        </w:tc>
      </w:tr>
    </w:tbl>
    <w:p>
      <w:pPr>
        <w:pStyle w:val="Heading2"/>
        <w:spacing w:before="0" w:after="60" w:line="245" w:lineRule="auto"/>
        <w:keepNext/>
      </w:pPr>
      <w:r>
        <w:rPr>
          <w:rFonts w:ascii="Arial" w:hAnsi="Arial" w:eastAsia="Arial"/>
          <w:b/>
          <w:color w:val="17365D"/>
          <w:sz w:val="21"/>
        </w:rPr>
        <w:t>Candidate Answer Sheet</w:t>
      </w:r>
    </w:p>
    <w:p>
      <w:pPr>
        <w:spacing w:before="0" w:after="40" w:line="245" w:lineRule="auto"/>
      </w:pPr>
      <w:r>
        <w:rPr>
          <w:rFonts w:ascii="Arial" w:hAnsi="Arial" w:eastAsia="Arial"/>
          <w:b/>
          <w:i w:val="0"/>
          <w:color w:val="17365D"/>
          <w:sz w:val="16"/>
        </w:rPr>
        <w:t>Start time: __________    End time: __________    Total time: __________</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c>
          <w:tcPr>
            <w:tcW w:type="dxa" w:w="504"/>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w:t>
            </w:r>
          </w:p>
        </w:tc>
        <w:tc>
          <w:tcPr>
            <w:tcW w:type="dxa" w:w="79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Ans</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Conf</w:t>
            </w:r>
          </w:p>
        </w:tc>
        <w:tc>
          <w:tcPr>
            <w:tcW w:type="dxa" w:w="720"/>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Flag</w:t>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10</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2</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11</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3</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12</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4</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13</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5</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14</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6</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15</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7</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16</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8</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17</w:t>
            </w:r>
          </w:p>
        </w:tc>
        <w:tc>
          <w:tcPr>
            <w:tcW w:type="dxa" w:w="79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r>
        <w:trPr>
          <w:cantSplit/>
          <w:trHeight w:val="317"/>
        </w:trPr>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t>9</w:t>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504"/>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9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c>
          <w:tcPr>
            <w:tcW w:type="dxa" w:w="720"/>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5"/>
              </w:rPr>
            </w:r>
          </w:p>
        </w:tc>
      </w:tr>
    </w:tbl>
    <w:p>
      <w:r>
        <w:br w:type="page"/>
      </w:r>
    </w:p>
    <w:p>
      <w:pPr>
        <w:pStyle w:val="Heading1"/>
        <w:spacing w:before="0" w:after="60" w:line="245" w:lineRule="auto"/>
        <w:keepNext/>
      </w:pPr>
      <w:r>
        <w:rPr>
          <w:rFonts w:ascii="Arial" w:hAnsi="Arial" w:eastAsia="Arial"/>
          <w:b/>
          <w:color w:val="159C9C"/>
          <w:sz w:val="28"/>
        </w:rPr>
        <w:t>Section I - Targeted Context-Responsive Counseling Questions</w:t>
      </w:r>
    </w:p>
    <w:p>
      <w:pPr>
        <w:spacing w:before="0" w:after="60" w:line="245" w:lineRule="auto"/>
      </w:pPr>
      <w:r>
        <w:rPr>
          <w:rFonts w:ascii="Arial" w:hAnsi="Arial" w:eastAsia="Arial"/>
          <w:b w:val="0"/>
          <w:i/>
          <w:color w:val="17365D"/>
          <w:sz w:val="16"/>
        </w:rPr>
        <w:t>Complete Questions 1-5 by examining assumptions and power, establishing effective access, using developmental and career information without overreach, integrating meaning with consent, and adapting care through collaborative advocacy.</w:t>
      </w:r>
    </w:p>
    <w:p>
      <w:pPr>
        <w:spacing w:before="0" w:after="20" w:line="245" w:lineRule="auto"/>
        <w:keepNext/>
      </w:pPr>
      <w:r>
        <w:rPr>
          <w:rFonts w:ascii="Arial" w:hAnsi="Arial" w:eastAsia="Arial"/>
          <w:b/>
          <w:color w:val="159C9C"/>
          <w:sz w:val="14"/>
        </w:rPr>
        <w:t>LPCC-WB10-PB-Q001 | Knowledge &amp; Application | Easy | Primary concept: HUMBLE and assumption repair</w:t>
      </w:r>
    </w:p>
    <w:p>
      <w:pPr>
        <w:spacing w:before="0" w:after="20" w:line="245" w:lineRule="auto"/>
        <w:keepNext/>
      </w:pPr>
      <w:r>
        <w:rPr>
          <w:rFonts w:ascii="Arial" w:hAnsi="Arial" w:eastAsia="Arial"/>
          <w:b/>
          <w:sz w:val="16"/>
        </w:rPr>
        <w:t>A client says, “You keep framing moving out of my parents’ home as the sign that treatment is working. In my family, shared living and joint decisions are important.” What is the BEST counselor response?</w:t>
      </w:r>
    </w:p>
    <w:p>
      <w:pPr>
        <w:spacing w:before="0" w:after="10" w:line="240" w:lineRule="auto"/>
        <w:ind w:left="230" w:hanging="230"/>
      </w:pPr>
      <w:r>
        <w:rPr>
          <w:rFonts w:ascii="Arial" w:hAnsi="Arial" w:eastAsia="Arial"/>
          <w:sz w:val="16"/>
        </w:rPr>
        <w:t>A. Explain that independent living is the healthiest adult goal and should remain in the plan.</w:t>
      </w:r>
    </w:p>
    <w:p>
      <w:pPr>
        <w:spacing w:before="0" w:after="10" w:line="240" w:lineRule="auto"/>
        <w:ind w:left="230" w:hanging="230"/>
      </w:pPr>
      <w:r>
        <w:rPr>
          <w:rFonts w:ascii="Arial" w:hAnsi="Arial" w:eastAsia="Arial"/>
          <w:sz w:val="16"/>
        </w:rPr>
        <w:t>B. Acknowledge the assumption, invite the client to describe preferred family involvement and autonomy, and revise goals collaboratively.</w:t>
      </w:r>
    </w:p>
    <w:p>
      <w:pPr>
        <w:spacing w:before="0" w:after="10" w:line="240" w:lineRule="auto"/>
        <w:ind w:left="230" w:hanging="230"/>
      </w:pPr>
      <w:r>
        <w:rPr>
          <w:rFonts w:ascii="Arial" w:hAnsi="Arial" w:eastAsia="Arial"/>
          <w:sz w:val="16"/>
        </w:rPr>
        <w:t>C. Avoid discussing family or culture because those topics are outside the counseling relationship.</w:t>
      </w:r>
    </w:p>
    <w:p>
      <w:pPr>
        <w:spacing w:before="0" w:after="10" w:line="240" w:lineRule="auto"/>
        <w:ind w:left="230" w:hanging="230"/>
      </w:pPr>
      <w:r>
        <w:rPr>
          <w:rFonts w:ascii="Arial" w:hAnsi="Arial" w:eastAsia="Arial"/>
          <w:sz w:val="16"/>
        </w:rPr>
        <w:t>D. Ask the parents to direct treatment decisions so the counselor does not impose individualistic values.</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LPCC-WB10-PB-Q002 | Knowledge &amp; Application | Easy | Primary concept: ACCESS and qualified communication support</w:t>
      </w:r>
    </w:p>
    <w:p>
      <w:pPr>
        <w:spacing w:before="0" w:after="20" w:line="245" w:lineRule="auto"/>
        <w:keepNext/>
      </w:pPr>
      <w:r>
        <w:rPr>
          <w:rFonts w:ascii="Arial" w:hAnsi="Arial" w:eastAsia="Arial"/>
          <w:b/>
          <w:sz w:val="16"/>
        </w:rPr>
        <w:t>A Deaf client uses American Sign Language for complex and emotional communication. A hearing coworker who drove the client to intake offers to interpret. What is the BEST initial action?</w:t>
      </w:r>
    </w:p>
    <w:p>
      <w:pPr>
        <w:spacing w:before="0" w:after="10" w:line="240" w:lineRule="auto"/>
        <w:ind w:left="230" w:hanging="230"/>
      </w:pPr>
      <w:r>
        <w:rPr>
          <w:rFonts w:ascii="Arial" w:hAnsi="Arial" w:eastAsia="Arial"/>
          <w:sz w:val="16"/>
        </w:rPr>
        <w:t>A. Ask about the client’s communication preferences and arrange qualified, confidential language assistance and an accessible session format.</w:t>
      </w:r>
    </w:p>
    <w:p>
      <w:pPr>
        <w:spacing w:before="0" w:after="10" w:line="240" w:lineRule="auto"/>
        <w:ind w:left="230" w:hanging="230"/>
      </w:pPr>
      <w:r>
        <w:rPr>
          <w:rFonts w:ascii="Arial" w:hAnsi="Arial" w:eastAsia="Arial"/>
          <w:sz w:val="16"/>
        </w:rPr>
        <w:t>B. Use the coworker because familiarity automatically makes interpretation more accurate and culturally responsive.</w:t>
      </w:r>
    </w:p>
    <w:p>
      <w:pPr>
        <w:spacing w:before="0" w:after="10" w:line="240" w:lineRule="auto"/>
        <w:ind w:left="230" w:hanging="230"/>
      </w:pPr>
      <w:r>
        <w:rPr>
          <w:rFonts w:ascii="Arial" w:hAnsi="Arial" w:eastAsia="Arial"/>
          <w:sz w:val="16"/>
        </w:rPr>
        <w:t>C. Require written English because the client can read routine messages.</w:t>
      </w:r>
    </w:p>
    <w:p>
      <w:pPr>
        <w:spacing w:before="0" w:after="10" w:line="240" w:lineRule="auto"/>
        <w:ind w:left="230" w:hanging="230"/>
      </w:pPr>
      <w:r>
        <w:rPr>
          <w:rFonts w:ascii="Arial" w:hAnsi="Arial" w:eastAsia="Arial"/>
          <w:sz w:val="16"/>
        </w:rPr>
        <w:t>D. Postpone counseling until a family member is available to interpret.</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LPCC-WB10-PB-Q003 | Application | Moderate | Primary concept: LIFESPAN career assessment limits</w:t>
      </w:r>
    </w:p>
    <w:p>
      <w:pPr>
        <w:spacing w:before="0" w:after="20" w:line="245" w:lineRule="auto"/>
        <w:keepNext/>
      </w:pPr>
      <w:r>
        <w:rPr>
          <w:rFonts w:ascii="Arial" w:hAnsi="Arial" w:eastAsia="Arial"/>
          <w:b/>
          <w:sz w:val="16"/>
        </w:rPr>
        <w:t>A client with multiple sclerosis is considering a career change and asks whether a career interest inventory can identify the one correct occupation. What is the BEST response?</w:t>
      </w:r>
    </w:p>
    <w:p>
      <w:pPr>
        <w:spacing w:before="0" w:after="10" w:line="240" w:lineRule="auto"/>
        <w:ind w:left="230" w:hanging="230"/>
      </w:pPr>
      <w:r>
        <w:rPr>
          <w:rFonts w:ascii="Arial" w:hAnsi="Arial" w:eastAsia="Arial"/>
          <w:sz w:val="16"/>
        </w:rPr>
        <w:t>A. Explain that a valid inventory should determine the final occupation if the client answers honestly.</w:t>
      </w:r>
    </w:p>
    <w:p>
      <w:pPr>
        <w:spacing w:before="0" w:after="10" w:line="240" w:lineRule="auto"/>
        <w:ind w:left="230" w:hanging="230"/>
      </w:pPr>
      <w:r>
        <w:rPr>
          <w:rFonts w:ascii="Arial" w:hAnsi="Arial" w:eastAsia="Arial"/>
          <w:sz w:val="16"/>
        </w:rPr>
        <w:t>B. Avoid career assessment because disability makes standardized results unusable.</w:t>
      </w:r>
    </w:p>
    <w:p>
      <w:pPr>
        <w:spacing w:before="0" w:after="10" w:line="240" w:lineRule="auto"/>
        <w:ind w:left="230" w:hanging="230"/>
      </w:pPr>
      <w:r>
        <w:rPr>
          <w:rFonts w:ascii="Arial" w:hAnsi="Arial" w:eastAsia="Arial"/>
          <w:sz w:val="16"/>
        </w:rPr>
        <w:t>C. Explain that results are one source of information to integrate with values, skills, health, access needs, finances, opportunity, labor conditions, and small real-world experiments.</w:t>
      </w:r>
    </w:p>
    <w:p>
      <w:pPr>
        <w:spacing w:before="0" w:after="10" w:line="240" w:lineRule="auto"/>
        <w:ind w:left="230" w:hanging="230"/>
      </w:pPr>
      <w:r>
        <w:rPr>
          <w:rFonts w:ascii="Arial" w:hAnsi="Arial" w:eastAsia="Arial"/>
          <w:sz w:val="16"/>
        </w:rPr>
        <w:t>D. Select the most stable occupation for the client based on the counselor’s knowledge of the labor market.</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LPCC-WB10-PB-Q004 | Application | Moderate | Primary concept: MEANING, grief, and spiritual integration</w:t>
      </w:r>
    </w:p>
    <w:p>
      <w:pPr>
        <w:spacing w:before="0" w:after="20" w:line="245" w:lineRule="auto"/>
        <w:keepNext/>
      </w:pPr>
      <w:r>
        <w:rPr>
          <w:rFonts w:ascii="Arial" w:hAnsi="Arial" w:eastAsia="Arial"/>
          <w:b/>
          <w:sz w:val="16"/>
        </w:rPr>
        <w:t>A client asks to include a culturally meaningful mourning ritual after a sibling’s death. The counselor is unfamiliar with the ritual. What should the counselor do FIRST?</w:t>
      </w:r>
    </w:p>
    <w:p>
      <w:pPr>
        <w:spacing w:before="0" w:after="10" w:line="240" w:lineRule="auto"/>
        <w:ind w:left="230" w:hanging="230"/>
      </w:pPr>
      <w:r>
        <w:rPr>
          <w:rFonts w:ascii="Arial" w:hAnsi="Arial" w:eastAsia="Arial"/>
          <w:sz w:val="16"/>
        </w:rPr>
        <w:t>A. Perform the ritual exactly as requested so the client feels accepted, even without understanding its meaning or boundaries.</w:t>
      </w:r>
    </w:p>
    <w:p>
      <w:pPr>
        <w:spacing w:before="0" w:after="10" w:line="240" w:lineRule="auto"/>
        <w:ind w:left="230" w:hanging="230"/>
      </w:pPr>
      <w:r>
        <w:rPr>
          <w:rFonts w:ascii="Arial" w:hAnsi="Arial" w:eastAsia="Arial"/>
          <w:sz w:val="16"/>
        </w:rPr>
        <w:t>B. Refuse because spiritual and cultural rituals should never enter psychotherapy.</w:t>
      </w:r>
    </w:p>
    <w:p>
      <w:pPr>
        <w:spacing w:before="0" w:after="10" w:line="240" w:lineRule="auto"/>
        <w:ind w:left="230" w:hanging="230"/>
      </w:pPr>
      <w:r>
        <w:rPr>
          <w:rFonts w:ascii="Arial" w:hAnsi="Arial" w:eastAsia="Arial"/>
          <w:sz w:val="16"/>
        </w:rPr>
        <w:t>C. Treat the request as evidence that the client is avoiding grief or losing contact with reality.</w:t>
      </w:r>
    </w:p>
    <w:p>
      <w:pPr>
        <w:spacing w:before="0" w:after="10" w:line="240" w:lineRule="auto"/>
        <w:ind w:left="230" w:hanging="230"/>
      </w:pPr>
      <w:r>
        <w:rPr>
          <w:rFonts w:ascii="Arial" w:hAnsi="Arial" w:eastAsia="Arial"/>
          <w:sz w:val="16"/>
        </w:rPr>
        <w:t>D. Explore the ritual’s meaning, the client’s goals and consent, grief and safety needs, and the counselor’s competence; then integrate, consult, or refer as appropriate.</w:t>
      </w:r>
    </w:p>
    <w:p>
      <w:pPr>
        <w:spacing w:before="0" w:after="40" w:line="245" w:lineRule="auto"/>
      </w:pPr>
      <w:r>
        <w:rPr>
          <w:rFonts w:ascii="Arial" w:hAnsi="Arial" w:eastAsia="Arial"/>
          <w:b w:val="0"/>
          <w:i/>
          <w:color w:val="4B5563"/>
          <w:sz w:val="15"/>
        </w:rPr>
        <w:t>My answer: ______    Confidence: 1  2  3</w:t>
      </w:r>
    </w:p>
    <w:p>
      <w:pPr>
        <w:spacing w:before="0" w:after="20" w:line="245" w:lineRule="auto"/>
        <w:keepNext/>
      </w:pPr>
      <w:r>
        <w:rPr>
          <w:rFonts w:ascii="Arial" w:hAnsi="Arial" w:eastAsia="Arial"/>
          <w:b/>
          <w:color w:val="159C9C"/>
          <w:sz w:val="14"/>
        </w:rPr>
        <w:t>LPCC-WB10-PB-Q005 | Integrated Clinical Reasoning | Difficult | Primary concept: RESPOND adaptation and collaborative advocacy</w:t>
      </w:r>
    </w:p>
    <w:p>
      <w:pPr>
        <w:spacing w:before="0" w:after="20" w:line="245" w:lineRule="auto"/>
        <w:keepNext/>
      </w:pPr>
      <w:r>
        <w:rPr>
          <w:rFonts w:ascii="Arial" w:hAnsi="Arial" w:eastAsia="Arial"/>
          <w:b/>
          <w:sz w:val="16"/>
        </w:rPr>
        <w:t>An evidence-supported anxiety group has low attendance among seasonal agricultural workers. Participant feedback identifies evening shifts, transportation barriers, childcare needs, and the lack of Spanish materials. An administrator says the counselor should “motivate clients harder.” What is the BEST response?</w:t>
      </w:r>
    </w:p>
    <w:p>
      <w:pPr>
        <w:spacing w:before="0" w:after="10" w:line="240" w:lineRule="auto"/>
        <w:ind w:left="230" w:hanging="230"/>
      </w:pPr>
      <w:r>
        <w:rPr>
          <w:rFonts w:ascii="Arial" w:hAnsi="Arial" w:eastAsia="Arial"/>
          <w:sz w:val="16"/>
        </w:rPr>
        <w:t>A. Document that the population is resistant and keep the program unchanged to protect fidelity.</w:t>
      </w:r>
    </w:p>
    <w:p>
      <w:pPr>
        <w:spacing w:before="0" w:after="10" w:line="240" w:lineRule="auto"/>
        <w:ind w:left="230" w:hanging="230"/>
      </w:pPr>
      <w:r>
        <w:rPr>
          <w:rFonts w:ascii="Arial" w:hAnsi="Arial" w:eastAsia="Arial"/>
          <w:sz w:val="16"/>
        </w:rPr>
        <w:t>B. Partner with affected clients and community resources to confirm priorities, adapt language, scheduling, access, and delivery while preserving the intervention’s purpose, monitor reach and outcomes, and advocate within role.</w:t>
      </w:r>
    </w:p>
    <w:p>
      <w:pPr>
        <w:spacing w:before="0" w:after="10" w:line="240" w:lineRule="auto"/>
        <w:ind w:left="230" w:hanging="230"/>
      </w:pPr>
      <w:r>
        <w:rPr>
          <w:rFonts w:ascii="Arial" w:hAnsi="Arial" w:eastAsia="Arial"/>
          <w:sz w:val="16"/>
        </w:rPr>
        <w:t>C. Abandon the evidence-supported intervention and replace it with unstructured support without assessing which components are useful.</w:t>
      </w:r>
    </w:p>
    <w:p>
      <w:pPr>
        <w:spacing w:before="0" w:after="10" w:line="240" w:lineRule="auto"/>
        <w:ind w:left="230" w:hanging="230"/>
      </w:pPr>
      <w:r>
        <w:rPr>
          <w:rFonts w:ascii="Arial" w:hAnsi="Arial" w:eastAsia="Arial"/>
          <w:sz w:val="16"/>
        </w:rPr>
        <w:t>D. Publicly accuse the agency of discrimination before obtaining client input, protecting confidentiality, or using internal problem-solving channels.</w:t>
      </w:r>
    </w:p>
    <w:p>
      <w:pPr>
        <w:spacing w:before="0" w:after="40" w:line="245" w:lineRule="auto"/>
      </w:pPr>
      <w:r>
        <w:rPr>
          <w:rFonts w:ascii="Arial" w:hAnsi="Arial" w:eastAsia="Arial"/>
          <w:b w:val="0"/>
          <w:i/>
          <w:color w:val="4B5563"/>
          <w:sz w:val="15"/>
        </w:rPr>
        <w:t>My answer: ______    Confidence: 1  2  3</w:t>
      </w:r>
    </w:p>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1</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Darius Coleman - Access, Identity, and Initial Formulation</w:t>
            </w:r>
          </w:p>
        </w:tc>
      </w:tr>
    </w:tbl>
    <w:p>
      <w:pPr>
        <w:spacing w:before="60" w:after="20" w:line="245" w:lineRule="auto"/>
      </w:pPr>
      <w:r>
        <w:rPr>
          <w:rFonts w:ascii="Arial" w:hAnsi="Arial" w:eastAsia="Arial"/>
          <w:b/>
          <w:i w:val="0"/>
          <w:color w:val="17365D"/>
          <w:sz w:val="16"/>
        </w:rPr>
        <w:t>CASE NARRATIVE - PART 1</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Darius Coleman is a 30-year-old Black Deaf man whose primary language is American Sign Language. He reads written English for routine communication but says emotional nuance and complex decisions are easier in ASL. Four months ago, Darius was promoted from warehouse technician to operations coordinator. He reports anxiety, insomnia, irritability, and growing isolation because meetings often begin without interpreters or captions and important decisions are relayed afterward. The clinic intake portal is text-heavy, and the telehealth platform has not yet included an interpreter link. A front-desk worker suggested that Darius’s hearing sister interpret. Darius says, “Sometimes I wish I could turn everything off, but I do not want to die.” He denies a plan, intent, prior attempt, violent intent, mania, psychosis, or current substance misuse. He worries that counseling will treat Deaf culture as a deficit or minimize racism and ableism at work. He wants help sleeping, deciding what to do about work, and feeling less isolated.</w:t>
            </w:r>
          </w:p>
        </w:tc>
      </w:tr>
    </w:tbl>
    <w:p>
      <w:pPr>
        <w:spacing w:before="0" w:after="40" w:line="245" w:lineRule="auto"/>
      </w:pPr>
      <w:r>
        <w:rPr>
          <w:rFonts w:ascii="Arial" w:hAnsi="Arial" w:eastAsia="Arial"/>
          <w:b/>
          <w:i w:val="0"/>
          <w:color w:val="159C9C"/>
          <w:sz w:val="16"/>
        </w:rPr>
        <w:t>Answer Questions 6-9 using only the information in this section.</w:t>
      </w:r>
    </w:p>
    <w:p>
      <w:pPr>
        <w:spacing w:before="0" w:after="14" w:line="245" w:lineRule="auto"/>
        <w:keepNext/>
      </w:pPr>
      <w:r>
        <w:rPr>
          <w:rFonts w:ascii="Arial" w:hAnsi="Arial" w:eastAsia="Arial"/>
          <w:b/>
          <w:color w:val="159C9C"/>
          <w:sz w:val="14"/>
        </w:rPr>
        <w:t>LPCC-WB10-PB-Q006 | Knowledge &amp; Application | Easy | Primary concept: Broaching access, identity, and safety</w:t>
      </w:r>
    </w:p>
    <w:p>
      <w:pPr>
        <w:spacing w:before="0" w:after="14" w:line="245" w:lineRule="auto"/>
        <w:keepNext/>
      </w:pPr>
      <w:r>
        <w:rPr>
          <w:rFonts w:ascii="Arial" w:hAnsi="Arial" w:eastAsia="Arial"/>
          <w:b/>
          <w:sz w:val="16"/>
        </w:rPr>
        <w:t>Darius says, “I need to know you will not treat Deaf culture as a problem or act like racism at work is all in my head.” Which response is BEST initially?</w:t>
      </w:r>
    </w:p>
    <w:p>
      <w:pPr>
        <w:spacing w:before="0" w:after="5" w:line="235" w:lineRule="auto"/>
        <w:ind w:left="216" w:hanging="216"/>
      </w:pPr>
      <w:r>
        <w:rPr>
          <w:rFonts w:ascii="Arial" w:hAnsi="Arial" w:eastAsia="Arial"/>
          <w:sz w:val="15"/>
        </w:rPr>
        <w:t>A. “I treat everyone exactly the same, so identity will not affect our work.”</w:t>
      </w:r>
    </w:p>
    <w:p>
      <w:pPr>
        <w:spacing w:before="0" w:after="5" w:line="235" w:lineRule="auto"/>
        <w:ind w:left="216" w:hanging="216"/>
      </w:pPr>
      <w:r>
        <w:rPr>
          <w:rFonts w:ascii="Arial" w:hAnsi="Arial" w:eastAsia="Arial"/>
          <w:sz w:val="15"/>
        </w:rPr>
        <w:t>B. “Let us have your sister interpret today, and then we can focus only on the sleep problem.”</w:t>
      </w:r>
    </w:p>
    <w:p>
      <w:pPr>
        <w:spacing w:before="0" w:after="5" w:line="235" w:lineRule="auto"/>
        <w:ind w:left="216" w:hanging="216"/>
      </w:pPr>
      <w:r>
        <w:rPr>
          <w:rFonts w:ascii="Arial" w:hAnsi="Arial" w:eastAsia="Arial"/>
          <w:sz w:val="15"/>
        </w:rPr>
        <w:t>C. “I appreciate you naming that. Let us discuss what access and identities you want considered, arrange effective ASL communication, and clarify what you meant by wanting to turn everything off.”</w:t>
      </w:r>
    </w:p>
    <w:p>
      <w:pPr>
        <w:spacing w:before="0" w:after="5" w:line="235" w:lineRule="auto"/>
        <w:ind w:left="216" w:hanging="216"/>
      </w:pPr>
      <w:r>
        <w:rPr>
          <w:rFonts w:ascii="Arial" w:hAnsi="Arial" w:eastAsia="Arial"/>
          <w:sz w:val="15"/>
        </w:rPr>
        <w:t>D. “We should avoid workplace discrimination until your anxiety score improves.”</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LPCC-WB10-PB-Q007 | Application | Moderate | Primary concept: Accessible intake and effective communication</w:t>
      </w:r>
    </w:p>
    <w:p>
      <w:pPr>
        <w:spacing w:before="0" w:after="14" w:line="245" w:lineRule="auto"/>
        <w:keepNext/>
      </w:pPr>
      <w:r>
        <w:rPr>
          <w:rFonts w:ascii="Arial" w:hAnsi="Arial" w:eastAsia="Arial"/>
          <w:b/>
          <w:sz w:val="16"/>
        </w:rPr>
        <w:t>Which intake arrangement is MOST appropriate for Darius?</w:t>
      </w:r>
    </w:p>
    <w:p>
      <w:pPr>
        <w:spacing w:before="0" w:after="5" w:line="235" w:lineRule="auto"/>
        <w:ind w:left="216" w:hanging="216"/>
      </w:pPr>
      <w:r>
        <w:rPr>
          <w:rFonts w:ascii="Arial" w:hAnsi="Arial" w:eastAsia="Arial"/>
          <w:sz w:val="15"/>
        </w:rPr>
        <w:t>A. Arrange a qualified ASL interpreter acceptable to Darius, use a platform that supports visual access and interpreter participation, provide accessible materials, verify understanding, and document preferences and effectiveness.</w:t>
      </w:r>
    </w:p>
    <w:p>
      <w:pPr>
        <w:spacing w:before="0" w:after="5" w:line="235" w:lineRule="auto"/>
        <w:ind w:left="216" w:hanging="216"/>
      </w:pPr>
      <w:r>
        <w:rPr>
          <w:rFonts w:ascii="Arial" w:hAnsi="Arial" w:eastAsia="Arial"/>
          <w:sz w:val="15"/>
        </w:rPr>
        <w:t>B. Ask Darius’s sister to interpret every session because she already knows his history.</w:t>
      </w:r>
    </w:p>
    <w:p>
      <w:pPr>
        <w:spacing w:before="0" w:after="5" w:line="235" w:lineRule="auto"/>
        <w:ind w:left="216" w:hanging="216"/>
      </w:pPr>
      <w:r>
        <w:rPr>
          <w:rFonts w:ascii="Arial" w:hAnsi="Arial" w:eastAsia="Arial"/>
          <w:sz w:val="15"/>
        </w:rPr>
        <w:t>C. Conduct the assessment through email only because written communication creates an exact record.</w:t>
      </w:r>
    </w:p>
    <w:p>
      <w:pPr>
        <w:spacing w:before="0" w:after="5" w:line="235" w:lineRule="auto"/>
        <w:ind w:left="216" w:hanging="216"/>
      </w:pPr>
      <w:r>
        <w:rPr>
          <w:rFonts w:ascii="Arial" w:hAnsi="Arial" w:eastAsia="Arial"/>
          <w:sz w:val="15"/>
        </w:rPr>
        <w:t>D. Use the standard platform and forms first, then consider access changes only if Darius fails to participate.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LPCC-WB10-PB-Q008 | Integrated Clinical Reasoning | Difficult | Primary concept: Context-responsive formulation without pathologizing identity</w:t>
      </w:r>
    </w:p>
    <w:p>
      <w:pPr>
        <w:spacing w:before="0" w:after="14" w:line="245" w:lineRule="auto"/>
        <w:keepNext/>
      </w:pPr>
      <w:r>
        <w:rPr>
          <w:rFonts w:ascii="Arial" w:hAnsi="Arial" w:eastAsia="Arial"/>
          <w:b/>
          <w:sz w:val="16"/>
        </w:rPr>
        <w:t>Which formulation BEST fits the information available in Part 1?</w:t>
      </w:r>
    </w:p>
    <w:p>
      <w:pPr>
        <w:spacing w:before="0" w:after="5" w:line="235" w:lineRule="auto"/>
        <w:ind w:left="216" w:hanging="216"/>
      </w:pPr>
      <w:r>
        <w:rPr>
          <w:rFonts w:ascii="Arial" w:hAnsi="Arial" w:eastAsia="Arial"/>
          <w:sz w:val="15"/>
        </w:rPr>
        <w:t>A. Deafness is the primary cause of Darius’s anxiety and social isolation.</w:t>
      </w:r>
    </w:p>
    <w:p>
      <w:pPr>
        <w:spacing w:before="0" w:after="5" w:line="235" w:lineRule="auto"/>
        <w:ind w:left="216" w:hanging="216"/>
      </w:pPr>
      <w:r>
        <w:rPr>
          <w:rFonts w:ascii="Arial" w:hAnsi="Arial" w:eastAsia="Arial"/>
          <w:sz w:val="15"/>
        </w:rPr>
        <w:t>B. Workplace racism and ableism fully explain the presentation, so mental health and safety assessment are unnecessary.</w:t>
      </w:r>
    </w:p>
    <w:p>
      <w:pPr>
        <w:spacing w:before="0" w:after="5" w:line="235" w:lineRule="auto"/>
        <w:ind w:left="216" w:hanging="216"/>
      </w:pPr>
      <w:r>
        <w:rPr>
          <w:rFonts w:ascii="Arial" w:hAnsi="Arial" w:eastAsia="Arial"/>
          <w:sz w:val="15"/>
        </w:rPr>
        <w:t>C. The promotion proves Darius is poorly suited for leadership and should return to his former role.</w:t>
      </w:r>
    </w:p>
    <w:p>
      <w:pPr>
        <w:spacing w:before="0" w:after="5" w:line="235" w:lineRule="auto"/>
        <w:ind w:left="216" w:hanging="216"/>
      </w:pPr>
      <w:r>
        <w:rPr>
          <w:rFonts w:ascii="Arial" w:hAnsi="Arial" w:eastAsia="Arial"/>
          <w:sz w:val="15"/>
        </w:rPr>
        <w:t>D. Workplace exclusion, discrimination, communication barriers, promotion-related role change, insomnia, and reduced connection may interact with anxiety and isolation; assessment should also track safety, strengths, supports, and Darius’s own meaning without pathologizing identity.</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LPCC-WB10-PB-Q009 | Application | Moderate | Primary concept: Contextual baseline and outcome indicators</w:t>
      </w:r>
    </w:p>
    <w:p>
      <w:pPr>
        <w:spacing w:before="0" w:after="14" w:line="245" w:lineRule="auto"/>
        <w:keepNext/>
      </w:pPr>
      <w:r>
        <w:rPr>
          <w:rFonts w:ascii="Arial" w:hAnsi="Arial" w:eastAsia="Arial"/>
          <w:b/>
          <w:sz w:val="16"/>
        </w:rPr>
        <w:t>Which baseline plan would provide the MOST useful information for treatment and later progress review?</w:t>
      </w:r>
    </w:p>
    <w:p>
      <w:pPr>
        <w:spacing w:before="0" w:after="5" w:line="235" w:lineRule="auto"/>
        <w:ind w:left="216" w:hanging="216"/>
      </w:pPr>
      <w:r>
        <w:rPr>
          <w:rFonts w:ascii="Arial" w:hAnsi="Arial" w:eastAsia="Arial"/>
          <w:sz w:val="15"/>
        </w:rPr>
        <w:t>A. Use one written English anxiety scale and treat completion as proof that access is adequate.</w:t>
      </w:r>
    </w:p>
    <w:p>
      <w:pPr>
        <w:spacing w:before="0" w:after="5" w:line="235" w:lineRule="auto"/>
        <w:ind w:left="216" w:hanging="216"/>
      </w:pPr>
      <w:r>
        <w:rPr>
          <w:rFonts w:ascii="Arial" w:hAnsi="Arial" w:eastAsia="Arial"/>
          <w:sz w:val="15"/>
        </w:rPr>
        <w:t>B. Track Darius’s sleep, anxiety and irritability, passive death-related thoughts and safety, work participation and exclusion, access failures, connection and mentoring, career uncertainty, client-defined goals, and alliance and communication burden.</w:t>
      </w:r>
    </w:p>
    <w:p>
      <w:pPr>
        <w:spacing w:before="0" w:after="5" w:line="235" w:lineRule="auto"/>
        <w:ind w:left="216" w:hanging="216"/>
      </w:pPr>
      <w:r>
        <w:rPr>
          <w:rFonts w:ascii="Arial" w:hAnsi="Arial" w:eastAsia="Arial"/>
          <w:sz w:val="15"/>
        </w:rPr>
        <w:t>C. Ask the supervisor to rate whether Darius is emotionally ready for leadership.</w:t>
      </w:r>
    </w:p>
    <w:p>
      <w:pPr>
        <w:spacing w:before="0" w:after="5" w:line="235" w:lineRule="auto"/>
        <w:ind w:left="216" w:hanging="216"/>
      </w:pPr>
      <w:r>
        <w:rPr>
          <w:rFonts w:ascii="Arial" w:hAnsi="Arial" w:eastAsia="Arial"/>
          <w:sz w:val="15"/>
        </w:rPr>
        <w:t>D. Delay measurement until workplace conditions improve because contextual problems cannot be monitored clinically.</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2, answer every Part 1 item and review flagged responses. Once you continue, do not revise Questions 6-9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2</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Darius Coleman - Career, Meaning, and Consent-Limited Advocacy</w:t>
            </w:r>
          </w:p>
        </w:tc>
      </w:tr>
    </w:tbl>
    <w:p>
      <w:pPr>
        <w:spacing w:before="60" w:after="20" w:line="245" w:lineRule="auto"/>
      </w:pPr>
      <w:r>
        <w:rPr>
          <w:rFonts w:ascii="Arial" w:hAnsi="Arial" w:eastAsia="Arial"/>
          <w:b/>
          <w:i w:val="0"/>
          <w:color w:val="17365D"/>
          <w:sz w:val="16"/>
        </w:rPr>
        <w:t>CASE NARRATIVE - PART 2</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A qualified ASL interpreter and an accessible video platform are now in place. Darius says the promotion increased his pay but removed much of the direct work and team connection he valued. His supervisor has said accommodations slow meetings, and coworkers sometimes joke that he receives “special treatment.” Darius is considering remaining in the role, returning to technician work, applying elsewhere, or completing training in logistics analytics. He asks for a career inventory that will tell him the right answer. His longtime mentor from a Black Deaf community center died six weeks ago. Darius wants to use part of a session to honor the mentor and reflect on the mentor’s teachings. He denies current suicidal intent and says mentoring younger Deaf employees gives him purpose. Darius gives permission to discuss vocational-rehabilitation resources but does not want the counselor to contact his employer.</w:t>
            </w:r>
          </w:p>
        </w:tc>
      </w:tr>
    </w:tbl>
    <w:p>
      <w:pPr>
        <w:spacing w:before="0" w:after="40" w:line="245" w:lineRule="auto"/>
      </w:pPr>
      <w:r>
        <w:rPr>
          <w:rFonts w:ascii="Arial" w:hAnsi="Arial" w:eastAsia="Arial"/>
          <w:b/>
          <w:i w:val="0"/>
          <w:color w:val="159C9C"/>
          <w:sz w:val="16"/>
        </w:rPr>
        <w:t>Answer Questions 10-13 using only the information in this section.</w:t>
      </w:r>
    </w:p>
    <w:p>
      <w:pPr>
        <w:spacing w:before="0" w:after="14" w:line="245" w:lineRule="auto"/>
        <w:keepNext/>
      </w:pPr>
      <w:r>
        <w:rPr>
          <w:rFonts w:ascii="Arial" w:hAnsi="Arial" w:eastAsia="Arial"/>
          <w:b/>
          <w:color w:val="159C9C"/>
          <w:sz w:val="14"/>
        </w:rPr>
        <w:t>LPCC-WB10-PB-Q010 | Knowledge &amp; Application | Easy | Primary concept: Career assessment as information, not verdict</w:t>
      </w:r>
    </w:p>
    <w:p>
      <w:pPr>
        <w:spacing w:before="0" w:after="14" w:line="245" w:lineRule="auto"/>
        <w:keepNext/>
      </w:pPr>
      <w:r>
        <w:rPr>
          <w:rFonts w:ascii="Arial" w:hAnsi="Arial" w:eastAsia="Arial"/>
          <w:b/>
          <w:sz w:val="16"/>
        </w:rPr>
        <w:t>Darius asks for a career inventory that will “tell me whether I should stay or leave.” What is the BEST response?</w:t>
      </w:r>
    </w:p>
    <w:p>
      <w:pPr>
        <w:spacing w:before="0" w:after="5" w:line="235" w:lineRule="auto"/>
        <w:ind w:left="216" w:hanging="216"/>
      </w:pPr>
      <w:r>
        <w:rPr>
          <w:rFonts w:ascii="Arial" w:hAnsi="Arial" w:eastAsia="Arial"/>
          <w:sz w:val="15"/>
        </w:rPr>
        <w:t>A. Select an inventory and agree to follow whichever occupation receives the highest score.</w:t>
      </w:r>
    </w:p>
    <w:p>
      <w:pPr>
        <w:spacing w:before="0" w:after="5" w:line="235" w:lineRule="auto"/>
        <w:ind w:left="216" w:hanging="216"/>
      </w:pPr>
      <w:r>
        <w:rPr>
          <w:rFonts w:ascii="Arial" w:hAnsi="Arial" w:eastAsia="Arial"/>
          <w:sz w:val="15"/>
        </w:rPr>
        <w:t>B. Avoid career exploration until all anxiety and grief have resolved.</w:t>
      </w:r>
    </w:p>
    <w:p>
      <w:pPr>
        <w:spacing w:before="0" w:after="5" w:line="235" w:lineRule="auto"/>
        <w:ind w:left="216" w:hanging="216"/>
      </w:pPr>
      <w:r>
        <w:rPr>
          <w:rFonts w:ascii="Arial" w:hAnsi="Arial" w:eastAsia="Arial"/>
          <w:sz w:val="15"/>
        </w:rPr>
        <w:t>C. Explain that an accessible inventory may add information, but the decision also requires values, interests, skills, access needs, finances, opportunity, discrimination context, and real-world exploration.</w:t>
      </w:r>
    </w:p>
    <w:p>
      <w:pPr>
        <w:spacing w:before="0" w:after="5" w:line="235" w:lineRule="auto"/>
        <w:ind w:left="216" w:hanging="216"/>
      </w:pPr>
      <w:r>
        <w:rPr>
          <w:rFonts w:ascii="Arial" w:hAnsi="Arial" w:eastAsia="Arial"/>
          <w:sz w:val="15"/>
        </w:rPr>
        <w:t>D. Recommend returning to the technician role because it previously felt more comfortable.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LPCC-WB10-PB-Q011 | Application | Moderate | Primary concept: LIFESPAN career exploration and small experiments</w:t>
      </w:r>
    </w:p>
    <w:p>
      <w:pPr>
        <w:spacing w:before="0" w:after="14" w:line="245" w:lineRule="auto"/>
        <w:keepNext/>
      </w:pPr>
      <w:r>
        <w:rPr>
          <w:rFonts w:ascii="Arial" w:hAnsi="Arial" w:eastAsia="Arial"/>
          <w:b/>
          <w:sz w:val="16"/>
        </w:rPr>
        <w:t>What is the BEST next step in Darius’s career counseling process?</w:t>
      </w:r>
    </w:p>
    <w:p>
      <w:pPr>
        <w:spacing w:before="0" w:after="5" w:line="235" w:lineRule="auto"/>
        <w:ind w:left="216" w:hanging="216"/>
      </w:pPr>
      <w:r>
        <w:rPr>
          <w:rFonts w:ascii="Arial" w:hAnsi="Arial" w:eastAsia="Arial"/>
          <w:sz w:val="15"/>
        </w:rPr>
        <w:t>A. Clarify what he values and wants from work, review skills, finances, health and access needs, examine opportunity and discrimination, use accessible information, and plan small experiments such as informational interviews or a course sample.</w:t>
      </w:r>
    </w:p>
    <w:p>
      <w:pPr>
        <w:spacing w:before="0" w:after="5" w:line="235" w:lineRule="auto"/>
        <w:ind w:left="216" w:hanging="216"/>
      </w:pPr>
      <w:r>
        <w:rPr>
          <w:rFonts w:ascii="Arial" w:hAnsi="Arial" w:eastAsia="Arial"/>
          <w:sz w:val="15"/>
        </w:rPr>
        <w:t>B. Tell him to resign immediately because accommodations have been inconsistent.</w:t>
      </w:r>
    </w:p>
    <w:p>
      <w:pPr>
        <w:spacing w:before="0" w:after="5" w:line="235" w:lineRule="auto"/>
        <w:ind w:left="216" w:hanging="216"/>
      </w:pPr>
      <w:r>
        <w:rPr>
          <w:rFonts w:ascii="Arial" w:hAnsi="Arial" w:eastAsia="Arial"/>
          <w:sz w:val="15"/>
        </w:rPr>
        <w:t>C. Focus only on reducing anxiety and postpone all occupational discussion.</w:t>
      </w:r>
    </w:p>
    <w:p>
      <w:pPr>
        <w:spacing w:before="0" w:after="5" w:line="235" w:lineRule="auto"/>
        <w:ind w:left="216" w:hanging="216"/>
      </w:pPr>
      <w:r>
        <w:rPr>
          <w:rFonts w:ascii="Arial" w:hAnsi="Arial" w:eastAsia="Arial"/>
          <w:sz w:val="15"/>
        </w:rPr>
        <w:t>D. Choose the logistics-analytics pathway because it appears to offer the highest salary.</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LPCC-WB10-PB-Q012 | Integrated Clinical Reasoning | Difficult | Primary concept: Consent-limited advocacy and coordination</w:t>
      </w:r>
    </w:p>
    <w:p>
      <w:pPr>
        <w:spacing w:before="0" w:after="14" w:line="245" w:lineRule="auto"/>
        <w:keepNext/>
      </w:pPr>
      <w:r>
        <w:rPr>
          <w:rFonts w:ascii="Arial" w:hAnsi="Arial" w:eastAsia="Arial"/>
          <w:b/>
          <w:sz w:val="16"/>
        </w:rPr>
        <w:t>Darius permits discussion of vocational-rehabilitation resources but does not want the counselor to contact his employer. What is the BEST counselor response?</w:t>
      </w:r>
    </w:p>
    <w:p>
      <w:pPr>
        <w:spacing w:before="0" w:after="5" w:line="235" w:lineRule="auto"/>
        <w:ind w:left="216" w:hanging="216"/>
      </w:pPr>
      <w:r>
        <w:rPr>
          <w:rFonts w:ascii="Arial" w:hAnsi="Arial" w:eastAsia="Arial"/>
          <w:sz w:val="15"/>
        </w:rPr>
        <w:t>A. Contact the employer anyway because workplace access is contributing to symptoms.</w:t>
      </w:r>
    </w:p>
    <w:p>
      <w:pPr>
        <w:spacing w:before="0" w:after="5" w:line="235" w:lineRule="auto"/>
        <w:ind w:left="216" w:hanging="216"/>
      </w:pPr>
      <w:r>
        <w:rPr>
          <w:rFonts w:ascii="Arial" w:hAnsi="Arial" w:eastAsia="Arial"/>
          <w:sz w:val="15"/>
        </w:rPr>
        <w:t>B. Require Darius to file a formal discrimination complaint before continuing career counseling.</w:t>
      </w:r>
    </w:p>
    <w:p>
      <w:pPr>
        <w:spacing w:before="0" w:after="5" w:line="235" w:lineRule="auto"/>
        <w:ind w:left="216" w:hanging="216"/>
      </w:pPr>
      <w:r>
        <w:rPr>
          <w:rFonts w:ascii="Arial" w:hAnsi="Arial" w:eastAsia="Arial"/>
          <w:sz w:val="15"/>
        </w:rPr>
        <w:t>C. Act as Darius’s legal representative and promise that the employer will provide every requested accommodation.</w:t>
      </w:r>
    </w:p>
    <w:p>
      <w:pPr>
        <w:spacing w:before="0" w:after="5" w:line="235" w:lineRule="auto"/>
        <w:ind w:left="216" w:hanging="216"/>
      </w:pPr>
      <w:r>
        <w:rPr>
          <w:rFonts w:ascii="Arial" w:hAnsi="Arial" w:eastAsia="Arial"/>
          <w:sz w:val="15"/>
        </w:rPr>
        <w:t>D. Respect the limit, provide accessible information, rehearse self-advocacy if desired, coordinate with vocational rehabilitation only with consent, document roles and disclosures, and revisit preferences as needed.</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LPCC-WB10-PB-Q013 | Application | Moderate | Primary concept: MEANING and client-led grief support</w:t>
      </w:r>
    </w:p>
    <w:p>
      <w:pPr>
        <w:spacing w:before="0" w:after="14" w:line="245" w:lineRule="auto"/>
        <w:keepNext/>
      </w:pPr>
      <w:r>
        <w:rPr>
          <w:rFonts w:ascii="Arial" w:hAnsi="Arial" w:eastAsia="Arial"/>
          <w:b/>
          <w:sz w:val="16"/>
        </w:rPr>
        <w:t>Darius asks to use part of a session to honor his mentor and reflect on the mentor’s teachings. What is the BEST response?</w:t>
      </w:r>
    </w:p>
    <w:p>
      <w:pPr>
        <w:spacing w:before="0" w:after="5" w:line="235" w:lineRule="auto"/>
        <w:ind w:left="216" w:hanging="216"/>
      </w:pPr>
      <w:r>
        <w:rPr>
          <w:rFonts w:ascii="Arial" w:hAnsi="Arial" w:eastAsia="Arial"/>
          <w:sz w:val="15"/>
        </w:rPr>
        <w:t>A. Redirect immediately because remembrance activities are not clinical interventions.</w:t>
      </w:r>
    </w:p>
    <w:p>
      <w:pPr>
        <w:spacing w:before="0" w:after="5" w:line="235" w:lineRule="auto"/>
        <w:ind w:left="216" w:hanging="216"/>
      </w:pPr>
      <w:r>
        <w:rPr>
          <w:rFonts w:ascii="Arial" w:hAnsi="Arial" w:eastAsia="Arial"/>
          <w:sz w:val="15"/>
        </w:rPr>
        <w:t>B. Lead a ritual from the counselor’s own tradition so the session has structure.</w:t>
      </w:r>
    </w:p>
    <w:p>
      <w:pPr>
        <w:spacing w:before="0" w:after="5" w:line="235" w:lineRule="auto"/>
        <w:ind w:left="216" w:hanging="216"/>
      </w:pPr>
      <w:r>
        <w:rPr>
          <w:rFonts w:ascii="Arial" w:hAnsi="Arial" w:eastAsia="Arial"/>
          <w:sz w:val="15"/>
        </w:rPr>
        <w:t>C. Explore the mentor’s meaning, Darius’s preferred remembrance, grief, depression, safety, function, and goals; support a client-led practice within competence and boundaries.</w:t>
      </w:r>
    </w:p>
    <w:p>
      <w:pPr>
        <w:spacing w:before="0" w:after="5" w:line="235" w:lineRule="auto"/>
        <w:ind w:left="216" w:hanging="216"/>
      </w:pPr>
      <w:r>
        <w:rPr>
          <w:rFonts w:ascii="Arial" w:hAnsi="Arial" w:eastAsia="Arial"/>
          <w:sz w:val="15"/>
        </w:rPr>
        <w:t>D. Diagnose prolonged grief disorder because the death occurred six weeks ago.</w:t>
      </w:r>
    </w:p>
    <w:p>
      <w:pPr>
        <w:spacing w:before="0" w:after="26" w:line="245" w:lineRule="auto"/>
      </w:pPr>
      <w:r>
        <w:rPr>
          <w:rFonts w:ascii="Arial" w:hAnsi="Arial" w:eastAsia="Arial"/>
          <w:b w:val="0"/>
          <w:i/>
          <w:color w:val="4B5563"/>
          <w:sz w:val="14"/>
        </w:rPr>
        <w:t>My answer: ______    Confidence: 1  2  3</w:t>
      </w:r>
    </w:p>
    <w:tbl>
      <w:tblPr>
        <w:tblW w:type="auto" w:w="0"/>
        <w:jc w:val="center"/>
        <w:tblLayout w:type="fixed"/>
        <w:tblLook w:firstColumn="1" w:firstRow="1" w:lastColumn="0" w:lastRow="0" w:noHBand="0" w:noVBand="1" w:val="04A0"/>
      </w:tblPr>
      <w:tblGrid>
        <w:gridCol w:w="10080"/>
      </w:tblGrid>
      <w:tr>
        <w:tc>
          <w:tcPr>
            <w:tcW w:type="dxa" w:w="10310"/>
            <w:shd w:fill="FFF7D6"/>
            <w:tcMar>
              <w:top w:w="70" w:type="dxa"/>
              <w:start w:w="95" w:type="dxa"/>
              <w:bottom w:w="70" w:type="dxa"/>
              <w:end w:w="95" w:type="dxa"/>
            </w:tcMar>
            <w:tcBorders>
              <w:top w:val="single" w:sz="7" w:color="D6B656"/>
              <w:left w:val="single" w:sz="7" w:color="D6B656"/>
              <w:bottom w:val="single" w:sz="7" w:color="D6B656"/>
              <w:right w:val="single" w:sz="7" w:color="D6B656"/>
              <w:insideH w:val="single" w:sz="7" w:color="D6B656"/>
              <w:insideV w:val="single" w:sz="7" w:color="D6B656"/>
            </w:tcBorders>
          </w:tcPr>
          <w:p>
            <w:pPr>
              <w:spacing w:before="0" w:after="20" w:line="245" w:lineRule="auto"/>
            </w:pPr>
            <w:r>
              <w:rPr>
                <w:rFonts w:ascii="Arial" w:hAnsi="Arial" w:eastAsia="Arial"/>
                <w:b/>
                <w:color w:val="17365D"/>
                <w:sz w:val="17"/>
              </w:rPr>
              <w:t>CONTINUE CHECK</w:t>
            </w:r>
          </w:p>
          <w:p>
            <w:pPr>
              <w:spacing w:before="0" w:after="0" w:line="240" w:lineRule="auto"/>
            </w:pPr>
            <w:r>
              <w:rPr>
                <w:rFonts w:ascii="Arial" w:hAnsi="Arial" w:eastAsia="Arial"/>
                <w:color w:val="1F2937"/>
                <w:sz w:val="15"/>
              </w:rPr>
              <w:t>Before reading Part 3, answer every Part 2 item and review flagged responses. Once you continue, do not revise Questions 10-13 or use later facts as earlier evidence.</w:t>
            </w:r>
          </w:p>
        </w:tc>
      </w:tr>
    </w:tbl>
    <w:p>
      <w:r>
        <w:br w:type="page"/>
      </w:r>
    </w:p>
    <w:tbl>
      <w:tblPr>
        <w:tblW w:type="auto" w:w="0"/>
        <w:jc w:val="center"/>
        <w:tblLayout w:type="fixed"/>
        <w:tblLook w:firstColumn="1" w:firstRow="1" w:lastColumn="0" w:lastRow="0" w:noHBand="0" w:noVBand="1" w:val="04A0"/>
      </w:tblPr>
      <w:tblGrid>
        <w:gridCol w:w="5155"/>
        <w:gridCol w:w="5155"/>
      </w:tblGrid>
      <w:tr>
        <w:tc>
          <w:tcPr>
            <w:tcW w:type="dxa" w:w="3168"/>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7365D"/>
          </w:tcPr>
          <w:p>
            <w:pPr>
              <w:spacing w:before="0" w:after="0" w:line="245" w:lineRule="auto"/>
              <w:jc w:val="center"/>
            </w:pPr>
            <w:r>
              <w:rPr>
                <w:rFonts w:ascii="Arial" w:hAnsi="Arial" w:eastAsia="Arial"/>
                <w:b/>
                <w:color w:val="FFFFFF"/>
                <w:sz w:val="17"/>
              </w:rPr>
              <w:t>PART 3</w:t>
            </w:r>
          </w:p>
        </w:tc>
        <w:tc>
          <w:tcPr>
            <w:tcW w:type="dxa" w:w="6912"/>
            <w:tcMar>
              <w:top w:w="40" w:type="dxa"/>
              <w:start w:w="55" w:type="dxa"/>
              <w:bottom w:w="40" w:type="dxa"/>
              <w:end w:w="55" w:type="dxa"/>
            </w:tcMar>
            <w:tcBorders>
              <w:top w:val="single" w:sz="3" w:color="FFFFFF"/>
              <w:left w:val="single" w:sz="3" w:color="FFFFFF"/>
              <w:bottom w:val="single" w:sz="3" w:color="FFFFFF"/>
              <w:right w:val="single" w:sz="3" w:color="FFFFFF"/>
              <w:insideH w:val="single" w:sz="3" w:color="FFFFFF"/>
              <w:insideV w:val="single" w:sz="3" w:color="FFFFFF"/>
            </w:tcBorders>
            <w:shd w:fill="159C9C"/>
          </w:tcPr>
          <w:p>
            <w:pPr>
              <w:spacing w:before="0" w:after="0" w:line="245" w:lineRule="auto"/>
              <w:jc w:val="center"/>
            </w:pPr>
            <w:r>
              <w:rPr>
                <w:rFonts w:ascii="Arial" w:hAnsi="Arial" w:eastAsia="Arial"/>
                <w:b/>
                <w:color w:val="FFFFFF"/>
                <w:sz w:val="17"/>
              </w:rPr>
              <w:t>Mini Case: Darius Coleman - Adaptation, Rupture Repair, and Coordination</w:t>
            </w:r>
          </w:p>
        </w:tc>
      </w:tr>
    </w:tbl>
    <w:p>
      <w:pPr>
        <w:spacing w:before="60" w:after="20" w:line="245" w:lineRule="auto"/>
      </w:pPr>
      <w:r>
        <w:rPr>
          <w:rFonts w:ascii="Arial" w:hAnsi="Arial" w:eastAsia="Arial"/>
          <w:b/>
          <w:i w:val="0"/>
          <w:color w:val="17365D"/>
          <w:sz w:val="16"/>
        </w:rPr>
        <w:t>CASE NARRATIVE - PART 3</w:t>
      </w:r>
    </w:p>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r>
          </w:p>
          <w:p>
            <w:pPr>
              <w:spacing w:before="0" w:after="0" w:line="240" w:lineRule="auto"/>
            </w:pPr>
            <w:r>
              <w:rPr>
                <w:rFonts w:ascii="Arial" w:hAnsi="Arial" w:eastAsia="Arial"/>
                <w:color w:val="1F2937"/>
                <w:sz w:val="16"/>
              </w:rPr>
              <w:t>Eight weeks later, Darius remains employed while gathering information. Sleep and anxiety have improved, he has resumed mentoring, and he completed two informational interviews and a short accessible logistics-analytics course. He missed two telehealth sessions because interpreter links failed and stopped completing written English thought records because translating emotional detail felt exhausting. During one session, the counselor said, “We need more commitment if this is going to work.” Darius became quiet and later emailed that he felt blamed for the clinic’s access failures. He wants to repair the counseling relationship and requests brief ASL video practice prompts, visual examples, and more in-session rehearsal. Darius authorizes coordination with a vocational-rehabilitation counselor and the clinic access coordinator, but not his employer. He reports no current suicidal ideation or acute safety concern.</w:t>
            </w:r>
          </w:p>
        </w:tc>
      </w:tr>
    </w:tbl>
    <w:p>
      <w:pPr>
        <w:spacing w:before="0" w:after="40" w:line="245" w:lineRule="auto"/>
      </w:pPr>
      <w:r>
        <w:rPr>
          <w:rFonts w:ascii="Arial" w:hAnsi="Arial" w:eastAsia="Arial"/>
          <w:b/>
          <w:i w:val="0"/>
          <w:color w:val="159C9C"/>
          <w:sz w:val="16"/>
        </w:rPr>
        <w:t>Answer Questions 14-17 using only the information in this section.</w:t>
      </w:r>
    </w:p>
    <w:p>
      <w:pPr>
        <w:spacing w:before="0" w:after="14" w:line="245" w:lineRule="auto"/>
        <w:keepNext/>
      </w:pPr>
      <w:r>
        <w:rPr>
          <w:rFonts w:ascii="Arial" w:hAnsi="Arial" w:eastAsia="Arial"/>
          <w:b/>
          <w:color w:val="159C9C"/>
          <w:sz w:val="14"/>
        </w:rPr>
        <w:t>LPCC-WB10-PB-Q014 | Knowledge &amp; Application | Easy | Primary concept: Functional and client-defined improvement</w:t>
      </w:r>
    </w:p>
    <w:p>
      <w:pPr>
        <w:spacing w:before="0" w:after="14" w:line="245" w:lineRule="auto"/>
        <w:keepNext/>
      </w:pPr>
      <w:r>
        <w:rPr>
          <w:rFonts w:ascii="Arial" w:hAnsi="Arial" w:eastAsia="Arial"/>
          <w:b/>
          <w:sz w:val="16"/>
        </w:rPr>
        <w:t>Which Part 3 finding provides the STRONGEST evidence of meaningful progress?</w:t>
      </w:r>
    </w:p>
    <w:p>
      <w:pPr>
        <w:spacing w:before="0" w:after="5" w:line="235" w:lineRule="auto"/>
        <w:ind w:left="216" w:hanging="216"/>
      </w:pPr>
      <w:r>
        <w:rPr>
          <w:rFonts w:ascii="Arial" w:hAnsi="Arial" w:eastAsia="Arial"/>
          <w:sz w:val="15"/>
        </w:rPr>
        <w:t>A. Darius still has concerns about whether to remain with the employer.</w:t>
      </w:r>
    </w:p>
    <w:p>
      <w:pPr>
        <w:spacing w:before="0" w:after="5" w:line="235" w:lineRule="auto"/>
        <w:ind w:left="216" w:hanging="216"/>
      </w:pPr>
      <w:r>
        <w:rPr>
          <w:rFonts w:ascii="Arial" w:hAnsi="Arial" w:eastAsia="Arial"/>
          <w:sz w:val="15"/>
        </w:rPr>
        <w:t>B. Sleep and anxiety improved, mentoring resumed, and Darius completed an accessible course sample and two informational interviews.</w:t>
      </w:r>
    </w:p>
    <w:p>
      <w:pPr>
        <w:spacing w:before="0" w:after="5" w:line="235" w:lineRule="auto"/>
        <w:ind w:left="216" w:hanging="216"/>
      </w:pPr>
      <w:r>
        <w:rPr>
          <w:rFonts w:ascii="Arial" w:hAnsi="Arial" w:eastAsia="Arial"/>
          <w:sz w:val="15"/>
        </w:rPr>
        <w:t>C. Two telehealth appointments were missed because interpreter links failed.</w:t>
      </w:r>
    </w:p>
    <w:p>
      <w:pPr>
        <w:spacing w:before="0" w:after="5" w:line="235" w:lineRule="auto"/>
        <w:ind w:left="216" w:hanging="216"/>
      </w:pPr>
      <w:r>
        <w:rPr>
          <w:rFonts w:ascii="Arial" w:hAnsi="Arial" w:eastAsia="Arial"/>
          <w:sz w:val="15"/>
        </w:rPr>
        <w:t>D. Darius requested a different homework format.</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LPCC-WB10-PB-Q015 | Application | Moderate | Primary concept: Accessible adaptation with purpose preservation</w:t>
      </w:r>
    </w:p>
    <w:p>
      <w:pPr>
        <w:spacing w:before="0" w:after="14" w:line="245" w:lineRule="auto"/>
        <w:keepNext/>
      </w:pPr>
      <w:r>
        <w:rPr>
          <w:rFonts w:ascii="Arial" w:hAnsi="Arial" w:eastAsia="Arial"/>
          <w:b/>
          <w:sz w:val="16"/>
        </w:rPr>
        <w:t>Darius reports that written English thought records are exhausting and asks for ASL video prompts and more in-session rehearsal. Which response is BEST?</w:t>
      </w:r>
    </w:p>
    <w:p>
      <w:pPr>
        <w:spacing w:before="0" w:after="5" w:line="235" w:lineRule="auto"/>
        <w:ind w:left="216" w:hanging="216"/>
      </w:pPr>
      <w:r>
        <w:rPr>
          <w:rFonts w:ascii="Arial" w:hAnsi="Arial" w:eastAsia="Arial"/>
          <w:sz w:val="15"/>
        </w:rPr>
        <w:t>A. Collaboratively use brief accessible ASL video prompts, visual examples, and in-session practice while preserving the treatment target, protecting privacy, and monitoring burden and benefit.</w:t>
      </w:r>
    </w:p>
    <w:p>
      <w:pPr>
        <w:spacing w:before="0" w:after="5" w:line="235" w:lineRule="auto"/>
        <w:ind w:left="216" w:hanging="216"/>
      </w:pPr>
      <w:r>
        <w:rPr>
          <w:rFonts w:ascii="Arial" w:hAnsi="Arial" w:eastAsia="Arial"/>
          <w:sz w:val="15"/>
        </w:rPr>
        <w:t>B. Keep the written form unchanged because using another format would invalidate treatment.</w:t>
      </w:r>
    </w:p>
    <w:p>
      <w:pPr>
        <w:spacing w:before="0" w:after="5" w:line="235" w:lineRule="auto"/>
        <w:ind w:left="216" w:hanging="216"/>
      </w:pPr>
      <w:r>
        <w:rPr>
          <w:rFonts w:ascii="Arial" w:hAnsi="Arial" w:eastAsia="Arial"/>
          <w:sz w:val="15"/>
        </w:rPr>
        <w:t>C. Eliminate structured practice and provide only general encouragement.</w:t>
      </w:r>
    </w:p>
    <w:p>
      <w:pPr>
        <w:spacing w:before="0" w:after="5" w:line="235" w:lineRule="auto"/>
        <w:ind w:left="216" w:hanging="216"/>
      </w:pPr>
      <w:r>
        <w:rPr>
          <w:rFonts w:ascii="Arial" w:hAnsi="Arial" w:eastAsia="Arial"/>
          <w:sz w:val="15"/>
        </w:rPr>
        <w:t>D. Ask Darius’s sister to translate every homework response and report compliance to the counselor.</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LPCC-WB10-PB-Q016 | Integrated Clinical Reasoning | Difficult | Primary concept: Power-aware rupture repair</w:t>
      </w:r>
    </w:p>
    <w:p>
      <w:pPr>
        <w:spacing w:before="0" w:after="14" w:line="245" w:lineRule="auto"/>
        <w:keepNext/>
      </w:pPr>
      <w:r>
        <w:rPr>
          <w:rFonts w:ascii="Arial" w:hAnsi="Arial" w:eastAsia="Arial"/>
          <w:b/>
          <w:sz w:val="16"/>
        </w:rPr>
        <w:t>After the counselor says, “We need more commitment if this is going to work,” Darius reports feeling blamed for access failures. What should the counselor do FIRST?</w:t>
      </w:r>
    </w:p>
    <w:p>
      <w:pPr>
        <w:spacing w:before="0" w:after="5" w:line="235" w:lineRule="auto"/>
        <w:ind w:left="216" w:hanging="216"/>
      </w:pPr>
      <w:r>
        <w:rPr>
          <w:rFonts w:ascii="Arial" w:hAnsi="Arial" w:eastAsia="Arial"/>
          <w:sz w:val="15"/>
        </w:rPr>
        <w:t>A. Explain that the comment was clinically necessary and that Darius misunderstood the counselor’s intent.</w:t>
      </w:r>
    </w:p>
    <w:p>
      <w:pPr>
        <w:spacing w:before="0" w:after="5" w:line="235" w:lineRule="auto"/>
        <w:ind w:left="216" w:hanging="216"/>
      </w:pPr>
      <w:r>
        <w:rPr>
          <w:rFonts w:ascii="Arial" w:hAnsi="Arial" w:eastAsia="Arial"/>
          <w:sz w:val="15"/>
        </w:rPr>
        <w:t>B. Avoid discussing the comment so the alliance can recover naturally.</w:t>
      </w:r>
    </w:p>
    <w:p>
      <w:pPr>
        <w:spacing w:before="0" w:after="5" w:line="235" w:lineRule="auto"/>
        <w:ind w:left="216" w:hanging="216"/>
      </w:pPr>
      <w:r>
        <w:rPr>
          <w:rFonts w:ascii="Arial" w:hAnsi="Arial" w:eastAsia="Arial"/>
          <w:sz w:val="15"/>
        </w:rPr>
        <w:t>C. Acknowledge the impact and the counselor’s contribution, apologize without defensiveness, invite Darius’s perspective and preferred repair, correct the access process, and reassess alliance and safety.</w:t>
      </w:r>
    </w:p>
    <w:p>
      <w:pPr>
        <w:spacing w:before="0" w:after="5" w:line="235" w:lineRule="auto"/>
        <w:ind w:left="216" w:hanging="216"/>
      </w:pPr>
      <w:r>
        <w:rPr>
          <w:rFonts w:ascii="Arial" w:hAnsi="Arial" w:eastAsia="Arial"/>
          <w:sz w:val="15"/>
        </w:rPr>
        <w:t>D. Refer Darius immediately because disagreement shows the therapeutic fit is irreparable.</w:t>
      </w:r>
    </w:p>
    <w:p>
      <w:pPr>
        <w:spacing w:before="0" w:after="26" w:line="245" w:lineRule="auto"/>
      </w:pPr>
      <w:r>
        <w:rPr>
          <w:rFonts w:ascii="Arial" w:hAnsi="Arial" w:eastAsia="Arial"/>
          <w:b w:val="0"/>
          <w:i/>
          <w:color w:val="4B5563"/>
          <w:sz w:val="14"/>
        </w:rPr>
        <w:t>My answer: ______    Confidence: 1  2  3</w:t>
      </w:r>
    </w:p>
    <w:p>
      <w:pPr>
        <w:spacing w:before="0" w:after="14" w:line="245" w:lineRule="auto"/>
        <w:keepNext/>
      </w:pPr>
      <w:r>
        <w:rPr>
          <w:rFonts w:ascii="Arial" w:hAnsi="Arial" w:eastAsia="Arial"/>
          <w:b/>
          <w:color w:val="159C9C"/>
          <w:sz w:val="14"/>
        </w:rPr>
        <w:t>LPCC-WB10-PB-Q017 | Integrated Clinical Reasoning | Difficult | Primary concept: Coordinated access advocacy and continuity</w:t>
      </w:r>
    </w:p>
    <w:p>
      <w:pPr>
        <w:spacing w:before="0" w:after="14" w:line="245" w:lineRule="auto"/>
        <w:keepNext/>
      </w:pPr>
      <w:r>
        <w:rPr>
          <w:rFonts w:ascii="Arial" w:hAnsi="Arial" w:eastAsia="Arial"/>
          <w:b/>
          <w:sz w:val="16"/>
        </w:rPr>
        <w:t>Darius authorizes coordination with a vocational-rehabilitation counselor and the clinic access coordinator, but not his employer. What is the BEST plan?</w:t>
      </w:r>
    </w:p>
    <w:p>
      <w:pPr>
        <w:spacing w:before="0" w:after="5" w:line="235" w:lineRule="auto"/>
        <w:ind w:left="216" w:hanging="216"/>
      </w:pPr>
      <w:r>
        <w:rPr>
          <w:rFonts w:ascii="Arial" w:hAnsi="Arial" w:eastAsia="Arial"/>
          <w:sz w:val="15"/>
        </w:rPr>
        <w:t>A. Send the full psychotherapy record to both contacts so they have complete background.</w:t>
      </w:r>
    </w:p>
    <w:p>
      <w:pPr>
        <w:spacing w:before="0" w:after="5" w:line="235" w:lineRule="auto"/>
        <w:ind w:left="216" w:hanging="216"/>
      </w:pPr>
      <w:r>
        <w:rPr>
          <w:rFonts w:ascii="Arial" w:hAnsi="Arial" w:eastAsia="Arial"/>
          <w:sz w:val="15"/>
        </w:rPr>
        <w:t>B. Contact the employer as well because the counselor believes broader disclosure would be helpful.</w:t>
      </w:r>
    </w:p>
    <w:p>
      <w:pPr>
        <w:spacing w:before="0" w:after="5" w:line="235" w:lineRule="auto"/>
        <w:ind w:left="216" w:hanging="216"/>
      </w:pPr>
      <w:r>
        <w:rPr>
          <w:rFonts w:ascii="Arial" w:hAnsi="Arial" w:eastAsia="Arial"/>
          <w:sz w:val="15"/>
        </w:rPr>
        <w:t>C. Transfer all responsibility for access and career planning to vocational rehabilitation and end counseling.</w:t>
      </w:r>
    </w:p>
    <w:p>
      <w:pPr>
        <w:spacing w:before="0" w:after="5" w:line="235" w:lineRule="auto"/>
        <w:ind w:left="216" w:hanging="216"/>
      </w:pPr>
      <w:r>
        <w:rPr>
          <w:rFonts w:ascii="Arial" w:hAnsi="Arial" w:eastAsia="Arial"/>
          <w:sz w:val="15"/>
        </w:rPr>
        <w:t>D. Clarify each purpose and role, obtain and document specific authorization, share only relevant information, coordinate interpreter and appointment access, follow up on outcomes, and maintain counseling or refer only when needs exceed competence or setting.</w:t>
      </w:r>
    </w:p>
    <w:p>
      <w:pPr>
        <w:spacing w:before="0" w:after="26" w:line="245" w:lineRule="auto"/>
      </w:pPr>
      <w:r>
        <w:rPr>
          <w:rFonts w:ascii="Arial" w:hAnsi="Arial" w:eastAsia="Arial"/>
          <w:b w:val="0"/>
          <w:i/>
          <w:color w:val="4B5563"/>
          <w:sz w:val="14"/>
        </w:rPr>
        <w:t>My answer: ______    Confidence: 1  2  3</w:t>
      </w:r>
    </w:p>
    <w:p>
      <w:r>
        <w:br w:type="page"/>
      </w:r>
    </w:p>
    <w:p>
      <w:pPr>
        <w:pStyle w:val="Heading1"/>
        <w:spacing w:before="0" w:after="60" w:line="245" w:lineRule="auto"/>
        <w:keepNext/>
      </w:pPr>
      <w:r>
        <w:rPr>
          <w:rFonts w:ascii="Arial" w:hAnsi="Arial" w:eastAsia="Arial"/>
          <w:b/>
          <w:color w:val="159C9C"/>
          <w:sz w:val="28"/>
        </w:rPr>
        <w:t>Post-Bank Reflection</w:t>
      </w:r>
    </w:p>
    <w:tbl>
      <w:tblPr>
        <w:tblW w:type="auto" w:w="0"/>
        <w:jc w:val="center"/>
        <w:tblLayout w:type="fixed"/>
        <w:tblLook w:firstColumn="1" w:firstRow="1" w:lastColumn="0" w:lastRow="0" w:noHBand="0" w:noVBand="1" w:val="04A0"/>
      </w:tblPr>
      <w:tblGrid>
        <w:gridCol w:w="5155"/>
        <w:gridCol w:w="5155"/>
      </w:tblGrid>
      <w:tr>
        <w:trPr>
          <w:tblHeader w:val="true"/>
        </w:trPr>
        <w:tc>
          <w:tcPr>
            <w:tcW w:type="dxa" w:w="5328"/>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Reflection Prompt</w:t>
            </w:r>
          </w:p>
        </w:tc>
        <w:tc>
          <w:tcPr>
            <w:tcW w:type="dxa" w:w="4752"/>
            <w:shd w:fill="17365D"/>
            <w:tcMar>
              <w:top w:w="35" w:type="dxa"/>
              <w:start w:w="45" w:type="dxa"/>
              <w:bottom w:w="35" w:type="dxa"/>
              <w:end w:w="45" w:type="dxa"/>
            </w:tcMar>
            <w:tcBorders>
              <w:top w:val="single" w:sz="3" w:color="FFFFFF"/>
              <w:left w:val="single" w:sz="3" w:color="FFFFFF"/>
              <w:bottom w:val="single" w:sz="3" w:color="FFFFFF"/>
              <w:right w:val="single" w:sz="3" w:color="FFFFFF"/>
              <w:insideH w:val="single" w:sz="3" w:color="FFFFFF"/>
              <w:insideV w:val="single" w:sz="3" w:color="FFFFFF"/>
            </w:tcBorders>
          </w:tcPr>
          <w:p>
            <w:pPr>
              <w:spacing w:before="0" w:after="0" w:line="240" w:lineRule="auto"/>
            </w:pPr>
            <w:r>
              <w:rPr>
                <w:rFonts w:ascii="Arial" w:hAnsi="Arial" w:eastAsia="Arial"/>
                <w:b/>
                <w:color w:val="FFFFFF"/>
                <w:sz w:val="15"/>
              </w:rPr>
              <w:t>My Notes</w:t>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defend a counselor assumption instead of using HUMBLE curiosity and repair?</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treat language and disability access as clinical participation needs rather than optional conveniences?</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turn a career assessment or developmental theory into a verdict?</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Did I impose, avoid, or pathologize spirituality, grief, family, or cultural meaning?</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Where did I choose advocacy without consent, role clarity, community voice, or confidentiality safeguards?</w:t>
            </w:r>
          </w:p>
        </w:tc>
        <w:tc>
          <w:tcPr>
            <w:tcW w:type="dxa" w:w="4752"/>
            <w:shd w:fill="FFFFFF"/>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r>
        <w:trPr>
          <w:cantSplit/>
          <w:trHeight w:val="691"/>
        </w:trPr>
        <w:tc>
          <w:tcPr>
            <w:tcW w:type="dxa" w:w="5328"/>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t>Could I explain how a context-responsive adaptation preserves clinical purpose while changing delivery?</w:t>
            </w:r>
          </w:p>
        </w:tc>
        <w:tc>
          <w:tcPr>
            <w:tcW w:type="dxa" w:w="4752"/>
            <w:shd w:fill="F3F4F6"/>
            <w:tcMar>
              <w:top w:w="32" w:type="dxa"/>
              <w:start w:w="42" w:type="dxa"/>
              <w:bottom w:w="32" w:type="dxa"/>
              <w:end w:w="42" w:type="dxa"/>
            </w:tcMar>
            <w:tcBorders>
              <w:top w:val="single" w:sz="3" w:color="D1D5DB"/>
              <w:left w:val="single" w:sz="3" w:color="D1D5DB"/>
              <w:bottom w:val="single" w:sz="3" w:color="D1D5DB"/>
              <w:right w:val="single" w:sz="3" w:color="D1D5DB"/>
              <w:insideH w:val="single" w:sz="3" w:color="D1D5DB"/>
              <w:insideV w:val="single" w:sz="3" w:color="D1D5DB"/>
            </w:tcBorders>
            <w:vAlign w:val="center"/>
          </w:tcPr>
          <w:p>
            <w:pPr>
              <w:spacing w:before="0" w:after="0" w:line="240" w:lineRule="auto"/>
            </w:pPr>
            <w:r>
              <w:rPr>
                <w:rFonts w:ascii="Arial" w:hAnsi="Arial" w:eastAsia="Arial"/>
                <w:color w:val="1F2937"/>
                <w:sz w:val="16"/>
              </w:rPr>
            </w:r>
          </w:p>
        </w:tc>
      </w:tr>
    </w:tbl>
    <w:tbl>
      <w:tblPr>
        <w:tblW w:type="auto" w:w="0"/>
        <w:jc w:val="center"/>
        <w:tblLayout w:type="fixed"/>
        <w:tblLook w:firstColumn="1" w:firstRow="1" w:lastColumn="0" w:lastRow="0" w:noHBand="0" w:noVBand="1" w:val="04A0"/>
      </w:tblPr>
      <w:tblGrid>
        <w:gridCol w:w="10080"/>
      </w:tblGrid>
      <w:tr>
        <w:tc>
          <w:tcPr>
            <w:tcW w:type="dxa" w:w="10310"/>
            <w:shd w:fill="EAF1F8"/>
            <w:tcMar>
              <w:top w:w="70" w:type="dxa"/>
              <w:start w:w="95" w:type="dxa"/>
              <w:bottom w:w="70" w:type="dxa"/>
              <w:end w:w="95" w:type="dxa"/>
            </w:tcMar>
            <w:tcBorders>
              <w:top w:val="single" w:sz="7" w:color="17365D"/>
              <w:left w:val="single" w:sz="7" w:color="17365D"/>
              <w:bottom w:val="single" w:sz="7" w:color="17365D"/>
              <w:right w:val="single" w:sz="7" w:color="17365D"/>
              <w:insideH w:val="single" w:sz="7" w:color="17365D"/>
              <w:insideV w:val="single" w:sz="7" w:color="17365D"/>
            </w:tcBorders>
          </w:tcPr>
          <w:p>
            <w:pPr>
              <w:spacing w:before="0" w:after="20" w:line="245" w:lineRule="auto"/>
            </w:pPr>
            <w:r>
              <w:rPr>
                <w:rFonts w:ascii="Arial" w:hAnsi="Arial" w:eastAsia="Arial"/>
                <w:b/>
                <w:color w:val="17365D"/>
                <w:sz w:val="17"/>
              </w:rPr>
              <w:t>SCORE USE</w:t>
            </w:r>
          </w:p>
          <w:p>
            <w:pPr>
              <w:spacing w:before="0" w:after="0" w:line="240" w:lineRule="auto"/>
            </w:pPr>
            <w:r>
              <w:rPr>
                <w:rFonts w:ascii="Arial" w:hAnsi="Arial" w:eastAsia="Arial"/>
                <w:color w:val="1F2937"/>
                <w:sz w:val="16"/>
              </w:rPr>
              <w:t>This 17-item bank is a targeted learning assessment, not an official NCMHCE passing standard. Use the pattern of errors to select remediation.</w:t>
            </w:r>
          </w:p>
        </w:tc>
      </w:tr>
    </w:tbl>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WB10 Practice Bank Candidate Form v1.0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right"/>
          </w:pPr>
          <w:r>
            <w:rPr>
              <w:rFonts w:ascii="Arial" w:hAnsi="Arial" w:eastAsia="Arial"/>
              <w:color w:val="17365D"/>
              <w:sz w:val="14"/>
            </w:rPr>
            <w:t>CTA LPCC WB9 - 17-Question Practice Bank - Candidate Form</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10 17-Question Practice Bank - Candidate Form</dc:title>
  <dc:subject>Multicultural, Developmental, Career, Spiritual, Disability, and Context-Responsive Counseling</dc:subject>
  <dc:creator>Clinical Training Academy</dc:creator>
  <cp:keywords>LPCC, NCMHCE, evidence-based interventions, practice bank, candidate form</cp:keywords>
  <dc:description>Candidate Form v1.0 - July 2026</dc:description>
  <cp:lastModifiedBy/>
  <cp:revision>1</cp:revision>
  <dcterms:created xsi:type="dcterms:W3CDTF">2013-12-23T23:15:00Z</dcterms:created>
  <dcterms:modified xsi:type="dcterms:W3CDTF">2013-12-23T23:15:00Z</dcterms:modified>
  <cp:category/>
</cp:coreProperties>
</file>