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5" w:lineRule="auto"/>
        <w:jc w:val="center"/>
      </w:pPr>
      <w:r>
        <w:drawing>
          <wp:inline xmlns:a="http://schemas.openxmlformats.org/drawingml/2006/main" xmlns:pic="http://schemas.openxmlformats.org/drawingml/2006/picture">
            <wp:extent cx="1143000" cy="826213"/>
            <wp:docPr id="1" name="Picture 1" descr="Image: image2.png"/>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143000" cy="826213"/>
                    </a:xfrm>
                    <a:prstGeom prst="rect"/>
                  </pic:spPr>
                </pic:pic>
              </a:graphicData>
            </a:graphic>
          </wp:inline>
        </w:drawing>
      </w:r>
    </w:p>
    <w:p>
      <w:pPr>
        <w:spacing w:before="0" w:after="20" w:line="245" w:lineRule="auto"/>
        <w:jc w:val="center"/>
      </w:pPr>
      <w:r>
        <w:rPr>
          <w:rFonts w:ascii="Arial" w:hAnsi="Arial" w:eastAsia="Arial"/>
          <w:b/>
          <w:i w:val="0"/>
          <w:color w:val="159C9C"/>
          <w:sz w:val="19"/>
        </w:rPr>
        <w:t>LPCC NCMHCE EXAM PREPARATION PROGRAM</w:t>
      </w:r>
    </w:p>
    <w:p>
      <w:pPr>
        <w:spacing w:before="0" w:after="120" w:line="245" w:lineRule="auto"/>
        <w:jc w:val="center"/>
      </w:pPr>
      <w:r>
        <w:rPr>
          <w:rFonts w:ascii="Arial" w:hAnsi="Arial" w:eastAsia="Arial"/>
          <w:b/>
          <w:i w:val="0"/>
          <w:color w:val="17365D"/>
          <w:sz w:val="23"/>
        </w:rPr>
        <w:t>Answer &amp; Rationales</w:t>
      </w:r>
    </w:p>
    <w:p>
      <w:pPr>
        <w:spacing w:before="0" w:after="60" w:line="245" w:lineRule="auto"/>
        <w:jc w:val="center"/>
      </w:pPr>
      <w:r>
        <w:rPr>
          <w:rFonts w:ascii="Arial" w:hAnsi="Arial" w:eastAsia="Arial"/>
          <w:b/>
          <w:i w:val="0"/>
          <w:color w:val="17365D"/>
          <w:sz w:val="36"/>
        </w:rPr>
        <w:t>Workbook 12: 17-Question Practice Bank</w:t>
      </w:r>
    </w:p>
    <w:p>
      <w:pPr>
        <w:spacing w:before="0" w:after="40" w:line="245" w:lineRule="auto"/>
        <w:jc w:val="center"/>
      </w:pPr>
      <w:r>
        <w:rPr>
          <w:rFonts w:ascii="Arial" w:hAnsi="Arial" w:eastAsia="Arial"/>
          <w:b w:val="0"/>
          <w:i w:val="0"/>
          <w:color w:val="1F2937"/>
          <w:sz w:val="22"/>
        </w:rPr>
        <w:t>California Legal, Ethical, Documentation, Technology, and Professional Practice</w:t>
      </w:r>
    </w:p>
    <w:p>
      <w:pPr>
        <w:spacing w:before="0" w:after="80" w:line="245" w:lineRule="auto"/>
        <w:jc w:val="center"/>
      </w:pPr>
      <w:r>
        <w:rPr>
          <w:rFonts w:ascii="Arial" w:hAnsi="Arial" w:eastAsia="Arial"/>
          <w:b w:val="0"/>
          <w:i/>
          <w:color w:val="4B5563"/>
          <w:sz w:val="17"/>
        </w:rPr>
        <w:t>Controlled review form - open only after completing the candidate form</w:t>
      </w:r>
    </w:p>
    <w:p>
      <w:pPr>
        <w:spacing w:before="0" w:after="160" w:line="245" w:lineRule="auto"/>
        <w:jc w:val="center"/>
      </w:pPr>
      <w:r>
        <w:rPr>
          <w:rFonts w:ascii="Arial" w:hAnsi="Arial" w:eastAsia="Arial"/>
          <w:b w:val="0"/>
          <w:i w:val="0"/>
          <w:color w:val="17365D"/>
          <w:sz w:val="17"/>
        </w:rPr>
        <w:t>Version 1.0 - July 2026</w:t>
      </w:r>
    </w:p>
    <w:tbl>
      <w:tblPr>
        <w:tblW w:type="auto" w:w="0"/>
        <w:jc w:val="center"/>
        <w:tblLayout w:type="fixed"/>
        <w:tblLook w:firstColumn="1" w:firstRow="1" w:lastColumn="0" w:lastRow="0" w:noHBand="0" w:noVBand="1" w:val="04A0"/>
      </w:tblPr>
      <w:tblGrid>
        <w:gridCol w:w="10080"/>
      </w:tblGrid>
      <w:tr>
        <w:tc>
          <w:tcPr>
            <w:tcW w:type="dxa" w:w="10310"/>
            <w:shd w:fill="FFF7D6"/>
            <w:tcMar>
              <w:top w:w="70" w:type="dxa"/>
              <w:start w:w="95" w:type="dxa"/>
              <w:bottom w:w="70" w:type="dxa"/>
              <w:end w:w="95" w:type="dxa"/>
            </w:tcMar>
            <w:tcBorders>
              <w:top w:val="single" w:sz="7" w:color="D6B656"/>
              <w:left w:val="single" w:sz="7" w:color="D6B656"/>
              <w:bottom w:val="single" w:sz="7" w:color="D6B656"/>
              <w:right w:val="single" w:sz="7" w:color="D6B656"/>
              <w:insideH w:val="single" w:sz="7" w:color="D6B656"/>
              <w:insideV w:val="single" w:sz="7" w:color="D6B656"/>
            </w:tcBorders>
          </w:tcPr>
          <w:p>
            <w:pPr>
              <w:spacing w:before="0" w:after="20" w:line="245" w:lineRule="auto"/>
            </w:pPr>
            <w:r>
              <w:rPr>
                <w:rFonts w:ascii="Arial" w:hAnsi="Arial" w:eastAsia="Arial"/>
                <w:b/>
                <w:color w:val="17365D"/>
                <w:sz w:val="17"/>
              </w:rPr>
              <w:t>ORIGINAL CTA PRACTICE MATERIAL</w:t>
            </w:r>
          </w:p>
          <w:p>
            <w:pPr>
              <w:spacing w:before="0" w:after="0" w:line="240" w:lineRule="auto"/>
            </w:pPr>
            <w:r>
              <w:rPr>
                <w:rFonts w:ascii="Arial" w:hAnsi="Arial" w:eastAsia="Arial"/>
                <w:color w:val="1F2937"/>
                <w:sz w:val="16"/>
              </w:rPr>
              <w:t>Every question and case detail in this bank is an original CTA educational item. No item is an actual, recalled, reconstructed, or purported licensing-examination question.</w:t>
            </w:r>
          </w:p>
        </w:tc>
      </w:tr>
    </w:tbl>
    <w:p>
      <w:pPr>
        <w:spacing w:before="0" w:after="0" w:line="245" w:lineRule="auto"/>
        <w:jc w:val="center"/>
      </w:pPr>
      <w:r>
        <w:rPr>
          <w:rFonts w:ascii="Arial" w:hAnsi="Arial" w:eastAsia="Arial"/>
          <w:b/>
          <w:i w:val="0"/>
          <w:color w:val="17365D"/>
          <w:sz w:val="16"/>
        </w:rPr>
        <w:t>Clinical Training Academy</w:t>
      </w:r>
    </w:p>
    <w:p>
      <w:r>
        <w:br w:type="page"/>
      </w:r>
    </w:p>
    <w:p>
      <w:pPr>
        <w:pStyle w:val="Heading1"/>
        <w:spacing w:before="0" w:after="60" w:line="245" w:lineRule="auto"/>
        <w:keepNext/>
      </w:pPr>
      <w:r>
        <w:rPr>
          <w:rFonts w:ascii="Arial" w:hAnsi="Arial" w:eastAsia="Arial"/>
          <w:b/>
          <w:color w:val="159C9C"/>
          <w:sz w:val="28"/>
        </w:rPr>
        <w:t>How to Use the Rationales</w:t>
      </w:r>
    </w:p>
    <w:p>
      <w:pPr>
        <w:pStyle w:val="ListBullet"/>
        <w:spacing w:before="0" w:after="20" w:line="245" w:lineRule="auto"/>
      </w:pPr>
      <w:r>
        <w:rPr>
          <w:rFonts w:ascii="Arial" w:hAnsi="Arial" w:eastAsia="Arial"/>
          <w:sz w:val="17"/>
        </w:rPr>
        <w:t>Score the bank, but do not stop at the total. Mark every incorrect response and every correct response with confidence 1.</w:t>
      </w:r>
    </w:p>
    <w:p>
      <w:pPr>
        <w:pStyle w:val="ListBullet"/>
        <w:spacing w:before="0" w:after="20" w:line="245" w:lineRule="auto"/>
      </w:pPr>
      <w:r>
        <w:rPr>
          <w:rFonts w:ascii="Arial" w:hAnsi="Arial" w:eastAsia="Arial"/>
          <w:sz w:val="17"/>
        </w:rPr>
        <w:t>For each item, identify which Workbook 12 tool controlled the answer: LAYER, PRIVACY, TRIGGER, TECH, or DEFEND.</w:t>
      </w:r>
    </w:p>
    <w:p>
      <w:pPr>
        <w:pStyle w:val="ListBullet"/>
        <w:spacing w:before="0" w:after="20" w:line="245" w:lineRule="auto"/>
      </w:pPr>
      <w:r>
        <w:rPr>
          <w:rFonts w:ascii="Arial" w:hAnsi="Arial" w:eastAsia="Arial"/>
          <w:sz w:val="17"/>
        </w:rPr>
        <w:t>Explain why each distractor is weaker, especially when it treats policy as law, overdiscloses, delays a triggered duty, ignores jurisdiction or consent, alters records, falsifies billing, or abandons continuity.</w:t>
      </w:r>
    </w:p>
    <w:p>
      <w:pPr>
        <w:pStyle w:val="ListBullet"/>
        <w:spacing w:before="0" w:after="20" w:line="245" w:lineRule="auto"/>
      </w:pPr>
      <w:r>
        <w:rPr>
          <w:rFonts w:ascii="Arial" w:hAnsi="Arial" w:eastAsia="Arial"/>
          <w:sz w:val="17"/>
        </w:rPr>
        <w:t>Apply the listed CTA error code or select another Workbook 12 code that better describes your reasoning.</w:t>
      </w:r>
    </w:p>
    <w:p>
      <w:pPr>
        <w:pStyle w:val="ListBullet"/>
        <w:spacing w:before="0" w:after="20" w:line="245" w:lineRule="auto"/>
      </w:pPr>
      <w:r>
        <w:rPr>
          <w:rFonts w:ascii="Arial" w:hAnsi="Arial" w:eastAsia="Arial"/>
          <w:sz w:val="17"/>
        </w:rPr>
        <w:t>Write one transferable correction rule and complete a new application item after targeted review.</w:t>
      </w:r>
    </w:p>
    <w:p>
      <w:pPr>
        <w:pStyle w:val="ListBullet"/>
        <w:spacing w:before="0" w:after="20" w:line="245" w:lineRule="auto"/>
      </w:pPr>
      <w:r>
        <w:rPr>
          <w:rFonts w:ascii="Arial" w:hAnsi="Arial" w:eastAsia="Arial"/>
          <w:sz w:val="17"/>
        </w:rPr>
        <w:t>Do not treat this bank score as an official NCMHCE passing score or guarantee.</w:t>
      </w:r>
    </w:p>
    <w:p>
      <w:pPr>
        <w:pStyle w:val="Heading2"/>
        <w:spacing w:before="0" w:after="60" w:line="245" w:lineRule="auto"/>
        <w:keepNext/>
      </w:pPr>
      <w:r>
        <w:rPr>
          <w:rFonts w:ascii="Arial" w:hAnsi="Arial" w:eastAsia="Arial"/>
          <w:b/>
          <w:color w:val="17365D"/>
          <w:sz w:val="21"/>
        </w:rPr>
        <w:t>Answer Key Overview</w:t>
      </w:r>
    </w:p>
    <w:tbl>
      <w:tblPr>
        <w:tblW w:type="auto" w:w="0"/>
        <w:jc w:val="center"/>
        <w:tblLayout w:type="fixed"/>
        <w:tblLook w:firstColumn="1" w:firstRow="1" w:lastColumn="0" w:lastRow="0" w:noHBand="0" w:noVBand="1" w:val="04A0"/>
      </w:tblPr>
      <w:tblGrid>
        <w:gridCol w:w="2062"/>
        <w:gridCol w:w="2062"/>
        <w:gridCol w:w="2062"/>
        <w:gridCol w:w="2062"/>
        <w:gridCol w:w="2062"/>
      </w:tblGrid>
      <w:tr>
        <w:trPr>
          <w:tblHeader w:val="true"/>
        </w:trPr>
        <w:tc>
          <w:tcPr>
            <w:tcW w:type="dxa" w:w="504"/>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w:t>
            </w:r>
          </w:p>
        </w:tc>
        <w:tc>
          <w:tcPr>
            <w:tcW w:type="dxa" w:w="605"/>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Key</w:t>
            </w:r>
          </w:p>
        </w:tc>
        <w:tc>
          <w:tcPr>
            <w:tcW w:type="dxa" w:w="1080"/>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Difficulty</w:t>
            </w:r>
          </w:p>
        </w:tc>
        <w:tc>
          <w:tcPr>
            <w:tcW w:type="dxa" w:w="4608"/>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Primary Concept</w:t>
            </w:r>
          </w:p>
        </w:tc>
        <w:tc>
          <w:tcPr>
            <w:tcW w:type="dxa" w:w="3283"/>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Primary Error Code</w:t>
            </w:r>
          </w:p>
        </w:tc>
      </w:tr>
      <w:tr>
        <w:trPr>
          <w:cantSplit/>
        </w:trPr>
        <w:tc>
          <w:tcPr>
            <w:tcW w:type="dxa" w:w="50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1</w:t>
            </w:r>
          </w:p>
        </w:tc>
        <w:tc>
          <w:tcPr>
            <w:tcW w:type="dxa" w:w="605"/>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B</w:t>
            </w:r>
          </w:p>
        </w:tc>
        <w:tc>
          <w:tcPr>
            <w:tcW w:type="dxa" w:w="108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Easy</w:t>
            </w:r>
          </w:p>
        </w:tc>
        <w:tc>
          <w:tcPr>
            <w:tcW w:type="dxa" w:w="4608"/>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LAYER authority and policy conflict</w:t>
            </w:r>
          </w:p>
        </w:tc>
        <w:tc>
          <w:tcPr>
            <w:tcW w:type="dxa" w:w="3283"/>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L - LAYER authority error</w:t>
            </w:r>
          </w:p>
        </w:tc>
      </w:tr>
      <w:tr>
        <w:trPr>
          <w:cantSplit/>
        </w:trPr>
        <w:tc>
          <w:tcPr>
            <w:tcW w:type="dxa" w:w="50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2</w:t>
            </w:r>
          </w:p>
        </w:tc>
        <w:tc>
          <w:tcPr>
            <w:tcW w:type="dxa" w:w="605"/>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A</w:t>
            </w:r>
          </w:p>
        </w:tc>
        <w:tc>
          <w:tcPr>
            <w:tcW w:type="dxa" w:w="108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Easy</w:t>
            </w:r>
          </w:p>
        </w:tc>
        <w:tc>
          <w:tcPr>
            <w:tcW w:type="dxa" w:w="4608"/>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PRIVACY confidentiality and privilege</w:t>
            </w:r>
          </w:p>
        </w:tc>
        <w:tc>
          <w:tcPr>
            <w:tcW w:type="dxa" w:w="3283"/>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P - PRIVACY concept error</w:t>
            </w:r>
          </w:p>
        </w:tc>
      </w:tr>
      <w:tr>
        <w:trPr>
          <w:cantSplit/>
        </w:trPr>
        <w:tc>
          <w:tcPr>
            <w:tcW w:type="dxa" w:w="50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3</w:t>
            </w:r>
          </w:p>
        </w:tc>
        <w:tc>
          <w:tcPr>
            <w:tcW w:type="dxa" w:w="605"/>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D</w:t>
            </w:r>
          </w:p>
        </w:tc>
        <w:tc>
          <w:tcPr>
            <w:tcW w:type="dxa" w:w="108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Easy</w:t>
            </w:r>
          </w:p>
        </w:tc>
        <w:tc>
          <w:tcPr>
            <w:tcW w:type="dxa" w:w="4608"/>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TECH telehealth consent</w:t>
            </w:r>
          </w:p>
        </w:tc>
        <w:tc>
          <w:tcPr>
            <w:tcW w:type="dxa" w:w="3283"/>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T - TECH consent error</w:t>
            </w:r>
          </w:p>
        </w:tc>
      </w:tr>
      <w:tr>
        <w:trPr>
          <w:cantSplit/>
        </w:trPr>
        <w:tc>
          <w:tcPr>
            <w:tcW w:type="dxa" w:w="50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4</w:t>
            </w:r>
          </w:p>
        </w:tc>
        <w:tc>
          <w:tcPr>
            <w:tcW w:type="dxa" w:w="605"/>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C</w:t>
            </w:r>
          </w:p>
        </w:tc>
        <w:tc>
          <w:tcPr>
            <w:tcW w:type="dxa" w:w="108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Moderate</w:t>
            </w:r>
          </w:p>
        </w:tc>
        <w:tc>
          <w:tcPr>
            <w:tcW w:type="dxa" w:w="4608"/>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DEFEND transparent record correction</w:t>
            </w:r>
          </w:p>
        </w:tc>
        <w:tc>
          <w:tcPr>
            <w:tcW w:type="dxa" w:w="3283"/>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R - Record-integrity error</w:t>
            </w:r>
          </w:p>
        </w:tc>
      </w:tr>
      <w:tr>
        <w:trPr>
          <w:cantSplit/>
        </w:trPr>
        <w:tc>
          <w:tcPr>
            <w:tcW w:type="dxa" w:w="50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5</w:t>
            </w:r>
          </w:p>
        </w:tc>
        <w:tc>
          <w:tcPr>
            <w:tcW w:type="dxa" w:w="605"/>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B</w:t>
            </w:r>
          </w:p>
        </w:tc>
        <w:tc>
          <w:tcPr>
            <w:tcW w:type="dxa" w:w="108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Difficult</w:t>
            </w:r>
          </w:p>
        </w:tc>
        <w:tc>
          <w:tcPr>
            <w:tcW w:type="dxa" w:w="4608"/>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DEFEND billing and diagnosis integrity</w:t>
            </w:r>
          </w:p>
        </w:tc>
        <w:tc>
          <w:tcPr>
            <w:tcW w:type="dxa" w:w="3283"/>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B - Billing-integrity error</w:t>
            </w:r>
          </w:p>
        </w:tc>
      </w:tr>
      <w:tr>
        <w:trPr>
          <w:cantSplit/>
        </w:trPr>
        <w:tc>
          <w:tcPr>
            <w:tcW w:type="dxa" w:w="50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6</w:t>
            </w:r>
          </w:p>
        </w:tc>
        <w:tc>
          <w:tcPr>
            <w:tcW w:type="dxa" w:w="605"/>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A</w:t>
            </w:r>
          </w:p>
        </w:tc>
        <w:tc>
          <w:tcPr>
            <w:tcW w:type="dxa" w:w="108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Easy</w:t>
            </w:r>
          </w:p>
        </w:tc>
        <w:tc>
          <w:tcPr>
            <w:tcW w:type="dxa" w:w="4608"/>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TECH location and jurisdiction</w:t>
            </w:r>
          </w:p>
        </w:tc>
        <w:tc>
          <w:tcPr>
            <w:tcW w:type="dxa" w:w="3283"/>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J - Jurisdiction error</w:t>
            </w:r>
          </w:p>
        </w:tc>
      </w:tr>
      <w:tr>
        <w:trPr>
          <w:cantSplit/>
        </w:trPr>
        <w:tc>
          <w:tcPr>
            <w:tcW w:type="dxa" w:w="50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7</w:t>
            </w:r>
          </w:p>
        </w:tc>
        <w:tc>
          <w:tcPr>
            <w:tcW w:type="dxa" w:w="605"/>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C</w:t>
            </w:r>
          </w:p>
        </w:tc>
        <w:tc>
          <w:tcPr>
            <w:tcW w:type="dxa" w:w="108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Moderate</w:t>
            </w:r>
          </w:p>
        </w:tc>
        <w:tc>
          <w:tcPr>
            <w:tcW w:type="dxa" w:w="4608"/>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TECH AI consent, vendor review, and human oversight</w:t>
            </w:r>
          </w:p>
        </w:tc>
        <w:tc>
          <w:tcPr>
            <w:tcW w:type="dxa" w:w="3283"/>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T - TECH governance error</w:t>
            </w:r>
          </w:p>
        </w:tc>
      </w:tr>
      <w:tr>
        <w:trPr>
          <w:cantSplit/>
        </w:trPr>
        <w:tc>
          <w:tcPr>
            <w:tcW w:type="dxa" w:w="50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8</w:t>
            </w:r>
          </w:p>
        </w:tc>
        <w:tc>
          <w:tcPr>
            <w:tcW w:type="dxa" w:w="605"/>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D</w:t>
            </w:r>
          </w:p>
        </w:tc>
        <w:tc>
          <w:tcPr>
            <w:tcW w:type="dxa" w:w="108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Moderate</w:t>
            </w:r>
          </w:p>
        </w:tc>
        <w:tc>
          <w:tcPr>
            <w:tcW w:type="dxa" w:w="4608"/>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DEFEND immediate documentation after technology incident</w:t>
            </w:r>
          </w:p>
        </w:tc>
        <w:tc>
          <w:tcPr>
            <w:tcW w:type="dxa" w:w="3283"/>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D - Documentation-sequence error</w:t>
            </w:r>
          </w:p>
        </w:tc>
      </w:tr>
      <w:tr>
        <w:trPr>
          <w:cantSplit/>
        </w:trPr>
        <w:tc>
          <w:tcPr>
            <w:tcW w:type="dxa" w:w="50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9</w:t>
            </w:r>
          </w:p>
        </w:tc>
        <w:tc>
          <w:tcPr>
            <w:tcW w:type="dxa" w:w="605"/>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B</w:t>
            </w:r>
          </w:p>
        </w:tc>
        <w:tc>
          <w:tcPr>
            <w:tcW w:type="dxa" w:w="108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Moderate</w:t>
            </w:r>
          </w:p>
        </w:tc>
        <w:tc>
          <w:tcPr>
            <w:tcW w:type="dxa" w:w="4608"/>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TECH vendor uncertainty and safer continuation</w:t>
            </w:r>
          </w:p>
        </w:tc>
        <w:tc>
          <w:tcPr>
            <w:tcW w:type="dxa" w:w="3283"/>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V - Vendor and data-flow error</w:t>
            </w:r>
          </w:p>
        </w:tc>
      </w:tr>
      <w:tr>
        <w:trPr>
          <w:cantSplit/>
        </w:trPr>
        <w:tc>
          <w:tcPr>
            <w:tcW w:type="dxa" w:w="50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10</w:t>
            </w:r>
          </w:p>
        </w:tc>
        <w:tc>
          <w:tcPr>
            <w:tcW w:type="dxa" w:w="605"/>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C</w:t>
            </w:r>
          </w:p>
        </w:tc>
        <w:tc>
          <w:tcPr>
            <w:tcW w:type="dxa" w:w="108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Moderate</w:t>
            </w:r>
          </w:p>
        </w:tc>
        <w:tc>
          <w:tcPr>
            <w:tcW w:type="dxa" w:w="4608"/>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TRIGGER serious threat and immediate protective response</w:t>
            </w:r>
          </w:p>
        </w:tc>
        <w:tc>
          <w:tcPr>
            <w:tcW w:type="dxa" w:w="3283"/>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G - TRIGGER identification error</w:t>
            </w:r>
          </w:p>
        </w:tc>
      </w:tr>
      <w:tr>
        <w:trPr>
          <w:cantSplit/>
        </w:trPr>
        <w:tc>
          <w:tcPr>
            <w:tcW w:type="dxa" w:w="50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11</w:t>
            </w:r>
          </w:p>
        </w:tc>
        <w:tc>
          <w:tcPr>
            <w:tcW w:type="dxa" w:w="605"/>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A</w:t>
            </w:r>
          </w:p>
        </w:tc>
        <w:tc>
          <w:tcPr>
            <w:tcW w:type="dxa" w:w="108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Easy</w:t>
            </w:r>
          </w:p>
        </w:tc>
        <w:tc>
          <w:tcPr>
            <w:tcW w:type="dxa" w:w="4608"/>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TRIGGER California duty to protect</w:t>
            </w:r>
          </w:p>
        </w:tc>
        <w:tc>
          <w:tcPr>
            <w:tcW w:type="dxa" w:w="3283"/>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G - Duty-to-protect error</w:t>
            </w:r>
          </w:p>
        </w:tc>
      </w:tr>
      <w:tr>
        <w:trPr>
          <w:cantSplit/>
        </w:trPr>
        <w:tc>
          <w:tcPr>
            <w:tcW w:type="dxa" w:w="50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12</w:t>
            </w:r>
          </w:p>
        </w:tc>
        <w:tc>
          <w:tcPr>
            <w:tcW w:type="dxa" w:w="605"/>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D</w:t>
            </w:r>
          </w:p>
        </w:tc>
        <w:tc>
          <w:tcPr>
            <w:tcW w:type="dxa" w:w="108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Moderate</w:t>
            </w:r>
          </w:p>
        </w:tc>
        <w:tc>
          <w:tcPr>
            <w:tcW w:type="dxa" w:w="4608"/>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PRIVACY limited EAP authorization</w:t>
            </w:r>
          </w:p>
        </w:tc>
        <w:tc>
          <w:tcPr>
            <w:tcW w:type="dxa" w:w="3283"/>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A - Authorization-scope error</w:t>
            </w:r>
          </w:p>
        </w:tc>
      </w:tr>
      <w:tr>
        <w:trPr>
          <w:cantSplit/>
        </w:trPr>
        <w:tc>
          <w:tcPr>
            <w:tcW w:type="dxa" w:w="50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13</w:t>
            </w:r>
          </w:p>
        </w:tc>
        <w:tc>
          <w:tcPr>
            <w:tcW w:type="dxa" w:w="605"/>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C</w:t>
            </w:r>
          </w:p>
        </w:tc>
        <w:tc>
          <w:tcPr>
            <w:tcW w:type="dxa" w:w="108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Difficult</w:t>
            </w:r>
          </w:p>
        </w:tc>
        <w:tc>
          <w:tcPr>
            <w:tcW w:type="dxa" w:w="4608"/>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TRIGGER documentation and continuity after protective action</w:t>
            </w:r>
          </w:p>
        </w:tc>
        <w:tc>
          <w:tcPr>
            <w:tcW w:type="dxa" w:w="3283"/>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D - Documentation and follow-up error</w:t>
            </w:r>
          </w:p>
        </w:tc>
      </w:tr>
      <w:tr>
        <w:trPr>
          <w:cantSplit/>
        </w:trPr>
        <w:tc>
          <w:tcPr>
            <w:tcW w:type="dxa" w:w="50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14</w:t>
            </w:r>
          </w:p>
        </w:tc>
        <w:tc>
          <w:tcPr>
            <w:tcW w:type="dxa" w:w="605"/>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B</w:t>
            </w:r>
          </w:p>
        </w:tc>
        <w:tc>
          <w:tcPr>
            <w:tcW w:type="dxa" w:w="108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Moderate</w:t>
            </w:r>
          </w:p>
        </w:tc>
        <w:tc>
          <w:tcPr>
            <w:tcW w:type="dxa" w:w="4608"/>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TRIGGER subpoena response</w:t>
            </w:r>
          </w:p>
        </w:tc>
        <w:tc>
          <w:tcPr>
            <w:tcW w:type="dxa" w:w="3283"/>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S - Subpoena-response error</w:t>
            </w:r>
          </w:p>
        </w:tc>
      </w:tr>
      <w:tr>
        <w:trPr>
          <w:cantSplit/>
        </w:trPr>
        <w:tc>
          <w:tcPr>
            <w:tcW w:type="dxa" w:w="50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15</w:t>
            </w:r>
          </w:p>
        </w:tc>
        <w:tc>
          <w:tcPr>
            <w:tcW w:type="dxa" w:w="605"/>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D</w:t>
            </w:r>
          </w:p>
        </w:tc>
        <w:tc>
          <w:tcPr>
            <w:tcW w:type="dxa" w:w="108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Difficult</w:t>
            </w:r>
          </w:p>
        </w:tc>
        <w:tc>
          <w:tcPr>
            <w:tcW w:type="dxa" w:w="4608"/>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PRIVACY access, amendment, and record integrity</w:t>
            </w:r>
          </w:p>
        </w:tc>
        <w:tc>
          <w:tcPr>
            <w:tcW w:type="dxa" w:w="3283"/>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R - Record-integrity and access error</w:t>
            </w:r>
          </w:p>
        </w:tc>
      </w:tr>
      <w:tr>
        <w:trPr>
          <w:cantSplit/>
        </w:trPr>
        <w:tc>
          <w:tcPr>
            <w:tcW w:type="dxa" w:w="50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16</w:t>
            </w:r>
          </w:p>
        </w:tc>
        <w:tc>
          <w:tcPr>
            <w:tcW w:type="dxa" w:w="605"/>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A</w:t>
            </w:r>
          </w:p>
        </w:tc>
        <w:tc>
          <w:tcPr>
            <w:tcW w:type="dxa" w:w="108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Difficult</w:t>
            </w:r>
          </w:p>
        </w:tc>
        <w:tc>
          <w:tcPr>
            <w:tcW w:type="dxa" w:w="4608"/>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DEFEND billing date and diagnosis pressure</w:t>
            </w:r>
          </w:p>
        </w:tc>
        <w:tc>
          <w:tcPr>
            <w:tcW w:type="dxa" w:w="3283"/>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B - Billing-integrity error</w:t>
            </w:r>
          </w:p>
        </w:tc>
      </w:tr>
      <w:tr>
        <w:trPr>
          <w:cantSplit/>
        </w:trPr>
        <w:tc>
          <w:tcPr>
            <w:tcW w:type="dxa" w:w="50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17</w:t>
            </w:r>
          </w:p>
        </w:tc>
        <w:tc>
          <w:tcPr>
            <w:tcW w:type="dxa" w:w="605"/>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C</w:t>
            </w:r>
          </w:p>
        </w:tc>
        <w:tc>
          <w:tcPr>
            <w:tcW w:type="dxa" w:w="108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Difficult</w:t>
            </w:r>
          </w:p>
        </w:tc>
        <w:tc>
          <w:tcPr>
            <w:tcW w:type="dxa" w:w="4608"/>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DEFEND termination and continuity plan</w:t>
            </w:r>
          </w:p>
        </w:tc>
        <w:tc>
          <w:tcPr>
            <w:tcW w:type="dxa" w:w="3283"/>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C - Continuity and closure error</w:t>
            </w:r>
          </w:p>
        </w:tc>
      </w:tr>
    </w:tbl>
    <w:p>
      <w:r>
        <w:br w:type="page"/>
      </w:r>
    </w:p>
    <w:p>
      <w:pPr>
        <w:pStyle w:val="Heading1"/>
        <w:spacing w:before="0" w:after="60" w:line="245" w:lineRule="auto"/>
        <w:keepNext/>
      </w:pPr>
      <w:r>
        <w:rPr>
          <w:rFonts w:ascii="Arial" w:hAnsi="Arial" w:eastAsia="Arial"/>
          <w:b/>
          <w:color w:val="159C9C"/>
          <w:sz w:val="28"/>
        </w:rPr>
        <w:t>Case Evidence-Control Map</w:t>
      </w:r>
    </w:p>
    <w:tbl>
      <w:tblPr>
        <w:tblW w:type="auto" w:w="0"/>
        <w:jc w:val="center"/>
        <w:tblLayout w:type="fixed"/>
        <w:tblLook w:firstColumn="1" w:firstRow="1" w:lastColumn="0" w:lastRow="0" w:noHBand="0" w:noVBand="1" w:val="04A0"/>
      </w:tblPr>
      <w:tblGrid>
        <w:gridCol w:w="3437"/>
        <w:gridCol w:w="3437"/>
        <w:gridCol w:w="3437"/>
      </w:tblGrid>
      <w:tr>
        <w:trPr>
          <w:tblHeader w:val="true"/>
        </w:trPr>
        <w:tc>
          <w:tcPr>
            <w:tcW w:type="dxa" w:w="1944"/>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Section</w:t>
            </w:r>
          </w:p>
        </w:tc>
        <w:tc>
          <w:tcPr>
            <w:tcW w:type="dxa" w:w="5112"/>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Decision-Relevant Evidence</w:t>
            </w:r>
          </w:p>
        </w:tc>
        <w:tc>
          <w:tcPr>
            <w:tcW w:type="dxa" w:w="3024"/>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What Is Not Yet Established</w:t>
            </w:r>
          </w:p>
        </w:tc>
      </w:tr>
      <w:tr>
        <w:trPr>
          <w:cantSplit/>
        </w:trPr>
        <w:tc>
          <w:tcPr>
            <w:tcW w:type="dxa" w:w="194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Part 1 - Jurisdiction and AI processing</w:t>
            </w:r>
          </w:p>
        </w:tc>
        <w:tc>
          <w:tcPr>
            <w:tcW w:type="dxa" w:w="5112"/>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Marcella is physically in Oregon; immediate risk is denied; Dana has not verified authority for routine care there; AI audio processing was undisclosed; vendor data flow, retention, subcontractors, and security are unknown.</w:t>
            </w:r>
          </w:p>
        </w:tc>
        <w:tc>
          <w:tcPr>
            <w:tcW w:type="dxa" w:w="302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The later serious threat, EAP request, emergency disposition, subpoena, amendment request, billing pressure, and Dana's departure are not yet known.</w:t>
            </w:r>
          </w:p>
        </w:tc>
      </w:tr>
      <w:tr>
        <w:trPr>
          <w:cantSplit/>
        </w:trPr>
        <w:tc>
          <w:tcPr>
            <w:tcW w:type="dxa" w:w="194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Part 2 - Threat and disclosure duties</w:t>
            </w:r>
          </w:p>
        </w:tc>
        <w:tc>
          <w:tcPr>
            <w:tcW w:type="dxa" w:w="5112"/>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Marcella is back in California; she communicates a specific serious threat against an identifiable victim with time, place, and handgun access; emergency and protective response begins; EAP authorization is limited to attendance and general participation.</w:t>
            </w:r>
          </w:p>
        </w:tc>
        <w:tc>
          <w:tcPr>
            <w:tcW w:type="dxa" w:w="302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Later stabilization, subpoena, request to delete an accurate note, inaccurate AI sentence, insurer pressure, and sudden counselor departure are not yet known.</w:t>
            </w:r>
          </w:p>
        </w:tc>
      </w:tr>
      <w:tr>
        <w:trPr>
          <w:cantSplit/>
        </w:trPr>
        <w:tc>
          <w:tcPr>
            <w:tcW w:type="dxa" w:w="194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Part 3 - Legal process, records, billing, and continuity</w:t>
            </w:r>
          </w:p>
        </w:tc>
        <w:tc>
          <w:tcPr>
            <w:tcW w:type="dxa" w:w="5112"/>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Marcella has no current violent intent and remains in follow-up; attorney subpoena seeks the complete record; client requests deletion of accurate threat documentation; an AI sentence is inaccurate; insurer requests false date and diagnosis changes; Dana is leaving and active continuity needs remain.</w:t>
            </w:r>
          </w:p>
        </w:tc>
        <w:tc>
          <w:tcPr>
            <w:tcW w:type="dxa" w:w="302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The legal response outcome, client amendment outcome, insurer appeal outcome, successor provider, and long-term course are not established.</w:t>
            </w:r>
          </w:p>
        </w:tc>
      </w:tr>
    </w:tbl>
    <w:tbl>
      <w:tblPr>
        <w:tblW w:type="auto" w:w="0"/>
        <w:jc w:val="center"/>
        <w:tblLayout w:type="fixed"/>
        <w:tblLook w:firstColumn="1" w:firstRow="1" w:lastColumn="0" w:lastRow="0" w:noHBand="0" w:noVBand="1" w:val="04A0"/>
      </w:tblPr>
      <w:tblGrid>
        <w:gridCol w:w="10080"/>
      </w:tblGrid>
      <w:tr>
        <w:tc>
          <w:tcPr>
            <w:tcW w:type="dxa" w:w="10310"/>
            <w:shd w:fill="FFF7D6"/>
            <w:tcMar>
              <w:top w:w="70" w:type="dxa"/>
              <w:start w:w="95" w:type="dxa"/>
              <w:bottom w:w="70" w:type="dxa"/>
              <w:end w:w="95" w:type="dxa"/>
            </w:tcMar>
            <w:tcBorders>
              <w:top w:val="single" w:sz="7" w:color="D6B656"/>
              <w:left w:val="single" w:sz="7" w:color="D6B656"/>
              <w:bottom w:val="single" w:sz="7" w:color="D6B656"/>
              <w:right w:val="single" w:sz="7" w:color="D6B656"/>
              <w:insideH w:val="single" w:sz="7" w:color="D6B656"/>
              <w:insideV w:val="single" w:sz="7" w:color="D6B656"/>
            </w:tcBorders>
          </w:tcPr>
          <w:p>
            <w:pPr>
              <w:spacing w:before="0" w:after="20" w:line="245" w:lineRule="auto"/>
            </w:pPr>
            <w:r>
              <w:rPr>
                <w:rFonts w:ascii="Arial" w:hAnsi="Arial" w:eastAsia="Arial"/>
                <w:b/>
                <w:color w:val="17365D"/>
                <w:sz w:val="17"/>
              </w:rPr>
              <w:t>EVIDENCE-CONTROL REMINDER</w:t>
            </w:r>
          </w:p>
          <w:p>
            <w:pPr>
              <w:spacing w:before="0" w:after="0" w:line="240" w:lineRule="auto"/>
            </w:pPr>
            <w:r>
              <w:rPr>
                <w:rFonts w:ascii="Arial" w:hAnsi="Arial" w:eastAsia="Arial"/>
                <w:color w:val="1F2937"/>
                <w:sz w:val="16"/>
              </w:rPr>
              <w:t>Later facts can guide later questions, but they cannot retroactively become evidence for an earlier case section.</w:t>
            </w:r>
          </w:p>
        </w:tc>
      </w:tr>
    </w:tbl>
    <w:tbl>
      <w:tblPr>
        <w:tblW w:type="auto" w:w="0"/>
        <w:jc w:val="center"/>
        <w:tblLayout w:type="fixed"/>
        <w:tblLook w:firstColumn="1" w:firstRow="1" w:lastColumn="0" w:lastRow="0" w:noHBand="0" w:noVBand="1" w:val="04A0"/>
      </w:tblPr>
      <w:tblGrid>
        <w:gridCol w:w="10080"/>
      </w:tblGrid>
      <w:tr>
        <w:tc>
          <w:tcPr>
            <w:tcW w:type="dxa" w:w="10310"/>
            <w:shd w:fill="E8F5F5"/>
            <w:tcMar>
              <w:top w:w="70" w:type="dxa"/>
              <w:start w:w="95" w:type="dxa"/>
              <w:bottom w:w="70" w:type="dxa"/>
              <w:end w:w="95" w:type="dxa"/>
            </w:tcMar>
            <w:tcBorders>
              <w:top w:val="single" w:sz="7" w:color="159C9C"/>
              <w:left w:val="single" w:sz="7" w:color="159C9C"/>
              <w:bottom w:val="single" w:sz="7" w:color="159C9C"/>
              <w:right w:val="single" w:sz="7" w:color="159C9C"/>
              <w:insideH w:val="single" w:sz="7" w:color="159C9C"/>
              <w:insideV w:val="single" w:sz="7" w:color="159C9C"/>
            </w:tcBorders>
          </w:tcPr>
          <w:p>
            <w:pPr>
              <w:spacing w:before="0" w:after="20" w:line="245" w:lineRule="auto"/>
            </w:pPr>
            <w:r>
              <w:rPr>
                <w:rFonts w:ascii="Arial" w:hAnsi="Arial" w:eastAsia="Arial"/>
                <w:b/>
                <w:color w:val="159C9C"/>
                <w:sz w:val="17"/>
              </w:rPr>
              <w:t>DIFFICULTY CONTROL</w:t>
            </w:r>
          </w:p>
          <w:p>
            <w:pPr>
              <w:spacing w:before="0" w:after="0" w:line="240" w:lineRule="auto"/>
            </w:pPr>
            <w:r>
              <w:rPr>
                <w:rFonts w:ascii="Arial" w:hAnsi="Arial" w:eastAsia="Arial"/>
                <w:color w:val="1F2937"/>
                <w:sz w:val="16"/>
              </w:rPr>
              <w:t>5 Easy, 7 Moderate, and 5 Difficult items. The bank contains five targeted questions and one three-part, 12-question case. Correct-answer distribution: A = 4, B = 4, C = 5, D = 4.</w:t>
            </w:r>
          </w:p>
        </w:tc>
      </w:tr>
    </w:tbl>
    <w:p>
      <w:r>
        <w:br w:type="page"/>
      </w:r>
    </w:p>
    <w:p>
      <w:pPr>
        <w:pStyle w:val="Heading2"/>
        <w:spacing w:before="0" w:after="60" w:line="245" w:lineRule="auto"/>
        <w:keepNext/>
      </w:pPr>
      <w:r>
        <w:rPr>
          <w:rFonts w:ascii="Arial" w:hAnsi="Arial" w:eastAsia="Arial"/>
          <w:b/>
          <w:color w:val="17365D"/>
          <w:sz w:val="21"/>
        </w:rPr>
        <w:t>Question 1 (LPCC-WB12-PB-Q001)</w:t>
      </w:r>
    </w:p>
    <w:p>
      <w:pPr>
        <w:spacing w:before="0" w:after="40" w:line="245" w:lineRule="auto"/>
      </w:pPr>
      <w:r>
        <w:rPr>
          <w:rFonts w:ascii="Arial" w:hAnsi="Arial" w:eastAsia="Arial"/>
          <w:b/>
          <w:i w:val="0"/>
          <w:color w:val="159C9C"/>
          <w:sz w:val="15"/>
        </w:rPr>
        <w:t>LPCC-WB12-PB-Q001 | Knowledge &amp; Application | Easy | Primary concept: LAYER authority and policy conflict</w:t>
      </w:r>
    </w:p>
    <w:p>
      <w:pPr>
        <w:spacing w:before="0" w:after="40" w:line="245" w:lineRule="auto"/>
      </w:pPr>
      <w:r>
        <w:rPr>
          <w:rFonts w:ascii="Arial" w:hAnsi="Arial" w:eastAsia="Arial"/>
          <w:b/>
          <w:i w:val="0"/>
          <w:color w:val="1F2937"/>
          <w:sz w:val="17"/>
        </w:rPr>
        <w:t>A clinic policy directs counselors to send a payer the complete psychotherapy record whenever payment is questioned. The client has not authorized this disclosure. What should the counselor do FIRST?</w:t>
      </w:r>
    </w:p>
    <w:p>
      <w:pPr>
        <w:spacing w:before="0" w:after="16" w:line="240" w:lineRule="auto"/>
        <w:ind w:left="259" w:hanging="259"/>
      </w:pPr>
      <w:r>
        <w:rPr>
          <w:rFonts w:ascii="Arial" w:hAnsi="Arial" w:eastAsia="Arial"/>
          <w:sz w:val="16"/>
        </w:rPr>
        <w:t>A. Follow the policy because the clinic owns the record.</w:t>
      </w:r>
    </w:p>
    <w:p>
      <w:pPr>
        <w:spacing w:before="0" w:after="16" w:line="240" w:lineRule="auto"/>
        <w:ind w:left="259" w:hanging="259"/>
      </w:pPr>
      <w:r>
        <w:rPr>
          <w:rFonts w:ascii="Arial" w:hAnsi="Arial" w:eastAsia="Arial"/>
          <w:sz w:val="16"/>
        </w:rPr>
        <w:t>B. Identify the lawful authority and permitted scope for disclosure, preserve confidentiality, and clarify the policy conflict before releasing information.</w:t>
      </w:r>
    </w:p>
    <w:p>
      <w:pPr>
        <w:spacing w:before="0" w:after="16" w:line="240" w:lineRule="auto"/>
        <w:ind w:left="259" w:hanging="259"/>
      </w:pPr>
      <w:r>
        <w:rPr>
          <w:rFonts w:ascii="Arial" w:hAnsi="Arial" w:eastAsia="Arial"/>
          <w:sz w:val="16"/>
        </w:rPr>
        <w:t>C. Send only progress notes because they are less sensitive than other records.</w:t>
      </w:r>
    </w:p>
    <w:p>
      <w:pPr>
        <w:spacing w:before="0" w:after="16" w:line="240" w:lineRule="auto"/>
        <w:ind w:left="259" w:hanging="259"/>
      </w:pPr>
      <w:r>
        <w:rPr>
          <w:rFonts w:ascii="Arial" w:hAnsi="Arial" w:eastAsia="Arial"/>
          <w:sz w:val="16"/>
        </w:rPr>
        <w:t>D. Ask the payer to promise not to share the information further.</w:t>
      </w:r>
    </w:p>
    <w:tbl>
      <w:tblPr>
        <w:tblW w:type="auto" w:w="0"/>
        <w:jc w:val="center"/>
        <w:tblLayout w:type="fixed"/>
        <w:tblLook w:firstColumn="1" w:firstRow="1" w:lastColumn="0" w:lastRow="0" w:noHBand="0" w:noVBand="1" w:val="04A0"/>
      </w:tblPr>
      <w:tblGrid>
        <w:gridCol w:w="10080"/>
      </w:tblGrid>
      <w:tr>
        <w:tc>
          <w:tcPr>
            <w:tcW w:type="dxa" w:w="10310"/>
            <w:shd w:fill="E8F5F5"/>
            <w:tcMar>
              <w:top w:w="70" w:type="dxa"/>
              <w:start w:w="95" w:type="dxa"/>
              <w:bottom w:w="70" w:type="dxa"/>
              <w:end w:w="95" w:type="dxa"/>
            </w:tcMar>
            <w:tcBorders>
              <w:top w:val="single" w:sz="7" w:color="159C9C"/>
              <w:left w:val="single" w:sz="7" w:color="159C9C"/>
              <w:bottom w:val="single" w:sz="7" w:color="159C9C"/>
              <w:right w:val="single" w:sz="7" w:color="159C9C"/>
              <w:insideH w:val="single" w:sz="7" w:color="159C9C"/>
              <w:insideV w:val="single" w:sz="7" w:color="159C9C"/>
            </w:tcBorders>
          </w:tcPr>
          <w:p>
            <w:pPr>
              <w:spacing w:before="0" w:after="20" w:line="245" w:lineRule="auto"/>
            </w:pPr>
            <w:r>
              <w:rPr>
                <w:rFonts w:ascii="Arial" w:hAnsi="Arial" w:eastAsia="Arial"/>
                <w:b/>
                <w:color w:val="159C9C"/>
                <w:sz w:val="17"/>
              </w:rPr>
              <w:t>CORRECT ANSWER</w:t>
            </w:r>
          </w:p>
          <w:p>
            <w:pPr>
              <w:spacing w:before="0" w:after="0" w:line="240" w:lineRule="auto"/>
            </w:pPr>
            <w:r>
              <w:rPr>
                <w:rFonts w:ascii="Arial" w:hAnsi="Arial" w:eastAsia="Arial"/>
                <w:color w:val="1F2937"/>
                <w:sz w:val="16"/>
              </w:rPr>
              <w:t>B. Identify the lawful authority and permitted scope for disclosure, preserve confidentiality, and clarify the policy conflict before releasing information.</w:t>
            </w:r>
          </w:p>
        </w:tc>
      </w:tr>
    </w:tbl>
    <w:p>
      <w:pPr>
        <w:pStyle w:val="Heading2"/>
        <w:spacing w:before="0" w:after="60" w:line="245" w:lineRule="auto"/>
        <w:keepNext/>
      </w:pPr>
      <w:r>
        <w:rPr>
          <w:rFonts w:ascii="Arial" w:hAnsi="Arial" w:eastAsia="Arial"/>
          <w:b/>
          <w:color w:val="17365D"/>
          <w:sz w:val="21"/>
        </w:rPr>
        <w:t>Why Each Option Is Correct or Incorrect</w:t>
      </w:r>
    </w:p>
    <w:p>
      <w:pPr>
        <w:spacing w:after="20" w:before="0" w:line="240" w:lineRule="auto"/>
      </w:pPr>
      <w:r>
        <w:rPr>
          <w:rFonts w:ascii="Arial" w:hAnsi="Arial" w:eastAsia="Arial"/>
          <w:b/>
          <w:color w:val="17365D"/>
          <w:sz w:val="16"/>
        </w:rPr>
        <w:t>A. Incorrect. Record ownership and workplace policy do not erase confidentiality, privilege, or disclosure law.</w:t>
      </w:r>
      <w:r>
        <w:rPr>
          <w:rFonts w:ascii="Arial" w:hAnsi="Arial" w:eastAsia="Arial"/>
          <w:sz w:val="16"/>
        </w:rPr>
      </w:r>
    </w:p>
    <w:p>
      <w:pPr>
        <w:spacing w:after="20" w:before="0" w:line="240" w:lineRule="auto"/>
      </w:pPr>
      <w:r>
        <w:rPr>
          <w:rFonts w:ascii="Arial" w:hAnsi="Arial" w:eastAsia="Arial"/>
          <w:b/>
          <w:color w:val="17365D"/>
          <w:sz w:val="16"/>
        </w:rPr>
        <w:t>B. Correct. LAYER reasoning identifies the controlling authority before disclosure and resolves conflicts without treating policy as superior to law.</w:t>
      </w:r>
      <w:r>
        <w:rPr>
          <w:rFonts w:ascii="Arial" w:hAnsi="Arial" w:eastAsia="Arial"/>
          <w:sz w:val="16"/>
        </w:rPr>
      </w:r>
    </w:p>
    <w:p>
      <w:pPr>
        <w:spacing w:after="20" w:before="0" w:line="240" w:lineRule="auto"/>
      </w:pPr>
      <w:r>
        <w:rPr>
          <w:rFonts w:ascii="Arial" w:hAnsi="Arial" w:eastAsia="Arial"/>
          <w:b/>
          <w:color w:val="17365D"/>
          <w:sz w:val="16"/>
        </w:rPr>
        <w:t>C. Incorrect. Selecting one record type does not create authority to disclose it.</w:t>
      </w:r>
      <w:r>
        <w:rPr>
          <w:rFonts w:ascii="Arial" w:hAnsi="Arial" w:eastAsia="Arial"/>
          <w:sz w:val="16"/>
        </w:rPr>
      </w:r>
    </w:p>
    <w:p>
      <w:pPr>
        <w:spacing w:after="20" w:before="0" w:line="240" w:lineRule="auto"/>
      </w:pPr>
      <w:r>
        <w:rPr>
          <w:rFonts w:ascii="Arial" w:hAnsi="Arial" w:eastAsia="Arial"/>
          <w:b/>
          <w:color w:val="17365D"/>
          <w:sz w:val="16"/>
        </w:rPr>
        <w:t>D. Incorrect. A promise of confidentiality does not substitute for lawful authority or define the proper scope.</w:t>
      </w:r>
      <w:r>
        <w:rPr>
          <w:rFonts w:ascii="Arial" w:hAnsi="Arial" w:eastAsia="Arial"/>
          <w:sz w:val="16"/>
        </w:rPr>
      </w:r>
    </w:p>
    <w:tbl>
      <w:tblPr>
        <w:tblW w:type="auto" w:w="0"/>
        <w:jc w:val="center"/>
        <w:tblLayout w:type="fixed"/>
        <w:tblLook w:firstColumn="1" w:firstRow="1" w:lastColumn="0" w:lastRow="0" w:noHBand="0" w:noVBand="1" w:val="04A0"/>
      </w:tblPr>
      <w:tblGrid>
        <w:gridCol w:w="10080"/>
      </w:tblGrid>
      <w:tr>
        <w:tc>
          <w:tcPr>
            <w:tcW w:type="dxa" w:w="10310"/>
            <w:shd w:fill="EAF1F8"/>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CTA EXAM STRATEGY</w:t>
            </w:r>
          </w:p>
          <w:p>
            <w:pPr>
              <w:spacing w:before="0" w:after="0" w:line="240" w:lineRule="auto"/>
            </w:pPr>
            <w:r>
              <w:rPr>
                <w:rFonts w:ascii="Arial" w:hAnsi="Arial" w:eastAsia="Arial"/>
                <w:color w:val="1F2937"/>
                <w:sz w:val="16"/>
              </w:rPr>
              <w:t>When policy conflicts with client privacy, identify the highest controlling authority before acting. Do not assume that ownership, payment, or administrative convenience authorizes disclosure.</w:t>
            </w:r>
          </w:p>
        </w:tc>
      </w:tr>
    </w:tbl>
    <w:tbl>
      <w:tblPr>
        <w:tblW w:type="auto" w:w="0"/>
        <w:jc w:val="center"/>
        <w:tblLayout w:type="fixed"/>
        <w:tblLook w:firstColumn="1" w:firstRow="1" w:lastColumn="0" w:lastRow="0" w:noHBand="0" w:noVBand="1" w:val="04A0"/>
      </w:tblPr>
      <w:tblGrid>
        <w:gridCol w:w="10080"/>
      </w:tblGrid>
      <w:tr>
        <w:tc>
          <w:tcPr>
            <w:tcW w:type="dxa" w:w="10310"/>
            <w:shd w:fill="F3F4F6"/>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LIKELY ERROR CODE</w:t>
            </w:r>
          </w:p>
          <w:p>
            <w:pPr>
              <w:spacing w:before="0" w:after="0" w:line="240" w:lineRule="auto"/>
            </w:pPr>
            <w:r>
              <w:rPr>
                <w:rFonts w:ascii="Arial" w:hAnsi="Arial" w:eastAsia="Arial"/>
                <w:color w:val="1F2937"/>
                <w:sz w:val="15"/>
              </w:rPr>
              <w:t>L - LAYER authority error. The counselor must identify law, privilege, authorization, contract, and role before treating policy or supervision as controlling.</w:t>
            </w:r>
          </w:p>
        </w:tc>
      </w:tr>
    </w:tbl>
    <w:p>
      <w:r>
        <w:br w:type="page"/>
      </w:r>
    </w:p>
    <w:p>
      <w:pPr>
        <w:pStyle w:val="Heading2"/>
        <w:spacing w:before="0" w:after="60" w:line="245" w:lineRule="auto"/>
        <w:keepNext/>
      </w:pPr>
      <w:r>
        <w:rPr>
          <w:rFonts w:ascii="Arial" w:hAnsi="Arial" w:eastAsia="Arial"/>
          <w:b/>
          <w:color w:val="17365D"/>
          <w:sz w:val="21"/>
        </w:rPr>
        <w:t>Question 2 (LPCC-WB12-PB-Q002)</w:t>
      </w:r>
    </w:p>
    <w:p>
      <w:pPr>
        <w:spacing w:before="0" w:after="40" w:line="245" w:lineRule="auto"/>
      </w:pPr>
      <w:r>
        <w:rPr>
          <w:rFonts w:ascii="Arial" w:hAnsi="Arial" w:eastAsia="Arial"/>
          <w:b/>
          <w:i w:val="0"/>
          <w:color w:val="159C9C"/>
          <w:sz w:val="15"/>
        </w:rPr>
        <w:t>LPCC-WB12-PB-Q002 | Knowledge &amp; Application | Easy | Primary concept: PRIVACY confidentiality and privilege</w:t>
      </w:r>
    </w:p>
    <w:p>
      <w:pPr>
        <w:spacing w:before="0" w:after="40" w:line="245" w:lineRule="auto"/>
      </w:pPr>
      <w:r>
        <w:rPr>
          <w:rFonts w:ascii="Arial" w:hAnsi="Arial" w:eastAsia="Arial"/>
          <w:b/>
          <w:i w:val="0"/>
          <w:color w:val="1F2937"/>
          <w:sz w:val="17"/>
        </w:rPr>
        <w:t>Which statement BEST distinguishes psychotherapist-patient privilege from confidentiality?</w:t>
      </w:r>
    </w:p>
    <w:p>
      <w:pPr>
        <w:spacing w:before="0" w:after="16" w:line="240" w:lineRule="auto"/>
        <w:ind w:left="259" w:hanging="259"/>
      </w:pPr>
      <w:r>
        <w:rPr>
          <w:rFonts w:ascii="Arial" w:hAnsi="Arial" w:eastAsia="Arial"/>
          <w:sz w:val="16"/>
        </w:rPr>
        <w:t>A. Privilege generally governs protected disclosure in legal proceedings and is usually held by the patient, while confidentiality is the counselor's broader duty to protect information.</w:t>
      </w:r>
    </w:p>
    <w:p>
      <w:pPr>
        <w:spacing w:before="0" w:after="16" w:line="240" w:lineRule="auto"/>
        <w:ind w:left="259" w:hanging="259"/>
      </w:pPr>
      <w:r>
        <w:rPr>
          <w:rFonts w:ascii="Arial" w:hAnsi="Arial" w:eastAsia="Arial"/>
          <w:sz w:val="16"/>
        </w:rPr>
        <w:t>B. Privilege and confidentiality are interchangeable terms in every setting.</w:t>
      </w:r>
    </w:p>
    <w:p>
      <w:pPr>
        <w:spacing w:before="0" w:after="16" w:line="240" w:lineRule="auto"/>
        <w:ind w:left="259" w:hanging="259"/>
      </w:pPr>
      <w:r>
        <w:rPr>
          <w:rFonts w:ascii="Arial" w:hAnsi="Arial" w:eastAsia="Arial"/>
          <w:sz w:val="16"/>
        </w:rPr>
        <w:t>C. Confidentiality applies only to written records, while privilege applies only to spoken information.</w:t>
      </w:r>
    </w:p>
    <w:p>
      <w:pPr>
        <w:spacing w:before="0" w:after="16" w:line="240" w:lineRule="auto"/>
        <w:ind w:left="259" w:hanging="259"/>
      </w:pPr>
      <w:r>
        <w:rPr>
          <w:rFonts w:ascii="Arial" w:hAnsi="Arial" w:eastAsia="Arial"/>
          <w:sz w:val="16"/>
        </w:rPr>
        <w:t>D. The counselor always owns and may waive both rights.</w:t>
      </w:r>
    </w:p>
    <w:tbl>
      <w:tblPr>
        <w:tblW w:type="auto" w:w="0"/>
        <w:jc w:val="center"/>
        <w:tblLayout w:type="fixed"/>
        <w:tblLook w:firstColumn="1" w:firstRow="1" w:lastColumn="0" w:lastRow="0" w:noHBand="0" w:noVBand="1" w:val="04A0"/>
      </w:tblPr>
      <w:tblGrid>
        <w:gridCol w:w="10080"/>
      </w:tblGrid>
      <w:tr>
        <w:tc>
          <w:tcPr>
            <w:tcW w:type="dxa" w:w="10310"/>
            <w:shd w:fill="E8F5F5"/>
            <w:tcMar>
              <w:top w:w="70" w:type="dxa"/>
              <w:start w:w="95" w:type="dxa"/>
              <w:bottom w:w="70" w:type="dxa"/>
              <w:end w:w="95" w:type="dxa"/>
            </w:tcMar>
            <w:tcBorders>
              <w:top w:val="single" w:sz="7" w:color="159C9C"/>
              <w:left w:val="single" w:sz="7" w:color="159C9C"/>
              <w:bottom w:val="single" w:sz="7" w:color="159C9C"/>
              <w:right w:val="single" w:sz="7" w:color="159C9C"/>
              <w:insideH w:val="single" w:sz="7" w:color="159C9C"/>
              <w:insideV w:val="single" w:sz="7" w:color="159C9C"/>
            </w:tcBorders>
          </w:tcPr>
          <w:p>
            <w:pPr>
              <w:spacing w:before="0" w:after="20" w:line="245" w:lineRule="auto"/>
            </w:pPr>
            <w:r>
              <w:rPr>
                <w:rFonts w:ascii="Arial" w:hAnsi="Arial" w:eastAsia="Arial"/>
                <w:b/>
                <w:color w:val="159C9C"/>
                <w:sz w:val="17"/>
              </w:rPr>
              <w:t>CORRECT ANSWER</w:t>
            </w:r>
          </w:p>
          <w:p>
            <w:pPr>
              <w:spacing w:before="0" w:after="0" w:line="240" w:lineRule="auto"/>
            </w:pPr>
            <w:r>
              <w:rPr>
                <w:rFonts w:ascii="Arial" w:hAnsi="Arial" w:eastAsia="Arial"/>
                <w:color w:val="1F2937"/>
                <w:sz w:val="16"/>
              </w:rPr>
              <w:t>A. Privilege generally governs protected disclosure in legal proceedings and is usually held by the patient, while confidentiality is the counselor's broader duty to protect information.</w:t>
            </w:r>
          </w:p>
        </w:tc>
      </w:tr>
    </w:tbl>
    <w:p>
      <w:pPr>
        <w:pStyle w:val="Heading2"/>
        <w:spacing w:before="0" w:after="60" w:line="245" w:lineRule="auto"/>
        <w:keepNext/>
      </w:pPr>
      <w:r>
        <w:rPr>
          <w:rFonts w:ascii="Arial" w:hAnsi="Arial" w:eastAsia="Arial"/>
          <w:b/>
          <w:color w:val="17365D"/>
          <w:sz w:val="21"/>
        </w:rPr>
        <w:t>Why Each Option Is Correct or Incorrect</w:t>
      </w:r>
    </w:p>
    <w:p>
      <w:pPr>
        <w:spacing w:after="20" w:before="0" w:line="240" w:lineRule="auto"/>
      </w:pPr>
      <w:r>
        <w:rPr>
          <w:rFonts w:ascii="Arial" w:hAnsi="Arial" w:eastAsia="Arial"/>
          <w:b/>
          <w:color w:val="17365D"/>
          <w:sz w:val="16"/>
        </w:rPr>
        <w:t>A. Correct. Privilege is an evidentiary protection, while confidentiality is a broader professional and legal duty that extends beyond court proceedings.</w:t>
      </w:r>
      <w:r>
        <w:rPr>
          <w:rFonts w:ascii="Arial" w:hAnsi="Arial" w:eastAsia="Arial"/>
          <w:sz w:val="16"/>
        </w:rPr>
      </w:r>
    </w:p>
    <w:p>
      <w:pPr>
        <w:spacing w:after="20" w:before="0" w:line="240" w:lineRule="auto"/>
      </w:pPr>
      <w:r>
        <w:rPr>
          <w:rFonts w:ascii="Arial" w:hAnsi="Arial" w:eastAsia="Arial"/>
          <w:b/>
          <w:color w:val="17365D"/>
          <w:sz w:val="16"/>
        </w:rPr>
        <w:t>B. Incorrect. The concepts overlap but have different functions, holders, and procedures.</w:t>
      </w:r>
      <w:r>
        <w:rPr>
          <w:rFonts w:ascii="Arial" w:hAnsi="Arial" w:eastAsia="Arial"/>
          <w:sz w:val="16"/>
        </w:rPr>
      </w:r>
    </w:p>
    <w:p>
      <w:pPr>
        <w:spacing w:after="20" w:before="0" w:line="240" w:lineRule="auto"/>
      </w:pPr>
      <w:r>
        <w:rPr>
          <w:rFonts w:ascii="Arial" w:hAnsi="Arial" w:eastAsia="Arial"/>
          <w:b/>
          <w:color w:val="17365D"/>
          <w:sz w:val="16"/>
        </w:rPr>
        <w:t>C. Incorrect. Both concepts may apply to oral and written information.</w:t>
      </w:r>
      <w:r>
        <w:rPr>
          <w:rFonts w:ascii="Arial" w:hAnsi="Arial" w:eastAsia="Arial"/>
          <w:sz w:val="16"/>
        </w:rPr>
      </w:r>
    </w:p>
    <w:p>
      <w:pPr>
        <w:spacing w:after="20" w:before="0" w:line="240" w:lineRule="auto"/>
      </w:pPr>
      <w:r>
        <w:rPr>
          <w:rFonts w:ascii="Arial" w:hAnsi="Arial" w:eastAsia="Arial"/>
          <w:b/>
          <w:color w:val="17365D"/>
          <w:sz w:val="16"/>
        </w:rPr>
        <w:t>D. Incorrect. The counselor does not automatically hold or waive the patient's privilege.</w:t>
      </w:r>
      <w:r>
        <w:rPr>
          <w:rFonts w:ascii="Arial" w:hAnsi="Arial" w:eastAsia="Arial"/>
          <w:sz w:val="16"/>
        </w:rPr>
      </w:r>
    </w:p>
    <w:tbl>
      <w:tblPr>
        <w:tblW w:type="auto" w:w="0"/>
        <w:jc w:val="center"/>
        <w:tblLayout w:type="fixed"/>
        <w:tblLook w:firstColumn="1" w:firstRow="1" w:lastColumn="0" w:lastRow="0" w:noHBand="0" w:noVBand="1" w:val="04A0"/>
      </w:tblPr>
      <w:tblGrid>
        <w:gridCol w:w="10080"/>
      </w:tblGrid>
      <w:tr>
        <w:tc>
          <w:tcPr>
            <w:tcW w:type="dxa" w:w="10310"/>
            <w:shd w:fill="EAF1F8"/>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CTA EXAM STRATEGY</w:t>
            </w:r>
          </w:p>
          <w:p>
            <w:pPr>
              <w:spacing w:before="0" w:after="0" w:line="240" w:lineRule="auto"/>
            </w:pPr>
            <w:r>
              <w:rPr>
                <w:rFonts w:ascii="Arial" w:hAnsi="Arial" w:eastAsia="Arial"/>
                <w:color w:val="1F2937"/>
                <w:sz w:val="16"/>
              </w:rPr>
              <w:t>Privacy questions often reward conceptual precision. Identify who holds the right, the setting, the request, and whether disclosure is required, permitted, or prohibited.</w:t>
            </w:r>
          </w:p>
        </w:tc>
      </w:tr>
    </w:tbl>
    <w:tbl>
      <w:tblPr>
        <w:tblW w:type="auto" w:w="0"/>
        <w:jc w:val="center"/>
        <w:tblLayout w:type="fixed"/>
        <w:tblLook w:firstColumn="1" w:firstRow="1" w:lastColumn="0" w:lastRow="0" w:noHBand="0" w:noVBand="1" w:val="04A0"/>
      </w:tblPr>
      <w:tblGrid>
        <w:gridCol w:w="10080"/>
      </w:tblGrid>
      <w:tr>
        <w:tc>
          <w:tcPr>
            <w:tcW w:type="dxa" w:w="10310"/>
            <w:shd w:fill="F3F4F6"/>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LIKELY ERROR CODE</w:t>
            </w:r>
          </w:p>
          <w:p>
            <w:pPr>
              <w:spacing w:before="0" w:after="0" w:line="240" w:lineRule="auto"/>
            </w:pPr>
            <w:r>
              <w:rPr>
                <w:rFonts w:ascii="Arial" w:hAnsi="Arial" w:eastAsia="Arial"/>
                <w:color w:val="1F2937"/>
                <w:sz w:val="15"/>
              </w:rPr>
              <w:t>P - PRIVACY concept error. Do not collapse privacy, confidentiality, privilege, authorization, record access, and minimum-necessary disclosure into one idea.</w:t>
            </w:r>
          </w:p>
        </w:tc>
      </w:tr>
    </w:tbl>
    <w:p>
      <w:r>
        <w:br w:type="page"/>
      </w:r>
    </w:p>
    <w:p>
      <w:pPr>
        <w:pStyle w:val="Heading2"/>
        <w:spacing w:before="0" w:after="60" w:line="245" w:lineRule="auto"/>
        <w:keepNext/>
      </w:pPr>
      <w:r>
        <w:rPr>
          <w:rFonts w:ascii="Arial" w:hAnsi="Arial" w:eastAsia="Arial"/>
          <w:b/>
          <w:color w:val="17365D"/>
          <w:sz w:val="21"/>
        </w:rPr>
        <w:t>Question 3 (LPCC-WB12-PB-Q003)</w:t>
      </w:r>
    </w:p>
    <w:p>
      <w:pPr>
        <w:spacing w:before="0" w:after="40" w:line="245" w:lineRule="auto"/>
      </w:pPr>
      <w:r>
        <w:rPr>
          <w:rFonts w:ascii="Arial" w:hAnsi="Arial" w:eastAsia="Arial"/>
          <w:b/>
          <w:i w:val="0"/>
          <w:color w:val="159C9C"/>
          <w:sz w:val="15"/>
        </w:rPr>
        <w:t>LPCC-WB12-PB-Q003 | Knowledge &amp; Application | Easy | Primary concept: TECH telehealth consent</w:t>
      </w:r>
    </w:p>
    <w:p>
      <w:pPr>
        <w:spacing w:before="0" w:after="40" w:line="245" w:lineRule="auto"/>
      </w:pPr>
      <w:r>
        <w:rPr>
          <w:rFonts w:ascii="Arial" w:hAnsi="Arial" w:eastAsia="Arial"/>
          <w:b/>
          <w:i w:val="0"/>
          <w:color w:val="1F2937"/>
          <w:sz w:val="17"/>
        </w:rPr>
        <w:t>Before beginning health care through telehealth in California, which action is required?</w:t>
      </w:r>
    </w:p>
    <w:p>
      <w:pPr>
        <w:spacing w:before="0" w:after="16" w:line="240" w:lineRule="auto"/>
        <w:ind w:left="259" w:hanging="259"/>
      </w:pPr>
      <w:r>
        <w:rPr>
          <w:rFonts w:ascii="Arial" w:hAnsi="Arial" w:eastAsia="Arial"/>
          <w:sz w:val="16"/>
        </w:rPr>
        <w:t>A. Obtain only the client's signature on a general office policy.</w:t>
      </w:r>
    </w:p>
    <w:p>
      <w:pPr>
        <w:spacing w:before="0" w:after="16" w:line="240" w:lineRule="auto"/>
        <w:ind w:left="259" w:hanging="259"/>
      </w:pPr>
      <w:r>
        <w:rPr>
          <w:rFonts w:ascii="Arial" w:hAnsi="Arial" w:eastAsia="Arial"/>
          <w:sz w:val="16"/>
        </w:rPr>
        <w:t>B. Wait until the second session to discuss telehealth risks and alternatives.</w:t>
      </w:r>
    </w:p>
    <w:p>
      <w:pPr>
        <w:spacing w:before="0" w:after="16" w:line="240" w:lineRule="auto"/>
        <w:ind w:left="259" w:hanging="259"/>
      </w:pPr>
      <w:r>
        <w:rPr>
          <w:rFonts w:ascii="Arial" w:hAnsi="Arial" w:eastAsia="Arial"/>
          <w:sz w:val="16"/>
        </w:rPr>
        <w:t>C. Obtain consent only when the client is new to the practice.</w:t>
      </w:r>
    </w:p>
    <w:p>
      <w:pPr>
        <w:spacing w:before="0" w:after="16" w:line="240" w:lineRule="auto"/>
        <w:ind w:left="259" w:hanging="259"/>
      </w:pPr>
      <w:r>
        <w:rPr>
          <w:rFonts w:ascii="Arial" w:hAnsi="Arial" w:eastAsia="Arial"/>
          <w:sz w:val="16"/>
        </w:rPr>
        <w:t>D. Inform the client about telehealth, obtain verbal or written consent to use it, and document the consent.</w:t>
      </w:r>
    </w:p>
    <w:tbl>
      <w:tblPr>
        <w:tblW w:type="auto" w:w="0"/>
        <w:jc w:val="center"/>
        <w:tblLayout w:type="fixed"/>
        <w:tblLook w:firstColumn="1" w:firstRow="1" w:lastColumn="0" w:lastRow="0" w:noHBand="0" w:noVBand="1" w:val="04A0"/>
      </w:tblPr>
      <w:tblGrid>
        <w:gridCol w:w="10080"/>
      </w:tblGrid>
      <w:tr>
        <w:tc>
          <w:tcPr>
            <w:tcW w:type="dxa" w:w="10310"/>
            <w:shd w:fill="E8F5F5"/>
            <w:tcMar>
              <w:top w:w="70" w:type="dxa"/>
              <w:start w:w="95" w:type="dxa"/>
              <w:bottom w:w="70" w:type="dxa"/>
              <w:end w:w="95" w:type="dxa"/>
            </w:tcMar>
            <w:tcBorders>
              <w:top w:val="single" w:sz="7" w:color="159C9C"/>
              <w:left w:val="single" w:sz="7" w:color="159C9C"/>
              <w:bottom w:val="single" w:sz="7" w:color="159C9C"/>
              <w:right w:val="single" w:sz="7" w:color="159C9C"/>
              <w:insideH w:val="single" w:sz="7" w:color="159C9C"/>
              <w:insideV w:val="single" w:sz="7" w:color="159C9C"/>
            </w:tcBorders>
          </w:tcPr>
          <w:p>
            <w:pPr>
              <w:spacing w:before="0" w:after="20" w:line="245" w:lineRule="auto"/>
            </w:pPr>
            <w:r>
              <w:rPr>
                <w:rFonts w:ascii="Arial" w:hAnsi="Arial" w:eastAsia="Arial"/>
                <w:b/>
                <w:color w:val="159C9C"/>
                <w:sz w:val="17"/>
              </w:rPr>
              <w:t>CORRECT ANSWER</w:t>
            </w:r>
          </w:p>
          <w:p>
            <w:pPr>
              <w:spacing w:before="0" w:after="0" w:line="240" w:lineRule="auto"/>
            </w:pPr>
            <w:r>
              <w:rPr>
                <w:rFonts w:ascii="Arial" w:hAnsi="Arial" w:eastAsia="Arial"/>
                <w:color w:val="1F2937"/>
                <w:sz w:val="16"/>
              </w:rPr>
              <w:t>D. Inform the client about telehealth, obtain verbal or written consent to use it, and document the consent.</w:t>
            </w:r>
          </w:p>
        </w:tc>
      </w:tr>
    </w:tbl>
    <w:p>
      <w:pPr>
        <w:pStyle w:val="Heading2"/>
        <w:spacing w:before="0" w:after="60" w:line="245" w:lineRule="auto"/>
        <w:keepNext/>
      </w:pPr>
      <w:r>
        <w:rPr>
          <w:rFonts w:ascii="Arial" w:hAnsi="Arial" w:eastAsia="Arial"/>
          <w:b/>
          <w:color w:val="17365D"/>
          <w:sz w:val="21"/>
        </w:rPr>
        <w:t>Why Each Option Is Correct or Incorrect</w:t>
      </w:r>
    </w:p>
    <w:p>
      <w:pPr>
        <w:spacing w:after="20" w:before="0" w:line="240" w:lineRule="auto"/>
      </w:pPr>
      <w:r>
        <w:rPr>
          <w:rFonts w:ascii="Arial" w:hAnsi="Arial" w:eastAsia="Arial"/>
          <w:b/>
          <w:color w:val="17365D"/>
          <w:sz w:val="16"/>
        </w:rPr>
        <w:t>A. Incorrect. A general policy does not necessarily establish informed telehealth consent.</w:t>
      </w:r>
      <w:r>
        <w:rPr>
          <w:rFonts w:ascii="Arial" w:hAnsi="Arial" w:eastAsia="Arial"/>
          <w:sz w:val="16"/>
        </w:rPr>
      </w:r>
    </w:p>
    <w:p>
      <w:pPr>
        <w:spacing w:after="20" w:before="0" w:line="240" w:lineRule="auto"/>
      </w:pPr>
      <w:r>
        <w:rPr>
          <w:rFonts w:ascii="Arial" w:hAnsi="Arial" w:eastAsia="Arial"/>
          <w:b/>
          <w:color w:val="17365D"/>
          <w:sz w:val="16"/>
        </w:rPr>
        <w:t>B. Incorrect. The telehealth discussion and documented consent occur before delivery through telehealth.</w:t>
      </w:r>
      <w:r>
        <w:rPr>
          <w:rFonts w:ascii="Arial" w:hAnsi="Arial" w:eastAsia="Arial"/>
          <w:sz w:val="16"/>
        </w:rPr>
      </w:r>
    </w:p>
    <w:p>
      <w:pPr>
        <w:spacing w:after="20" w:before="0" w:line="240" w:lineRule="auto"/>
      </w:pPr>
      <w:r>
        <w:rPr>
          <w:rFonts w:ascii="Arial" w:hAnsi="Arial" w:eastAsia="Arial"/>
          <w:b/>
          <w:color w:val="17365D"/>
          <w:sz w:val="16"/>
        </w:rPr>
        <w:t>C. Incorrect. The requirement concerns initiating telehealth, not only whether the client is new.</w:t>
      </w:r>
      <w:r>
        <w:rPr>
          <w:rFonts w:ascii="Arial" w:hAnsi="Arial" w:eastAsia="Arial"/>
          <w:sz w:val="16"/>
        </w:rPr>
      </w:r>
    </w:p>
    <w:p>
      <w:pPr>
        <w:spacing w:after="20" w:before="0" w:line="240" w:lineRule="auto"/>
      </w:pPr>
      <w:r>
        <w:rPr>
          <w:rFonts w:ascii="Arial" w:hAnsi="Arial" w:eastAsia="Arial"/>
          <w:b/>
          <w:color w:val="17365D"/>
          <w:sz w:val="16"/>
        </w:rPr>
        <w:t>D. Correct. California requires the provider initiating telehealth to inform the patient, obtain verbal or written consent, and document it.</w:t>
      </w:r>
      <w:r>
        <w:rPr>
          <w:rFonts w:ascii="Arial" w:hAnsi="Arial" w:eastAsia="Arial"/>
          <w:sz w:val="16"/>
        </w:rPr>
      </w:r>
    </w:p>
    <w:tbl>
      <w:tblPr>
        <w:tblW w:type="auto" w:w="0"/>
        <w:jc w:val="center"/>
        <w:tblLayout w:type="fixed"/>
        <w:tblLook w:firstColumn="1" w:firstRow="1" w:lastColumn="0" w:lastRow="0" w:noHBand="0" w:noVBand="1" w:val="04A0"/>
      </w:tblPr>
      <w:tblGrid>
        <w:gridCol w:w="10080"/>
      </w:tblGrid>
      <w:tr>
        <w:tc>
          <w:tcPr>
            <w:tcW w:type="dxa" w:w="10310"/>
            <w:shd w:fill="EAF1F8"/>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CTA EXAM STRATEGY</w:t>
            </w:r>
          </w:p>
          <w:p>
            <w:pPr>
              <w:spacing w:before="0" w:after="0" w:line="240" w:lineRule="auto"/>
            </w:pPr>
            <w:r>
              <w:rPr>
                <w:rFonts w:ascii="Arial" w:hAnsi="Arial" w:eastAsia="Arial"/>
                <w:color w:val="1F2937"/>
                <w:sz w:val="16"/>
              </w:rPr>
              <w:t>For telehealth consent items, look for the complete sequence: inform, obtain verbal or written consent, and document before delivery through telehealth.</w:t>
            </w:r>
          </w:p>
        </w:tc>
      </w:tr>
    </w:tbl>
    <w:tbl>
      <w:tblPr>
        <w:tblW w:type="auto" w:w="0"/>
        <w:jc w:val="center"/>
        <w:tblLayout w:type="fixed"/>
        <w:tblLook w:firstColumn="1" w:firstRow="1" w:lastColumn="0" w:lastRow="0" w:noHBand="0" w:noVBand="1" w:val="04A0"/>
      </w:tblPr>
      <w:tblGrid>
        <w:gridCol w:w="10080"/>
      </w:tblGrid>
      <w:tr>
        <w:tc>
          <w:tcPr>
            <w:tcW w:type="dxa" w:w="10310"/>
            <w:shd w:fill="F3F4F6"/>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LIKELY ERROR CODE</w:t>
            </w:r>
          </w:p>
          <w:p>
            <w:pPr>
              <w:spacing w:before="0" w:after="0" w:line="240" w:lineRule="auto"/>
            </w:pPr>
            <w:r>
              <w:rPr>
                <w:rFonts w:ascii="Arial" w:hAnsi="Arial" w:eastAsia="Arial"/>
                <w:color w:val="1F2937"/>
                <w:sz w:val="15"/>
              </w:rPr>
              <w:t>T - TECH consent error. Technology convenience does not replace informed consent, ordinary scope, confidentiality, or professional responsibility.</w:t>
            </w:r>
          </w:p>
        </w:tc>
      </w:tr>
    </w:tbl>
    <w:p>
      <w:r>
        <w:br w:type="page"/>
      </w:r>
    </w:p>
    <w:p>
      <w:pPr>
        <w:pStyle w:val="Heading2"/>
        <w:spacing w:before="0" w:after="60" w:line="245" w:lineRule="auto"/>
        <w:keepNext/>
      </w:pPr>
      <w:r>
        <w:rPr>
          <w:rFonts w:ascii="Arial" w:hAnsi="Arial" w:eastAsia="Arial"/>
          <w:b/>
          <w:color w:val="17365D"/>
          <w:sz w:val="21"/>
        </w:rPr>
        <w:t>Question 4 (LPCC-WB12-PB-Q004)</w:t>
      </w:r>
    </w:p>
    <w:p>
      <w:pPr>
        <w:spacing w:before="0" w:after="40" w:line="245" w:lineRule="auto"/>
      </w:pPr>
      <w:r>
        <w:rPr>
          <w:rFonts w:ascii="Arial" w:hAnsi="Arial" w:eastAsia="Arial"/>
          <w:b/>
          <w:i w:val="0"/>
          <w:color w:val="159C9C"/>
          <w:sz w:val="15"/>
        </w:rPr>
        <w:t>LPCC-WB12-PB-Q004 | Application | Moderate | Primary concept: DEFEND transparent record correction</w:t>
      </w:r>
    </w:p>
    <w:p>
      <w:pPr>
        <w:spacing w:before="0" w:after="40" w:line="245" w:lineRule="auto"/>
      </w:pPr>
      <w:r>
        <w:rPr>
          <w:rFonts w:ascii="Arial" w:hAnsi="Arial" w:eastAsia="Arial"/>
          <w:b/>
          <w:i w:val="0"/>
          <w:color w:val="1F2937"/>
          <w:sz w:val="17"/>
        </w:rPr>
        <w:t>A counselor discovers that a copied-forward progress note contains a statement the client never made. What is the BEST correction method?</w:t>
      </w:r>
    </w:p>
    <w:p>
      <w:pPr>
        <w:spacing w:before="0" w:after="16" w:line="240" w:lineRule="auto"/>
        <w:ind w:left="259" w:hanging="259"/>
      </w:pPr>
      <w:r>
        <w:rPr>
          <w:rFonts w:ascii="Arial" w:hAnsi="Arial" w:eastAsia="Arial"/>
          <w:sz w:val="16"/>
        </w:rPr>
        <w:t>A. Delete the original entry so no one can see the error.</w:t>
      </w:r>
    </w:p>
    <w:p>
      <w:pPr>
        <w:spacing w:before="0" w:after="16" w:line="240" w:lineRule="auto"/>
        <w:ind w:left="259" w:hanging="259"/>
      </w:pPr>
      <w:r>
        <w:rPr>
          <w:rFonts w:ascii="Arial" w:hAnsi="Arial" w:eastAsia="Arial"/>
          <w:sz w:val="16"/>
        </w:rPr>
        <w:t>B. Backdate a replacement note to the original service date.</w:t>
      </w:r>
    </w:p>
    <w:p>
      <w:pPr>
        <w:spacing w:before="0" w:after="16" w:line="240" w:lineRule="auto"/>
        <w:ind w:left="259" w:hanging="259"/>
      </w:pPr>
      <w:r>
        <w:rPr>
          <w:rFonts w:ascii="Arial" w:hAnsi="Arial" w:eastAsia="Arial"/>
          <w:sz w:val="16"/>
        </w:rPr>
        <w:t>C. Preserve the original audit trail and add a dated correction or addendum that identifies the error and accurate information.</w:t>
      </w:r>
    </w:p>
    <w:p>
      <w:pPr>
        <w:spacing w:before="0" w:after="16" w:line="240" w:lineRule="auto"/>
        <w:ind w:left="259" w:hanging="259"/>
      </w:pPr>
      <w:r>
        <w:rPr>
          <w:rFonts w:ascii="Arial" w:hAnsi="Arial" w:eastAsia="Arial"/>
          <w:sz w:val="16"/>
        </w:rPr>
        <w:t>D. Leave the error unchanged because altering any record is prohibited.</w:t>
      </w:r>
    </w:p>
    <w:tbl>
      <w:tblPr>
        <w:tblW w:type="auto" w:w="0"/>
        <w:jc w:val="center"/>
        <w:tblLayout w:type="fixed"/>
        <w:tblLook w:firstColumn="1" w:firstRow="1" w:lastColumn="0" w:lastRow="0" w:noHBand="0" w:noVBand="1" w:val="04A0"/>
      </w:tblPr>
      <w:tblGrid>
        <w:gridCol w:w="10080"/>
      </w:tblGrid>
      <w:tr>
        <w:tc>
          <w:tcPr>
            <w:tcW w:type="dxa" w:w="10310"/>
            <w:shd w:fill="E8F5F5"/>
            <w:tcMar>
              <w:top w:w="70" w:type="dxa"/>
              <w:start w:w="95" w:type="dxa"/>
              <w:bottom w:w="70" w:type="dxa"/>
              <w:end w:w="95" w:type="dxa"/>
            </w:tcMar>
            <w:tcBorders>
              <w:top w:val="single" w:sz="7" w:color="159C9C"/>
              <w:left w:val="single" w:sz="7" w:color="159C9C"/>
              <w:bottom w:val="single" w:sz="7" w:color="159C9C"/>
              <w:right w:val="single" w:sz="7" w:color="159C9C"/>
              <w:insideH w:val="single" w:sz="7" w:color="159C9C"/>
              <w:insideV w:val="single" w:sz="7" w:color="159C9C"/>
            </w:tcBorders>
          </w:tcPr>
          <w:p>
            <w:pPr>
              <w:spacing w:before="0" w:after="20" w:line="245" w:lineRule="auto"/>
            </w:pPr>
            <w:r>
              <w:rPr>
                <w:rFonts w:ascii="Arial" w:hAnsi="Arial" w:eastAsia="Arial"/>
                <w:b/>
                <w:color w:val="159C9C"/>
                <w:sz w:val="17"/>
              </w:rPr>
              <w:t>CORRECT ANSWER</w:t>
            </w:r>
          </w:p>
          <w:p>
            <w:pPr>
              <w:spacing w:before="0" w:after="0" w:line="240" w:lineRule="auto"/>
            </w:pPr>
            <w:r>
              <w:rPr>
                <w:rFonts w:ascii="Arial" w:hAnsi="Arial" w:eastAsia="Arial"/>
                <w:color w:val="1F2937"/>
                <w:sz w:val="16"/>
              </w:rPr>
              <w:t>C. Preserve the original audit trail and add a dated correction or addendum that identifies the error and accurate information.</w:t>
            </w:r>
          </w:p>
        </w:tc>
      </w:tr>
    </w:tbl>
    <w:p>
      <w:pPr>
        <w:pStyle w:val="Heading2"/>
        <w:spacing w:before="0" w:after="60" w:line="245" w:lineRule="auto"/>
        <w:keepNext/>
      </w:pPr>
      <w:r>
        <w:rPr>
          <w:rFonts w:ascii="Arial" w:hAnsi="Arial" w:eastAsia="Arial"/>
          <w:b/>
          <w:color w:val="17365D"/>
          <w:sz w:val="21"/>
        </w:rPr>
        <w:t>Why Each Option Is Correct or Incorrect</w:t>
      </w:r>
    </w:p>
    <w:p>
      <w:pPr>
        <w:spacing w:after="20" w:before="0" w:line="240" w:lineRule="auto"/>
      </w:pPr>
      <w:r>
        <w:rPr>
          <w:rFonts w:ascii="Arial" w:hAnsi="Arial" w:eastAsia="Arial"/>
          <w:b/>
          <w:color w:val="17365D"/>
          <w:sz w:val="16"/>
        </w:rPr>
        <w:t>A. Incorrect. Silent deletion can damage record integrity and obscure what occurred.</w:t>
      </w:r>
      <w:r>
        <w:rPr>
          <w:rFonts w:ascii="Arial" w:hAnsi="Arial" w:eastAsia="Arial"/>
          <w:sz w:val="16"/>
        </w:rPr>
      </w:r>
    </w:p>
    <w:p>
      <w:pPr>
        <w:spacing w:after="20" w:before="0" w:line="240" w:lineRule="auto"/>
      </w:pPr>
      <w:r>
        <w:rPr>
          <w:rFonts w:ascii="Arial" w:hAnsi="Arial" w:eastAsia="Arial"/>
          <w:b/>
          <w:color w:val="17365D"/>
          <w:sz w:val="16"/>
        </w:rPr>
        <w:t>B. Incorrect. Backdating creates a misleading record and does not transparently show the correction.</w:t>
      </w:r>
      <w:r>
        <w:rPr>
          <w:rFonts w:ascii="Arial" w:hAnsi="Arial" w:eastAsia="Arial"/>
          <w:sz w:val="16"/>
        </w:rPr>
      </w:r>
    </w:p>
    <w:p>
      <w:pPr>
        <w:spacing w:after="20" w:before="0" w:line="240" w:lineRule="auto"/>
      </w:pPr>
      <w:r>
        <w:rPr>
          <w:rFonts w:ascii="Arial" w:hAnsi="Arial" w:eastAsia="Arial"/>
          <w:b/>
          <w:color w:val="17365D"/>
          <w:sz w:val="16"/>
        </w:rPr>
        <w:t>C. Correct. A dated correction or addendum preserves the original and makes the change, source, and timing clear.</w:t>
      </w:r>
      <w:r>
        <w:rPr>
          <w:rFonts w:ascii="Arial" w:hAnsi="Arial" w:eastAsia="Arial"/>
          <w:sz w:val="16"/>
        </w:rPr>
      </w:r>
    </w:p>
    <w:p>
      <w:pPr>
        <w:spacing w:after="20" w:before="0" w:line="240" w:lineRule="auto"/>
      </w:pPr>
      <w:r>
        <w:rPr>
          <w:rFonts w:ascii="Arial" w:hAnsi="Arial" w:eastAsia="Arial"/>
          <w:b/>
          <w:color w:val="17365D"/>
          <w:sz w:val="16"/>
        </w:rPr>
        <w:t>D. Incorrect. Inaccurate records should be corrected transparently rather than knowingly left false.</w:t>
      </w:r>
      <w:r>
        <w:rPr>
          <w:rFonts w:ascii="Arial" w:hAnsi="Arial" w:eastAsia="Arial"/>
          <w:sz w:val="16"/>
        </w:rPr>
      </w:r>
    </w:p>
    <w:tbl>
      <w:tblPr>
        <w:tblW w:type="auto" w:w="0"/>
        <w:jc w:val="center"/>
        <w:tblLayout w:type="fixed"/>
        <w:tblLook w:firstColumn="1" w:firstRow="1" w:lastColumn="0" w:lastRow="0" w:noHBand="0" w:noVBand="1" w:val="04A0"/>
      </w:tblPr>
      <w:tblGrid>
        <w:gridCol w:w="10080"/>
      </w:tblGrid>
      <w:tr>
        <w:tc>
          <w:tcPr>
            <w:tcW w:type="dxa" w:w="10310"/>
            <w:shd w:fill="EAF1F8"/>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CTA EXAM STRATEGY</w:t>
            </w:r>
          </w:p>
          <w:p>
            <w:pPr>
              <w:spacing w:before="0" w:after="0" w:line="240" w:lineRule="auto"/>
            </w:pPr>
            <w:r>
              <w:rPr>
                <w:rFonts w:ascii="Arial" w:hAnsi="Arial" w:eastAsia="Arial"/>
                <w:color w:val="1F2937"/>
                <w:sz w:val="16"/>
              </w:rPr>
              <w:t>Record-correction questions favor transparency, dating, explanation, and preservation of the original entry or audit trail. Avoid deletion, backdating, and silent rewriting.</w:t>
            </w:r>
          </w:p>
        </w:tc>
      </w:tr>
    </w:tbl>
    <w:tbl>
      <w:tblPr>
        <w:tblW w:type="auto" w:w="0"/>
        <w:jc w:val="center"/>
        <w:tblLayout w:type="fixed"/>
        <w:tblLook w:firstColumn="1" w:firstRow="1" w:lastColumn="0" w:lastRow="0" w:noHBand="0" w:noVBand="1" w:val="04A0"/>
      </w:tblPr>
      <w:tblGrid>
        <w:gridCol w:w="10080"/>
      </w:tblGrid>
      <w:tr>
        <w:tc>
          <w:tcPr>
            <w:tcW w:type="dxa" w:w="10310"/>
            <w:shd w:fill="F3F4F6"/>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LIKELY ERROR CODE</w:t>
            </w:r>
          </w:p>
          <w:p>
            <w:pPr>
              <w:spacing w:before="0" w:after="0" w:line="240" w:lineRule="auto"/>
            </w:pPr>
            <w:r>
              <w:rPr>
                <w:rFonts w:ascii="Arial" w:hAnsi="Arial" w:eastAsia="Arial"/>
                <w:color w:val="1F2937"/>
                <w:sz w:val="15"/>
              </w:rPr>
              <w:t>R - Record-integrity error. Accurate correction preserves history and explains the change instead of hiding or rewriting it.</w:t>
            </w:r>
          </w:p>
        </w:tc>
      </w:tr>
    </w:tbl>
    <w:p>
      <w:r>
        <w:br w:type="page"/>
      </w:r>
    </w:p>
    <w:p>
      <w:pPr>
        <w:pStyle w:val="Heading2"/>
        <w:spacing w:before="0" w:after="60" w:line="245" w:lineRule="auto"/>
        <w:keepNext/>
      </w:pPr>
      <w:r>
        <w:rPr>
          <w:rFonts w:ascii="Arial" w:hAnsi="Arial" w:eastAsia="Arial"/>
          <w:b/>
          <w:color w:val="17365D"/>
          <w:sz w:val="21"/>
        </w:rPr>
        <w:t>Question 5 (LPCC-WB12-PB-Q005)</w:t>
      </w:r>
    </w:p>
    <w:p>
      <w:pPr>
        <w:spacing w:before="0" w:after="40" w:line="245" w:lineRule="auto"/>
      </w:pPr>
      <w:r>
        <w:rPr>
          <w:rFonts w:ascii="Arial" w:hAnsi="Arial" w:eastAsia="Arial"/>
          <w:b/>
          <w:i w:val="0"/>
          <w:color w:val="159C9C"/>
          <w:sz w:val="15"/>
        </w:rPr>
        <w:t>LPCC-WB12-PB-Q005 | Integrated Clinical Reasoning | Difficult | Primary concept: DEFEND billing and diagnosis integrity</w:t>
      </w:r>
    </w:p>
    <w:p>
      <w:pPr>
        <w:spacing w:before="0" w:after="40" w:line="245" w:lineRule="auto"/>
      </w:pPr>
      <w:r>
        <w:rPr>
          <w:rFonts w:ascii="Arial" w:hAnsi="Arial" w:eastAsia="Arial"/>
          <w:b/>
          <w:i w:val="0"/>
          <w:color w:val="1F2937"/>
          <w:sz w:val="17"/>
        </w:rPr>
        <w:t>An insurer asks a counselor to add a more severe diagnosis that is not clinically supported so previously denied sessions will be reimbursed. What is the BEST response?</w:t>
      </w:r>
    </w:p>
    <w:p>
      <w:pPr>
        <w:spacing w:before="0" w:after="16" w:line="240" w:lineRule="auto"/>
        <w:ind w:left="259" w:hanging="259"/>
      </w:pPr>
      <w:r>
        <w:rPr>
          <w:rFonts w:ascii="Arial" w:hAnsi="Arial" w:eastAsia="Arial"/>
          <w:sz w:val="16"/>
        </w:rPr>
        <w:t>A. Add the diagnosis temporarily and remove it after payment.</w:t>
      </w:r>
    </w:p>
    <w:p>
      <w:pPr>
        <w:spacing w:before="0" w:after="16" w:line="240" w:lineRule="auto"/>
        <w:ind w:left="259" w:hanging="259"/>
      </w:pPr>
      <w:r>
        <w:rPr>
          <w:rFonts w:ascii="Arial" w:hAnsi="Arial" w:eastAsia="Arial"/>
          <w:sz w:val="16"/>
        </w:rPr>
        <w:t>B. Refuse to falsify the diagnosis or claim, provide only clinically supportable documentation, and use appropriate billing or consultation channels to address the denial.</w:t>
      </w:r>
    </w:p>
    <w:p>
      <w:pPr>
        <w:spacing w:before="0" w:after="16" w:line="240" w:lineRule="auto"/>
        <w:ind w:left="259" w:hanging="259"/>
      </w:pPr>
      <w:r>
        <w:rPr>
          <w:rFonts w:ascii="Arial" w:hAnsi="Arial" w:eastAsia="Arial"/>
          <w:sz w:val="16"/>
        </w:rPr>
        <w:t>C. Ask the client to select the diagnosis that creates the best coverage.</w:t>
      </w:r>
    </w:p>
    <w:p>
      <w:pPr>
        <w:spacing w:before="0" w:after="16" w:line="240" w:lineRule="auto"/>
        <w:ind w:left="259" w:hanging="259"/>
      </w:pPr>
      <w:r>
        <w:rPr>
          <w:rFonts w:ascii="Arial" w:hAnsi="Arial" w:eastAsia="Arial"/>
          <w:sz w:val="16"/>
        </w:rPr>
        <w:t>D. Add the diagnosis but note privately that it was entered for reimbursement.</w:t>
      </w:r>
    </w:p>
    <w:tbl>
      <w:tblPr>
        <w:tblW w:type="auto" w:w="0"/>
        <w:jc w:val="center"/>
        <w:tblLayout w:type="fixed"/>
        <w:tblLook w:firstColumn="1" w:firstRow="1" w:lastColumn="0" w:lastRow="0" w:noHBand="0" w:noVBand="1" w:val="04A0"/>
      </w:tblPr>
      <w:tblGrid>
        <w:gridCol w:w="10080"/>
      </w:tblGrid>
      <w:tr>
        <w:tc>
          <w:tcPr>
            <w:tcW w:type="dxa" w:w="10310"/>
            <w:shd w:fill="E8F5F5"/>
            <w:tcMar>
              <w:top w:w="70" w:type="dxa"/>
              <w:start w:w="95" w:type="dxa"/>
              <w:bottom w:w="70" w:type="dxa"/>
              <w:end w:w="95" w:type="dxa"/>
            </w:tcMar>
            <w:tcBorders>
              <w:top w:val="single" w:sz="7" w:color="159C9C"/>
              <w:left w:val="single" w:sz="7" w:color="159C9C"/>
              <w:bottom w:val="single" w:sz="7" w:color="159C9C"/>
              <w:right w:val="single" w:sz="7" w:color="159C9C"/>
              <w:insideH w:val="single" w:sz="7" w:color="159C9C"/>
              <w:insideV w:val="single" w:sz="7" w:color="159C9C"/>
            </w:tcBorders>
          </w:tcPr>
          <w:p>
            <w:pPr>
              <w:spacing w:before="0" w:after="20" w:line="245" w:lineRule="auto"/>
            </w:pPr>
            <w:r>
              <w:rPr>
                <w:rFonts w:ascii="Arial" w:hAnsi="Arial" w:eastAsia="Arial"/>
                <w:b/>
                <w:color w:val="159C9C"/>
                <w:sz w:val="17"/>
              </w:rPr>
              <w:t>CORRECT ANSWER</w:t>
            </w:r>
          </w:p>
          <w:p>
            <w:pPr>
              <w:spacing w:before="0" w:after="0" w:line="240" w:lineRule="auto"/>
            </w:pPr>
            <w:r>
              <w:rPr>
                <w:rFonts w:ascii="Arial" w:hAnsi="Arial" w:eastAsia="Arial"/>
                <w:color w:val="1F2937"/>
                <w:sz w:val="16"/>
              </w:rPr>
              <w:t>B. Refuse to falsify the diagnosis or claim, provide only clinically supportable documentation, and use appropriate billing or consultation channels to address the denial.</w:t>
            </w:r>
          </w:p>
        </w:tc>
      </w:tr>
    </w:tbl>
    <w:p>
      <w:pPr>
        <w:pStyle w:val="Heading2"/>
        <w:spacing w:before="0" w:after="60" w:line="245" w:lineRule="auto"/>
        <w:keepNext/>
      </w:pPr>
      <w:r>
        <w:rPr>
          <w:rFonts w:ascii="Arial" w:hAnsi="Arial" w:eastAsia="Arial"/>
          <w:b/>
          <w:color w:val="17365D"/>
          <w:sz w:val="21"/>
        </w:rPr>
        <w:t>Why Each Option Is Correct or Incorrect</w:t>
      </w:r>
    </w:p>
    <w:p>
      <w:pPr>
        <w:spacing w:after="20" w:before="0" w:line="240" w:lineRule="auto"/>
      </w:pPr>
      <w:r>
        <w:rPr>
          <w:rFonts w:ascii="Arial" w:hAnsi="Arial" w:eastAsia="Arial"/>
          <w:b/>
          <w:color w:val="17365D"/>
          <w:sz w:val="16"/>
        </w:rPr>
        <w:t>A. Incorrect. Temporary falsification remains false documentation and billing.</w:t>
      </w:r>
      <w:r>
        <w:rPr>
          <w:rFonts w:ascii="Arial" w:hAnsi="Arial" w:eastAsia="Arial"/>
          <w:sz w:val="16"/>
        </w:rPr>
      </w:r>
    </w:p>
    <w:p>
      <w:pPr>
        <w:spacing w:after="20" w:before="0" w:line="240" w:lineRule="auto"/>
      </w:pPr>
      <w:r>
        <w:rPr>
          <w:rFonts w:ascii="Arial" w:hAnsi="Arial" w:eastAsia="Arial"/>
          <w:b/>
          <w:color w:val="17365D"/>
          <w:sz w:val="16"/>
        </w:rPr>
        <w:t>B. Correct. Documentation and claims must reflect clinically supportable services, dates, diagnoses, and providers.</w:t>
      </w:r>
      <w:r>
        <w:rPr>
          <w:rFonts w:ascii="Arial" w:hAnsi="Arial" w:eastAsia="Arial"/>
          <w:sz w:val="16"/>
        </w:rPr>
      </w:r>
    </w:p>
    <w:p>
      <w:pPr>
        <w:spacing w:after="20" w:before="0" w:line="240" w:lineRule="auto"/>
      </w:pPr>
      <w:r>
        <w:rPr>
          <w:rFonts w:ascii="Arial" w:hAnsi="Arial" w:eastAsia="Arial"/>
          <w:b/>
          <w:color w:val="17365D"/>
          <w:sz w:val="16"/>
        </w:rPr>
        <w:t>C. Incorrect. Diagnosis is a clinical determination, not a reimbursement preference.</w:t>
      </w:r>
      <w:r>
        <w:rPr>
          <w:rFonts w:ascii="Arial" w:hAnsi="Arial" w:eastAsia="Arial"/>
          <w:sz w:val="16"/>
        </w:rPr>
      </w:r>
    </w:p>
    <w:p>
      <w:pPr>
        <w:spacing w:after="20" w:before="0" w:line="240" w:lineRule="auto"/>
      </w:pPr>
      <w:r>
        <w:rPr>
          <w:rFonts w:ascii="Arial" w:hAnsi="Arial" w:eastAsia="Arial"/>
          <w:b/>
          <w:color w:val="17365D"/>
          <w:sz w:val="16"/>
        </w:rPr>
        <w:t>D. Incorrect. A private explanation does not make a false claim or record accurate.</w:t>
      </w:r>
      <w:r>
        <w:rPr>
          <w:rFonts w:ascii="Arial" w:hAnsi="Arial" w:eastAsia="Arial"/>
          <w:sz w:val="16"/>
        </w:rPr>
      </w:r>
    </w:p>
    <w:tbl>
      <w:tblPr>
        <w:tblW w:type="auto" w:w="0"/>
        <w:jc w:val="center"/>
        <w:tblLayout w:type="fixed"/>
        <w:tblLook w:firstColumn="1" w:firstRow="1" w:lastColumn="0" w:lastRow="0" w:noHBand="0" w:noVBand="1" w:val="04A0"/>
      </w:tblPr>
      <w:tblGrid>
        <w:gridCol w:w="10080"/>
      </w:tblGrid>
      <w:tr>
        <w:tc>
          <w:tcPr>
            <w:tcW w:type="dxa" w:w="10310"/>
            <w:shd w:fill="EAF1F8"/>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CTA EXAM STRATEGY</w:t>
            </w:r>
          </w:p>
          <w:p>
            <w:pPr>
              <w:spacing w:before="0" w:after="0" w:line="240" w:lineRule="auto"/>
            </w:pPr>
            <w:r>
              <w:rPr>
                <w:rFonts w:ascii="Arial" w:hAnsi="Arial" w:eastAsia="Arial"/>
                <w:color w:val="1F2937"/>
                <w:sz w:val="16"/>
              </w:rPr>
              <w:t>Billing pressure never makes unsupported clinical information acceptable. Choose truthful documentation, accurate coding, consultation, and transparent problem solving.</w:t>
            </w:r>
          </w:p>
        </w:tc>
      </w:tr>
    </w:tbl>
    <w:tbl>
      <w:tblPr>
        <w:tblW w:type="auto" w:w="0"/>
        <w:jc w:val="center"/>
        <w:tblLayout w:type="fixed"/>
        <w:tblLook w:firstColumn="1" w:firstRow="1" w:lastColumn="0" w:lastRow="0" w:noHBand="0" w:noVBand="1" w:val="04A0"/>
      </w:tblPr>
      <w:tblGrid>
        <w:gridCol w:w="10080"/>
      </w:tblGrid>
      <w:tr>
        <w:tc>
          <w:tcPr>
            <w:tcW w:type="dxa" w:w="10310"/>
            <w:shd w:fill="F3F4F6"/>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LIKELY ERROR CODE</w:t>
            </w:r>
          </w:p>
          <w:p>
            <w:pPr>
              <w:spacing w:before="0" w:after="0" w:line="240" w:lineRule="auto"/>
            </w:pPr>
            <w:r>
              <w:rPr>
                <w:rFonts w:ascii="Arial" w:hAnsi="Arial" w:eastAsia="Arial"/>
                <w:color w:val="1F2937"/>
                <w:sz w:val="15"/>
              </w:rPr>
              <w:t>B - Billing-integrity error. Reimbursement does not justify changing dates, diagnoses, providers, time, or services that were not actually documented and supported.</w:t>
            </w:r>
          </w:p>
        </w:tc>
      </w:tr>
    </w:tbl>
    <w:p>
      <w:r>
        <w:br w:type="page"/>
      </w:r>
    </w:p>
    <w:p>
      <w:pPr>
        <w:pStyle w:val="Heading2"/>
        <w:spacing w:before="0" w:after="60" w:line="245" w:lineRule="auto"/>
        <w:keepNext/>
      </w:pPr>
      <w:r>
        <w:rPr>
          <w:rFonts w:ascii="Arial" w:hAnsi="Arial" w:eastAsia="Arial"/>
          <w:b/>
          <w:color w:val="17365D"/>
          <w:sz w:val="21"/>
        </w:rPr>
        <w:t>Question 6 (LPCC-WB12-PB-Q006)</w:t>
      </w:r>
    </w:p>
    <w:p>
      <w:pPr>
        <w:spacing w:before="0" w:after="40" w:line="245" w:lineRule="auto"/>
      </w:pPr>
      <w:r>
        <w:rPr>
          <w:rFonts w:ascii="Arial" w:hAnsi="Arial" w:eastAsia="Arial"/>
          <w:b/>
          <w:i w:val="0"/>
          <w:color w:val="159C9C"/>
          <w:sz w:val="15"/>
        </w:rPr>
        <w:t>LPCC-WB12-PB-Q006 | Knowledge &amp; Application | Easy | Primary concept: TECH location and jurisdiction</w:t>
      </w:r>
    </w:p>
    <w:p>
      <w:pPr>
        <w:spacing w:before="0" w:after="40" w:line="245" w:lineRule="auto"/>
      </w:pPr>
      <w:r>
        <w:rPr>
          <w:rFonts w:ascii="Arial" w:hAnsi="Arial" w:eastAsia="Arial"/>
          <w:b/>
          <w:i w:val="0"/>
          <w:color w:val="1F2937"/>
          <w:sz w:val="17"/>
        </w:rPr>
        <w:t>Marcella joins the first video session from a hotel in Oregon and says she will return to California in four days. What should Dana do FIRST?</w:t>
      </w:r>
    </w:p>
    <w:p>
      <w:pPr>
        <w:spacing w:before="0" w:after="16" w:line="240" w:lineRule="auto"/>
        <w:ind w:left="259" w:hanging="259"/>
      </w:pPr>
      <w:r>
        <w:rPr>
          <w:rFonts w:ascii="Arial" w:hAnsi="Arial" w:eastAsia="Arial"/>
          <w:sz w:val="16"/>
        </w:rPr>
        <w:t>A. Verify Marcella's exact location and immediate needs, determine whether Dana is authorized to provide routine care in that jurisdiction, and use an appropriate emergency or continuity response if needed.</w:t>
      </w:r>
    </w:p>
    <w:p>
      <w:pPr>
        <w:spacing w:before="0" w:after="16" w:line="240" w:lineRule="auto"/>
        <w:ind w:left="259" w:hanging="259"/>
      </w:pPr>
      <w:r>
        <w:rPr>
          <w:rFonts w:ascii="Arial" w:hAnsi="Arial" w:eastAsia="Arial"/>
          <w:sz w:val="16"/>
        </w:rPr>
        <w:t>B. Continue because Dana is licensed in California and Marcella is a California resident.</w:t>
      </w:r>
    </w:p>
    <w:p>
      <w:pPr>
        <w:spacing w:before="0" w:after="16" w:line="240" w:lineRule="auto"/>
        <w:ind w:left="259" w:hanging="259"/>
      </w:pPr>
      <w:r>
        <w:rPr>
          <w:rFonts w:ascii="Arial" w:hAnsi="Arial" w:eastAsia="Arial"/>
          <w:sz w:val="16"/>
        </w:rPr>
        <w:t>C. Ask Marcella not to mention the travel in the clinical record.</w:t>
      </w:r>
    </w:p>
    <w:p>
      <w:pPr>
        <w:spacing w:before="0" w:after="16" w:line="240" w:lineRule="auto"/>
        <w:ind w:left="259" w:hanging="259"/>
      </w:pPr>
      <w:r>
        <w:rPr>
          <w:rFonts w:ascii="Arial" w:hAnsi="Arial" w:eastAsia="Arial"/>
          <w:sz w:val="16"/>
        </w:rPr>
        <w:t>D. Convert the session to messaging so jurisdiction no longer matters.</w:t>
      </w:r>
    </w:p>
    <w:tbl>
      <w:tblPr>
        <w:tblW w:type="auto" w:w="0"/>
        <w:jc w:val="center"/>
        <w:tblLayout w:type="fixed"/>
        <w:tblLook w:firstColumn="1" w:firstRow="1" w:lastColumn="0" w:lastRow="0" w:noHBand="0" w:noVBand="1" w:val="04A0"/>
      </w:tblPr>
      <w:tblGrid>
        <w:gridCol w:w="10080"/>
      </w:tblGrid>
      <w:tr>
        <w:tc>
          <w:tcPr>
            <w:tcW w:type="dxa" w:w="10310"/>
            <w:shd w:fill="E8F5F5"/>
            <w:tcMar>
              <w:top w:w="70" w:type="dxa"/>
              <w:start w:w="95" w:type="dxa"/>
              <w:bottom w:w="70" w:type="dxa"/>
              <w:end w:w="95" w:type="dxa"/>
            </w:tcMar>
            <w:tcBorders>
              <w:top w:val="single" w:sz="7" w:color="159C9C"/>
              <w:left w:val="single" w:sz="7" w:color="159C9C"/>
              <w:bottom w:val="single" w:sz="7" w:color="159C9C"/>
              <w:right w:val="single" w:sz="7" w:color="159C9C"/>
              <w:insideH w:val="single" w:sz="7" w:color="159C9C"/>
              <w:insideV w:val="single" w:sz="7" w:color="159C9C"/>
            </w:tcBorders>
          </w:tcPr>
          <w:p>
            <w:pPr>
              <w:spacing w:before="0" w:after="20" w:line="245" w:lineRule="auto"/>
            </w:pPr>
            <w:r>
              <w:rPr>
                <w:rFonts w:ascii="Arial" w:hAnsi="Arial" w:eastAsia="Arial"/>
                <w:b/>
                <w:color w:val="159C9C"/>
                <w:sz w:val="17"/>
              </w:rPr>
              <w:t>CORRECT ANSWER</w:t>
            </w:r>
          </w:p>
          <w:p>
            <w:pPr>
              <w:spacing w:before="0" w:after="0" w:line="240" w:lineRule="auto"/>
            </w:pPr>
            <w:r>
              <w:rPr>
                <w:rFonts w:ascii="Arial" w:hAnsi="Arial" w:eastAsia="Arial"/>
                <w:color w:val="1F2937"/>
                <w:sz w:val="16"/>
              </w:rPr>
              <w:t>A. Verify Marcella's exact location and immediate needs, determine whether Dana is authorized to provide routine care in that jurisdiction, and use an appropriate emergency or continuity response if needed.</w:t>
            </w:r>
          </w:p>
        </w:tc>
      </w:tr>
    </w:tbl>
    <w:p>
      <w:pPr>
        <w:pStyle w:val="Heading2"/>
        <w:spacing w:before="0" w:after="60" w:line="245" w:lineRule="auto"/>
        <w:keepNext/>
      </w:pPr>
      <w:r>
        <w:rPr>
          <w:rFonts w:ascii="Arial" w:hAnsi="Arial" w:eastAsia="Arial"/>
          <w:b/>
          <w:color w:val="17365D"/>
          <w:sz w:val="21"/>
        </w:rPr>
        <w:t>Why Each Option Is Correct or Incorrect</w:t>
      </w:r>
    </w:p>
    <w:p>
      <w:pPr>
        <w:spacing w:after="20" w:before="0" w:line="240" w:lineRule="auto"/>
      </w:pPr>
      <w:r>
        <w:rPr>
          <w:rFonts w:ascii="Arial" w:hAnsi="Arial" w:eastAsia="Arial"/>
          <w:b/>
          <w:color w:val="17365D"/>
          <w:sz w:val="16"/>
        </w:rPr>
        <w:t>A. Correct. The client's location controls where the service is delivered, so jurisdiction and emergency planning must be addressed before routine care continues.</w:t>
      </w:r>
      <w:r>
        <w:rPr>
          <w:rFonts w:ascii="Arial" w:hAnsi="Arial" w:eastAsia="Arial"/>
          <w:sz w:val="16"/>
        </w:rPr>
      </w:r>
    </w:p>
    <w:p>
      <w:pPr>
        <w:spacing w:after="20" w:before="0" w:line="240" w:lineRule="auto"/>
      </w:pPr>
      <w:r>
        <w:rPr>
          <w:rFonts w:ascii="Arial" w:hAnsi="Arial" w:eastAsia="Arial"/>
          <w:b/>
          <w:color w:val="17365D"/>
          <w:sz w:val="16"/>
        </w:rPr>
        <w:t>B. Incorrect. California licensure and client residency do not automatically authorize practice where the client is physically located.</w:t>
      </w:r>
      <w:r>
        <w:rPr>
          <w:rFonts w:ascii="Arial" w:hAnsi="Arial" w:eastAsia="Arial"/>
          <w:sz w:val="16"/>
        </w:rPr>
      </w:r>
    </w:p>
    <w:p>
      <w:pPr>
        <w:spacing w:after="20" w:before="0" w:line="240" w:lineRule="auto"/>
      </w:pPr>
      <w:r>
        <w:rPr>
          <w:rFonts w:ascii="Arial" w:hAnsi="Arial" w:eastAsia="Arial"/>
          <w:b/>
          <w:color w:val="17365D"/>
          <w:sz w:val="16"/>
        </w:rPr>
        <w:t>C. Incorrect. Omitting location would create inaccurate documentation and increase risk.</w:t>
      </w:r>
      <w:r>
        <w:rPr>
          <w:rFonts w:ascii="Arial" w:hAnsi="Arial" w:eastAsia="Arial"/>
          <w:sz w:val="16"/>
        </w:rPr>
      </w:r>
    </w:p>
    <w:p>
      <w:pPr>
        <w:spacing w:after="20" w:before="0" w:line="240" w:lineRule="auto"/>
      </w:pPr>
      <w:r>
        <w:rPr>
          <w:rFonts w:ascii="Arial" w:hAnsi="Arial" w:eastAsia="Arial"/>
          <w:b/>
          <w:color w:val="17365D"/>
          <w:sz w:val="16"/>
        </w:rPr>
        <w:t>D. Incorrect. Changing technology does not eliminate licensure, scope, or jurisdiction requirements.</w:t>
      </w:r>
      <w:r>
        <w:rPr>
          <w:rFonts w:ascii="Arial" w:hAnsi="Arial" w:eastAsia="Arial"/>
          <w:sz w:val="16"/>
        </w:rPr>
      </w:r>
    </w:p>
    <w:tbl>
      <w:tblPr>
        <w:tblW w:type="auto" w:w="0"/>
        <w:jc w:val="center"/>
        <w:tblLayout w:type="fixed"/>
        <w:tblLook w:firstColumn="1" w:firstRow="1" w:lastColumn="0" w:lastRow="0" w:noHBand="0" w:noVBand="1" w:val="04A0"/>
      </w:tblPr>
      <w:tblGrid>
        <w:gridCol w:w="10080"/>
      </w:tblGrid>
      <w:tr>
        <w:tc>
          <w:tcPr>
            <w:tcW w:type="dxa" w:w="10310"/>
            <w:shd w:fill="EAF1F8"/>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CTA EXAM STRATEGY</w:t>
            </w:r>
          </w:p>
          <w:p>
            <w:pPr>
              <w:spacing w:before="0" w:after="0" w:line="240" w:lineRule="auto"/>
            </w:pPr>
            <w:r>
              <w:rPr>
                <w:rFonts w:ascii="Arial" w:hAnsi="Arial" w:eastAsia="Arial"/>
                <w:color w:val="1F2937"/>
                <w:sz w:val="16"/>
              </w:rPr>
              <w:t>Telehealth location questions test where the client is physically located. Verify location, authority, safety, and continuity before assuming the session can proceed normally.</w:t>
            </w:r>
          </w:p>
        </w:tc>
      </w:tr>
    </w:tbl>
    <w:tbl>
      <w:tblPr>
        <w:tblW w:type="auto" w:w="0"/>
        <w:jc w:val="center"/>
        <w:tblLayout w:type="fixed"/>
        <w:tblLook w:firstColumn="1" w:firstRow="1" w:lastColumn="0" w:lastRow="0" w:noHBand="0" w:noVBand="1" w:val="04A0"/>
      </w:tblPr>
      <w:tblGrid>
        <w:gridCol w:w="10080"/>
      </w:tblGrid>
      <w:tr>
        <w:tc>
          <w:tcPr>
            <w:tcW w:type="dxa" w:w="10310"/>
            <w:shd w:fill="F3F4F6"/>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LIKELY ERROR CODE</w:t>
            </w:r>
          </w:p>
          <w:p>
            <w:pPr>
              <w:spacing w:before="0" w:after="0" w:line="240" w:lineRule="auto"/>
            </w:pPr>
            <w:r>
              <w:rPr>
                <w:rFonts w:ascii="Arial" w:hAnsi="Arial" w:eastAsia="Arial"/>
                <w:color w:val="1F2937"/>
                <w:sz w:val="15"/>
              </w:rPr>
              <w:t>J - Jurisdiction error. Telehealth does not expand licensure or erase the professional duties of the client's current location.</w:t>
            </w:r>
          </w:p>
        </w:tc>
      </w:tr>
    </w:tbl>
    <w:p>
      <w:r>
        <w:br w:type="page"/>
      </w:r>
    </w:p>
    <w:p>
      <w:pPr>
        <w:pStyle w:val="Heading2"/>
        <w:spacing w:before="0" w:after="60" w:line="245" w:lineRule="auto"/>
        <w:keepNext/>
      </w:pPr>
      <w:r>
        <w:rPr>
          <w:rFonts w:ascii="Arial" w:hAnsi="Arial" w:eastAsia="Arial"/>
          <w:b/>
          <w:color w:val="17365D"/>
          <w:sz w:val="21"/>
        </w:rPr>
        <w:t>Question 7 (LPCC-WB12-PB-Q007)</w:t>
      </w:r>
    </w:p>
    <w:p>
      <w:pPr>
        <w:spacing w:before="0" w:after="40" w:line="245" w:lineRule="auto"/>
      </w:pPr>
      <w:r>
        <w:rPr>
          <w:rFonts w:ascii="Arial" w:hAnsi="Arial" w:eastAsia="Arial"/>
          <w:b/>
          <w:i w:val="0"/>
          <w:color w:val="159C9C"/>
          <w:sz w:val="15"/>
        </w:rPr>
        <w:t>LPCC-WB12-PB-Q007 | Application | Moderate | Primary concept: TECH AI consent, vendor review, and human oversight</w:t>
      </w:r>
    </w:p>
    <w:p>
      <w:pPr>
        <w:spacing w:before="0" w:after="40" w:line="245" w:lineRule="auto"/>
      </w:pPr>
      <w:r>
        <w:rPr>
          <w:rFonts w:ascii="Arial" w:hAnsi="Arial" w:eastAsia="Arial"/>
          <w:b/>
          <w:i w:val="0"/>
          <w:color w:val="1F2937"/>
          <w:sz w:val="17"/>
        </w:rPr>
        <w:t>Dana notices that the clinic's AI meeting assistant is enabled and sending session audio to a third-party service that was not described in Marcella's consent materials. What is the BEST initial response?</w:t>
      </w:r>
    </w:p>
    <w:p>
      <w:pPr>
        <w:spacing w:before="0" w:after="16" w:line="240" w:lineRule="auto"/>
        <w:ind w:left="259" w:hanging="259"/>
      </w:pPr>
      <w:r>
        <w:rPr>
          <w:rFonts w:ascii="Arial" w:hAnsi="Arial" w:eastAsia="Arial"/>
          <w:sz w:val="16"/>
        </w:rPr>
        <w:t>A. Ignore it because the clinic purchased the software.</w:t>
      </w:r>
    </w:p>
    <w:p>
      <w:pPr>
        <w:spacing w:before="0" w:after="16" w:line="240" w:lineRule="auto"/>
        <w:ind w:left="259" w:hanging="259"/>
      </w:pPr>
      <w:r>
        <w:rPr>
          <w:rFonts w:ascii="Arial" w:hAnsi="Arial" w:eastAsia="Arial"/>
          <w:sz w:val="16"/>
        </w:rPr>
        <w:t>B. Continue using it and add a consent form after several sessions.</w:t>
      </w:r>
    </w:p>
    <w:p>
      <w:pPr>
        <w:spacing w:before="0" w:after="16" w:line="240" w:lineRule="auto"/>
        <w:ind w:left="259" w:hanging="259"/>
      </w:pPr>
      <w:r>
        <w:rPr>
          <w:rFonts w:ascii="Arial" w:hAnsi="Arial" w:eastAsia="Arial"/>
          <w:sz w:val="16"/>
        </w:rPr>
        <w:t>C. Stop or disable the unreviewed function, determine what data were captured and how they are handled, assess privacy and security obligations, address consent with Marcella, and require human review before any output is used.</w:t>
      </w:r>
    </w:p>
    <w:p>
      <w:pPr>
        <w:spacing w:before="0" w:after="16" w:line="240" w:lineRule="auto"/>
        <w:ind w:left="259" w:hanging="259"/>
      </w:pPr>
      <w:r>
        <w:rPr>
          <w:rFonts w:ascii="Arial" w:hAnsi="Arial" w:eastAsia="Arial"/>
          <w:sz w:val="16"/>
        </w:rPr>
        <w:t>D. Ask Marcella to sign a blanket waiver releasing Dana from all technology responsibility.</w:t>
      </w:r>
    </w:p>
    <w:tbl>
      <w:tblPr>
        <w:tblW w:type="auto" w:w="0"/>
        <w:jc w:val="center"/>
        <w:tblLayout w:type="fixed"/>
        <w:tblLook w:firstColumn="1" w:firstRow="1" w:lastColumn="0" w:lastRow="0" w:noHBand="0" w:noVBand="1" w:val="04A0"/>
      </w:tblPr>
      <w:tblGrid>
        <w:gridCol w:w="10080"/>
      </w:tblGrid>
      <w:tr>
        <w:tc>
          <w:tcPr>
            <w:tcW w:type="dxa" w:w="10310"/>
            <w:shd w:fill="E8F5F5"/>
            <w:tcMar>
              <w:top w:w="70" w:type="dxa"/>
              <w:start w:w="95" w:type="dxa"/>
              <w:bottom w:w="70" w:type="dxa"/>
              <w:end w:w="95" w:type="dxa"/>
            </w:tcMar>
            <w:tcBorders>
              <w:top w:val="single" w:sz="7" w:color="159C9C"/>
              <w:left w:val="single" w:sz="7" w:color="159C9C"/>
              <w:bottom w:val="single" w:sz="7" w:color="159C9C"/>
              <w:right w:val="single" w:sz="7" w:color="159C9C"/>
              <w:insideH w:val="single" w:sz="7" w:color="159C9C"/>
              <w:insideV w:val="single" w:sz="7" w:color="159C9C"/>
            </w:tcBorders>
          </w:tcPr>
          <w:p>
            <w:pPr>
              <w:spacing w:before="0" w:after="20" w:line="245" w:lineRule="auto"/>
            </w:pPr>
            <w:r>
              <w:rPr>
                <w:rFonts w:ascii="Arial" w:hAnsi="Arial" w:eastAsia="Arial"/>
                <w:b/>
                <w:color w:val="159C9C"/>
                <w:sz w:val="17"/>
              </w:rPr>
              <w:t>CORRECT ANSWER</w:t>
            </w:r>
          </w:p>
          <w:p>
            <w:pPr>
              <w:spacing w:before="0" w:after="0" w:line="240" w:lineRule="auto"/>
            </w:pPr>
            <w:r>
              <w:rPr>
                <w:rFonts w:ascii="Arial" w:hAnsi="Arial" w:eastAsia="Arial"/>
                <w:color w:val="1F2937"/>
                <w:sz w:val="16"/>
              </w:rPr>
              <w:t>C. Stop or disable the unreviewed function, determine what data were captured and how they are handled, assess privacy and security obligations, address consent with Marcella, and require human review before any output is used.</w:t>
            </w:r>
          </w:p>
        </w:tc>
      </w:tr>
    </w:tbl>
    <w:p>
      <w:pPr>
        <w:pStyle w:val="Heading2"/>
        <w:spacing w:before="0" w:after="60" w:line="245" w:lineRule="auto"/>
        <w:keepNext/>
      </w:pPr>
      <w:r>
        <w:rPr>
          <w:rFonts w:ascii="Arial" w:hAnsi="Arial" w:eastAsia="Arial"/>
          <w:b/>
          <w:color w:val="17365D"/>
          <w:sz w:val="21"/>
        </w:rPr>
        <w:t>Why Each Option Is Correct or Incorrect</w:t>
      </w:r>
    </w:p>
    <w:p>
      <w:pPr>
        <w:spacing w:after="20" w:before="0" w:line="240" w:lineRule="auto"/>
      </w:pPr>
      <w:r>
        <w:rPr>
          <w:rFonts w:ascii="Arial" w:hAnsi="Arial" w:eastAsia="Arial"/>
          <w:b/>
          <w:color w:val="17365D"/>
          <w:sz w:val="16"/>
        </w:rPr>
        <w:t>A. Incorrect. Organizational purchase does not establish informed consent, privacy compliance, security, or clinical fit.</w:t>
      </w:r>
      <w:r>
        <w:rPr>
          <w:rFonts w:ascii="Arial" w:hAnsi="Arial" w:eastAsia="Arial"/>
          <w:sz w:val="16"/>
        </w:rPr>
      </w:r>
    </w:p>
    <w:p>
      <w:pPr>
        <w:spacing w:after="20" w:before="0" w:line="240" w:lineRule="auto"/>
      </w:pPr>
      <w:r>
        <w:rPr>
          <w:rFonts w:ascii="Arial" w:hAnsi="Arial" w:eastAsia="Arial"/>
          <w:b/>
          <w:color w:val="17365D"/>
          <w:sz w:val="16"/>
        </w:rPr>
        <w:t>B. Incorrect. Later consent does not cure undisclosed collection and ongoing unreviewed use.</w:t>
      </w:r>
      <w:r>
        <w:rPr>
          <w:rFonts w:ascii="Arial" w:hAnsi="Arial" w:eastAsia="Arial"/>
          <w:sz w:val="16"/>
        </w:rPr>
      </w:r>
    </w:p>
    <w:p>
      <w:pPr>
        <w:spacing w:after="20" w:before="0" w:line="240" w:lineRule="auto"/>
      </w:pPr>
      <w:r>
        <w:rPr>
          <w:rFonts w:ascii="Arial" w:hAnsi="Arial" w:eastAsia="Arial"/>
          <w:b/>
          <w:color w:val="17365D"/>
          <w:sz w:val="16"/>
        </w:rPr>
        <w:t>C. Correct. TECH reasoning pauses the risk, identifies data flow, protects the client, addresses consent, and preserves human accountability.</w:t>
      </w:r>
      <w:r>
        <w:rPr>
          <w:rFonts w:ascii="Arial" w:hAnsi="Arial" w:eastAsia="Arial"/>
          <w:sz w:val="16"/>
        </w:rPr>
      </w:r>
    </w:p>
    <w:p>
      <w:pPr>
        <w:spacing w:after="20" w:before="0" w:line="240" w:lineRule="auto"/>
      </w:pPr>
      <w:r>
        <w:rPr>
          <w:rFonts w:ascii="Arial" w:hAnsi="Arial" w:eastAsia="Arial"/>
          <w:b/>
          <w:color w:val="17365D"/>
          <w:sz w:val="16"/>
        </w:rPr>
        <w:t>D. Incorrect. A blanket waiver does not eliminate professional responsibility or create meaningful informed consent.</w:t>
      </w:r>
      <w:r>
        <w:rPr>
          <w:rFonts w:ascii="Arial" w:hAnsi="Arial" w:eastAsia="Arial"/>
          <w:sz w:val="16"/>
        </w:rPr>
      </w:r>
    </w:p>
    <w:tbl>
      <w:tblPr>
        <w:tblW w:type="auto" w:w="0"/>
        <w:jc w:val="center"/>
        <w:tblLayout w:type="fixed"/>
        <w:tblLook w:firstColumn="1" w:firstRow="1" w:lastColumn="0" w:lastRow="0" w:noHBand="0" w:noVBand="1" w:val="04A0"/>
      </w:tblPr>
      <w:tblGrid>
        <w:gridCol w:w="10080"/>
      </w:tblGrid>
      <w:tr>
        <w:tc>
          <w:tcPr>
            <w:tcW w:type="dxa" w:w="10310"/>
            <w:shd w:fill="EAF1F8"/>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CTA EXAM STRATEGY</w:t>
            </w:r>
          </w:p>
          <w:p>
            <w:pPr>
              <w:spacing w:before="0" w:after="0" w:line="240" w:lineRule="auto"/>
            </w:pPr>
            <w:r>
              <w:rPr>
                <w:rFonts w:ascii="Arial" w:hAnsi="Arial" w:eastAsia="Arial"/>
                <w:color w:val="1F2937"/>
                <w:sz w:val="16"/>
              </w:rPr>
              <w:t>AI questions are still clinical and privacy questions. Look for data mapping, consent, security, vendor review, accuracy, bias, minimum use, human oversight, and documented decision making.</w:t>
            </w:r>
          </w:p>
        </w:tc>
      </w:tr>
    </w:tbl>
    <w:tbl>
      <w:tblPr>
        <w:tblW w:type="auto" w:w="0"/>
        <w:jc w:val="center"/>
        <w:tblLayout w:type="fixed"/>
        <w:tblLook w:firstColumn="1" w:firstRow="1" w:lastColumn="0" w:lastRow="0" w:noHBand="0" w:noVBand="1" w:val="04A0"/>
      </w:tblPr>
      <w:tblGrid>
        <w:gridCol w:w="10080"/>
      </w:tblGrid>
      <w:tr>
        <w:tc>
          <w:tcPr>
            <w:tcW w:type="dxa" w:w="10310"/>
            <w:shd w:fill="F3F4F6"/>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LIKELY ERROR CODE</w:t>
            </w:r>
          </w:p>
          <w:p>
            <w:pPr>
              <w:spacing w:before="0" w:after="0" w:line="240" w:lineRule="auto"/>
            </w:pPr>
            <w:r>
              <w:rPr>
                <w:rFonts w:ascii="Arial" w:hAnsi="Arial" w:eastAsia="Arial"/>
                <w:color w:val="1F2937"/>
                <w:sz w:val="15"/>
              </w:rPr>
              <w:t>T - TECH governance error. The counselor remains accountable for technology selection, disclosure, monitoring, output accuracy, and client impact.</w:t>
            </w:r>
          </w:p>
        </w:tc>
      </w:tr>
    </w:tbl>
    <w:p>
      <w:r>
        <w:br w:type="page"/>
      </w:r>
    </w:p>
    <w:p>
      <w:pPr>
        <w:pStyle w:val="Heading2"/>
        <w:spacing w:before="0" w:after="60" w:line="245" w:lineRule="auto"/>
        <w:keepNext/>
      </w:pPr>
      <w:r>
        <w:rPr>
          <w:rFonts w:ascii="Arial" w:hAnsi="Arial" w:eastAsia="Arial"/>
          <w:b/>
          <w:color w:val="17365D"/>
          <w:sz w:val="21"/>
        </w:rPr>
        <w:t>Question 8 (LPCC-WB12-PB-Q008)</w:t>
      </w:r>
    </w:p>
    <w:p>
      <w:pPr>
        <w:spacing w:before="0" w:after="40" w:line="245" w:lineRule="auto"/>
      </w:pPr>
      <w:r>
        <w:rPr>
          <w:rFonts w:ascii="Arial" w:hAnsi="Arial" w:eastAsia="Arial"/>
          <w:b/>
          <w:i w:val="0"/>
          <w:color w:val="159C9C"/>
          <w:sz w:val="15"/>
        </w:rPr>
        <w:t>LPCC-WB12-PB-Q008 | Application | Moderate | Primary concept: DEFEND immediate documentation after technology incident</w:t>
      </w:r>
    </w:p>
    <w:p>
      <w:pPr>
        <w:spacing w:before="0" w:after="40" w:line="245" w:lineRule="auto"/>
      </w:pPr>
      <w:r>
        <w:rPr>
          <w:rFonts w:ascii="Arial" w:hAnsi="Arial" w:eastAsia="Arial"/>
          <w:b/>
          <w:i w:val="0"/>
          <w:color w:val="1F2937"/>
          <w:sz w:val="17"/>
        </w:rPr>
        <w:t>Which information should Dana document after discovering the undisclosed AI function?</w:t>
      </w:r>
    </w:p>
    <w:p>
      <w:pPr>
        <w:spacing w:before="0" w:after="16" w:line="240" w:lineRule="auto"/>
        <w:ind w:left="259" w:hanging="259"/>
      </w:pPr>
      <w:r>
        <w:rPr>
          <w:rFonts w:ascii="Arial" w:hAnsi="Arial" w:eastAsia="Arial"/>
          <w:sz w:val="16"/>
        </w:rPr>
        <w:t>A. Only that the client attended the session.</w:t>
      </w:r>
    </w:p>
    <w:p>
      <w:pPr>
        <w:spacing w:before="0" w:after="16" w:line="240" w:lineRule="auto"/>
        <w:ind w:left="259" w:hanging="259"/>
      </w:pPr>
      <w:r>
        <w:rPr>
          <w:rFonts w:ascii="Arial" w:hAnsi="Arial" w:eastAsia="Arial"/>
          <w:sz w:val="16"/>
        </w:rPr>
        <w:t>B. A rewritten note that omits the AI issue so the record remains concise.</w:t>
      </w:r>
    </w:p>
    <w:p>
      <w:pPr>
        <w:spacing w:before="0" w:after="16" w:line="240" w:lineRule="auto"/>
        <w:ind w:left="259" w:hanging="259"/>
      </w:pPr>
      <w:r>
        <w:rPr>
          <w:rFonts w:ascii="Arial" w:hAnsi="Arial" w:eastAsia="Arial"/>
          <w:sz w:val="16"/>
        </w:rPr>
        <w:t>C. The vendor's marketing claims copied into the progress note.</w:t>
      </w:r>
    </w:p>
    <w:p>
      <w:pPr>
        <w:spacing w:before="0" w:after="16" w:line="240" w:lineRule="auto"/>
        <w:ind w:left="259" w:hanging="259"/>
      </w:pPr>
      <w:r>
        <w:rPr>
          <w:rFonts w:ascii="Arial" w:hAnsi="Arial" w:eastAsia="Arial"/>
          <w:sz w:val="16"/>
        </w:rPr>
        <w:t>D. Marcella's location and session status, what Dana discovered, any data known to be captured, steps taken to stop and investigate it, the consent discussion, client response, safety or continuity decisions, and follow-up responsibilities.</w:t>
      </w:r>
    </w:p>
    <w:tbl>
      <w:tblPr>
        <w:tblW w:type="auto" w:w="0"/>
        <w:jc w:val="center"/>
        <w:tblLayout w:type="fixed"/>
        <w:tblLook w:firstColumn="1" w:firstRow="1" w:lastColumn="0" w:lastRow="0" w:noHBand="0" w:noVBand="1" w:val="04A0"/>
      </w:tblPr>
      <w:tblGrid>
        <w:gridCol w:w="10080"/>
      </w:tblGrid>
      <w:tr>
        <w:tc>
          <w:tcPr>
            <w:tcW w:type="dxa" w:w="10310"/>
            <w:shd w:fill="E8F5F5"/>
            <w:tcMar>
              <w:top w:w="70" w:type="dxa"/>
              <w:start w:w="95" w:type="dxa"/>
              <w:bottom w:w="70" w:type="dxa"/>
              <w:end w:w="95" w:type="dxa"/>
            </w:tcMar>
            <w:tcBorders>
              <w:top w:val="single" w:sz="7" w:color="159C9C"/>
              <w:left w:val="single" w:sz="7" w:color="159C9C"/>
              <w:bottom w:val="single" w:sz="7" w:color="159C9C"/>
              <w:right w:val="single" w:sz="7" w:color="159C9C"/>
              <w:insideH w:val="single" w:sz="7" w:color="159C9C"/>
              <w:insideV w:val="single" w:sz="7" w:color="159C9C"/>
            </w:tcBorders>
          </w:tcPr>
          <w:p>
            <w:pPr>
              <w:spacing w:before="0" w:after="20" w:line="245" w:lineRule="auto"/>
            </w:pPr>
            <w:r>
              <w:rPr>
                <w:rFonts w:ascii="Arial" w:hAnsi="Arial" w:eastAsia="Arial"/>
                <w:b/>
                <w:color w:val="159C9C"/>
                <w:sz w:val="17"/>
              </w:rPr>
              <w:t>CORRECT ANSWER</w:t>
            </w:r>
          </w:p>
          <w:p>
            <w:pPr>
              <w:spacing w:before="0" w:after="0" w:line="240" w:lineRule="auto"/>
            </w:pPr>
            <w:r>
              <w:rPr>
                <w:rFonts w:ascii="Arial" w:hAnsi="Arial" w:eastAsia="Arial"/>
                <w:color w:val="1F2937"/>
                <w:sz w:val="16"/>
              </w:rPr>
              <w:t>D. Marcella's location and session status, what Dana discovered, any data known to be captured, steps taken to stop and investigate it, the consent discussion, client response, safety or continuity decisions, and follow-up responsibilities.</w:t>
            </w:r>
          </w:p>
        </w:tc>
      </w:tr>
    </w:tbl>
    <w:p>
      <w:pPr>
        <w:pStyle w:val="Heading2"/>
        <w:spacing w:before="0" w:after="60" w:line="245" w:lineRule="auto"/>
        <w:keepNext/>
      </w:pPr>
      <w:r>
        <w:rPr>
          <w:rFonts w:ascii="Arial" w:hAnsi="Arial" w:eastAsia="Arial"/>
          <w:b/>
          <w:color w:val="17365D"/>
          <w:sz w:val="21"/>
        </w:rPr>
        <w:t>Why Each Option Is Correct or Incorrect</w:t>
      </w:r>
    </w:p>
    <w:p>
      <w:pPr>
        <w:spacing w:after="20" w:before="0" w:line="240" w:lineRule="auto"/>
      </w:pPr>
      <w:r>
        <w:rPr>
          <w:rFonts w:ascii="Arial" w:hAnsi="Arial" w:eastAsia="Arial"/>
          <w:b/>
          <w:color w:val="17365D"/>
          <w:sz w:val="16"/>
        </w:rPr>
        <w:t>A. Incorrect. Attendance alone does not document the incident or professional response.</w:t>
      </w:r>
      <w:r>
        <w:rPr>
          <w:rFonts w:ascii="Arial" w:hAnsi="Arial" w:eastAsia="Arial"/>
          <w:sz w:val="16"/>
        </w:rPr>
      </w:r>
    </w:p>
    <w:p>
      <w:pPr>
        <w:spacing w:after="20" w:before="0" w:line="240" w:lineRule="auto"/>
      </w:pPr>
      <w:r>
        <w:rPr>
          <w:rFonts w:ascii="Arial" w:hAnsi="Arial" w:eastAsia="Arial"/>
          <w:b/>
          <w:color w:val="17365D"/>
          <w:sz w:val="16"/>
        </w:rPr>
        <w:t>B. Incorrect. Omitting a material technology event undermines accuracy and defensibility.</w:t>
      </w:r>
      <w:r>
        <w:rPr>
          <w:rFonts w:ascii="Arial" w:hAnsi="Arial" w:eastAsia="Arial"/>
          <w:sz w:val="16"/>
        </w:rPr>
      </w:r>
    </w:p>
    <w:p>
      <w:pPr>
        <w:spacing w:after="20" w:before="0" w:line="240" w:lineRule="auto"/>
      </w:pPr>
      <w:r>
        <w:rPr>
          <w:rFonts w:ascii="Arial" w:hAnsi="Arial" w:eastAsia="Arial"/>
          <w:b/>
          <w:color w:val="17365D"/>
          <w:sz w:val="16"/>
        </w:rPr>
        <w:t>C. Incorrect. Marketing language is not a substitute for facts, risk assessment, or actions taken.</w:t>
      </w:r>
      <w:r>
        <w:rPr>
          <w:rFonts w:ascii="Arial" w:hAnsi="Arial" w:eastAsia="Arial"/>
          <w:sz w:val="16"/>
        </w:rPr>
      </w:r>
    </w:p>
    <w:p>
      <w:pPr>
        <w:spacing w:after="20" w:before="0" w:line="240" w:lineRule="auto"/>
      </w:pPr>
      <w:r>
        <w:rPr>
          <w:rFonts w:ascii="Arial" w:hAnsi="Arial" w:eastAsia="Arial"/>
          <w:b/>
          <w:color w:val="17365D"/>
          <w:sz w:val="16"/>
        </w:rPr>
        <w:t>D. Correct. The record should objectively show the event, information known, actions, client communication, clinical impact, and follow-up.</w:t>
      </w:r>
      <w:r>
        <w:rPr>
          <w:rFonts w:ascii="Arial" w:hAnsi="Arial" w:eastAsia="Arial"/>
          <w:sz w:val="16"/>
        </w:rPr>
      </w:r>
    </w:p>
    <w:tbl>
      <w:tblPr>
        <w:tblW w:type="auto" w:w="0"/>
        <w:jc w:val="center"/>
        <w:tblLayout w:type="fixed"/>
        <w:tblLook w:firstColumn="1" w:firstRow="1" w:lastColumn="0" w:lastRow="0" w:noHBand="0" w:noVBand="1" w:val="04A0"/>
      </w:tblPr>
      <w:tblGrid>
        <w:gridCol w:w="10080"/>
      </w:tblGrid>
      <w:tr>
        <w:tc>
          <w:tcPr>
            <w:tcW w:type="dxa" w:w="10310"/>
            <w:shd w:fill="EAF1F8"/>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CTA EXAM STRATEGY</w:t>
            </w:r>
          </w:p>
          <w:p>
            <w:pPr>
              <w:spacing w:before="0" w:after="0" w:line="240" w:lineRule="auto"/>
            </w:pPr>
            <w:r>
              <w:rPr>
                <w:rFonts w:ascii="Arial" w:hAnsi="Arial" w:eastAsia="Arial"/>
                <w:color w:val="1F2937"/>
                <w:sz w:val="16"/>
              </w:rPr>
              <w:t>Defensible documentation tells the decision story: facts, assessment, action, client communication, rationale, consultation, and follow-up.</w:t>
            </w:r>
          </w:p>
        </w:tc>
      </w:tr>
    </w:tbl>
    <w:tbl>
      <w:tblPr>
        <w:tblW w:type="auto" w:w="0"/>
        <w:jc w:val="center"/>
        <w:tblLayout w:type="fixed"/>
        <w:tblLook w:firstColumn="1" w:firstRow="1" w:lastColumn="0" w:lastRow="0" w:noHBand="0" w:noVBand="1" w:val="04A0"/>
      </w:tblPr>
      <w:tblGrid>
        <w:gridCol w:w="10080"/>
      </w:tblGrid>
      <w:tr>
        <w:tc>
          <w:tcPr>
            <w:tcW w:type="dxa" w:w="10310"/>
            <w:shd w:fill="F3F4F6"/>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LIKELY ERROR CODE</w:t>
            </w:r>
          </w:p>
          <w:p>
            <w:pPr>
              <w:spacing w:before="0" w:after="0" w:line="240" w:lineRule="auto"/>
            </w:pPr>
            <w:r>
              <w:rPr>
                <w:rFonts w:ascii="Arial" w:hAnsi="Arial" w:eastAsia="Arial"/>
                <w:color w:val="1F2937"/>
                <w:sz w:val="15"/>
              </w:rPr>
              <w:t>D - Documentation-sequence error. A note should show what happened and how the counselor protected client welfare, not merely record the final outcome.</w:t>
            </w:r>
          </w:p>
        </w:tc>
      </w:tr>
    </w:tbl>
    <w:p>
      <w:r>
        <w:br w:type="page"/>
      </w:r>
    </w:p>
    <w:p>
      <w:pPr>
        <w:pStyle w:val="Heading2"/>
        <w:spacing w:before="0" w:after="60" w:line="245" w:lineRule="auto"/>
        <w:keepNext/>
      </w:pPr>
      <w:r>
        <w:rPr>
          <w:rFonts w:ascii="Arial" w:hAnsi="Arial" w:eastAsia="Arial"/>
          <w:b/>
          <w:color w:val="17365D"/>
          <w:sz w:val="21"/>
        </w:rPr>
        <w:t>Question 9 (LPCC-WB12-PB-Q009)</w:t>
      </w:r>
    </w:p>
    <w:p>
      <w:pPr>
        <w:spacing w:before="0" w:after="40" w:line="245" w:lineRule="auto"/>
      </w:pPr>
      <w:r>
        <w:rPr>
          <w:rFonts w:ascii="Arial" w:hAnsi="Arial" w:eastAsia="Arial"/>
          <w:b/>
          <w:i w:val="0"/>
          <w:color w:val="159C9C"/>
          <w:sz w:val="15"/>
        </w:rPr>
        <w:t>LPCC-WB12-PB-Q009 | Application | Moderate | Primary concept: TECH vendor uncertainty and safer continuation</w:t>
      </w:r>
    </w:p>
    <w:p>
      <w:pPr>
        <w:spacing w:before="0" w:after="40" w:line="245" w:lineRule="auto"/>
      </w:pPr>
      <w:r>
        <w:rPr>
          <w:rFonts w:ascii="Arial" w:hAnsi="Arial" w:eastAsia="Arial"/>
          <w:b/>
          <w:i w:val="0"/>
          <w:color w:val="1F2937"/>
          <w:sz w:val="17"/>
        </w:rPr>
        <w:t>The clinic cannot explain where the AI data are stored, how long they are retained, or whether subcontractors receive them. Marcella wants counseling to continue. What is the BEST plan?</w:t>
      </w:r>
    </w:p>
    <w:p>
      <w:pPr>
        <w:spacing w:before="0" w:after="16" w:line="240" w:lineRule="auto"/>
        <w:ind w:left="259" w:hanging="259"/>
      </w:pPr>
      <w:r>
        <w:rPr>
          <w:rFonts w:ascii="Arial" w:hAnsi="Arial" w:eastAsia="Arial"/>
          <w:sz w:val="16"/>
        </w:rPr>
        <w:t>A. Continue using the AI tool because stopping it may inconvenience the clinic.</w:t>
      </w:r>
    </w:p>
    <w:p>
      <w:pPr>
        <w:spacing w:before="0" w:after="16" w:line="240" w:lineRule="auto"/>
        <w:ind w:left="259" w:hanging="259"/>
      </w:pPr>
      <w:r>
        <w:rPr>
          <w:rFonts w:ascii="Arial" w:hAnsi="Arial" w:eastAsia="Arial"/>
          <w:sz w:val="16"/>
        </w:rPr>
        <w:t>B. Do not use the AI function until privacy, security, data handling, authorization, and clinical fit are adequately reviewed; continue care through a safer authorized method if jurisdiction and clinical conditions permit.</w:t>
      </w:r>
    </w:p>
    <w:p>
      <w:pPr>
        <w:spacing w:before="0" w:after="16" w:line="240" w:lineRule="auto"/>
        <w:ind w:left="259" w:hanging="259"/>
      </w:pPr>
      <w:r>
        <w:rPr>
          <w:rFonts w:ascii="Arial" w:hAnsi="Arial" w:eastAsia="Arial"/>
          <w:sz w:val="16"/>
        </w:rPr>
        <w:t>C. Let Marcella decide whether the vendor is legally compliant.</w:t>
      </w:r>
    </w:p>
    <w:p>
      <w:pPr>
        <w:spacing w:before="0" w:after="16" w:line="240" w:lineRule="auto"/>
        <w:ind w:left="259" w:hanging="259"/>
      </w:pPr>
      <w:r>
        <w:rPr>
          <w:rFonts w:ascii="Arial" w:hAnsi="Arial" w:eastAsia="Arial"/>
          <w:sz w:val="16"/>
        </w:rPr>
        <w:t>D. End all counseling permanently because one technology system is uncertain.</w:t>
      </w:r>
    </w:p>
    <w:tbl>
      <w:tblPr>
        <w:tblW w:type="auto" w:w="0"/>
        <w:jc w:val="center"/>
        <w:tblLayout w:type="fixed"/>
        <w:tblLook w:firstColumn="1" w:firstRow="1" w:lastColumn="0" w:lastRow="0" w:noHBand="0" w:noVBand="1" w:val="04A0"/>
      </w:tblPr>
      <w:tblGrid>
        <w:gridCol w:w="10080"/>
      </w:tblGrid>
      <w:tr>
        <w:tc>
          <w:tcPr>
            <w:tcW w:type="dxa" w:w="10310"/>
            <w:shd w:fill="E8F5F5"/>
            <w:tcMar>
              <w:top w:w="70" w:type="dxa"/>
              <w:start w:w="95" w:type="dxa"/>
              <w:bottom w:w="70" w:type="dxa"/>
              <w:end w:w="95" w:type="dxa"/>
            </w:tcMar>
            <w:tcBorders>
              <w:top w:val="single" w:sz="7" w:color="159C9C"/>
              <w:left w:val="single" w:sz="7" w:color="159C9C"/>
              <w:bottom w:val="single" w:sz="7" w:color="159C9C"/>
              <w:right w:val="single" w:sz="7" w:color="159C9C"/>
              <w:insideH w:val="single" w:sz="7" w:color="159C9C"/>
              <w:insideV w:val="single" w:sz="7" w:color="159C9C"/>
            </w:tcBorders>
          </w:tcPr>
          <w:p>
            <w:pPr>
              <w:spacing w:before="0" w:after="20" w:line="245" w:lineRule="auto"/>
            </w:pPr>
            <w:r>
              <w:rPr>
                <w:rFonts w:ascii="Arial" w:hAnsi="Arial" w:eastAsia="Arial"/>
                <w:b/>
                <w:color w:val="159C9C"/>
                <w:sz w:val="17"/>
              </w:rPr>
              <w:t>CORRECT ANSWER</w:t>
            </w:r>
          </w:p>
          <w:p>
            <w:pPr>
              <w:spacing w:before="0" w:after="0" w:line="240" w:lineRule="auto"/>
            </w:pPr>
            <w:r>
              <w:rPr>
                <w:rFonts w:ascii="Arial" w:hAnsi="Arial" w:eastAsia="Arial"/>
                <w:color w:val="1F2937"/>
                <w:sz w:val="16"/>
              </w:rPr>
              <w:t>B. Do not use the AI function until privacy, security, data handling, authorization, and clinical fit are adequately reviewed; continue care through a safer authorized method if jurisdiction and clinical conditions permit.</w:t>
            </w:r>
          </w:p>
        </w:tc>
      </w:tr>
    </w:tbl>
    <w:p>
      <w:pPr>
        <w:pStyle w:val="Heading2"/>
        <w:spacing w:before="0" w:after="60" w:line="245" w:lineRule="auto"/>
        <w:keepNext/>
      </w:pPr>
      <w:r>
        <w:rPr>
          <w:rFonts w:ascii="Arial" w:hAnsi="Arial" w:eastAsia="Arial"/>
          <w:b/>
          <w:color w:val="17365D"/>
          <w:sz w:val="21"/>
        </w:rPr>
        <w:t>Why Each Option Is Correct or Incorrect</w:t>
      </w:r>
    </w:p>
    <w:p>
      <w:pPr>
        <w:spacing w:after="20" w:before="0" w:line="240" w:lineRule="auto"/>
      </w:pPr>
      <w:r>
        <w:rPr>
          <w:rFonts w:ascii="Arial" w:hAnsi="Arial" w:eastAsia="Arial"/>
          <w:b/>
          <w:color w:val="17365D"/>
          <w:sz w:val="16"/>
        </w:rPr>
        <w:t>A. Incorrect. Convenience does not outweigh unresolved privacy and security risks.</w:t>
      </w:r>
      <w:r>
        <w:rPr>
          <w:rFonts w:ascii="Arial" w:hAnsi="Arial" w:eastAsia="Arial"/>
          <w:sz w:val="16"/>
        </w:rPr>
      </w:r>
    </w:p>
    <w:p>
      <w:pPr>
        <w:spacing w:after="20" w:before="0" w:line="240" w:lineRule="auto"/>
      </w:pPr>
      <w:r>
        <w:rPr>
          <w:rFonts w:ascii="Arial" w:hAnsi="Arial" w:eastAsia="Arial"/>
          <w:b/>
          <w:color w:val="17365D"/>
          <w:sz w:val="16"/>
        </w:rPr>
        <w:t>B. Correct. The counselor can separate the risky function from the clinical service and use a safer method while review occurs.</w:t>
      </w:r>
      <w:r>
        <w:rPr>
          <w:rFonts w:ascii="Arial" w:hAnsi="Arial" w:eastAsia="Arial"/>
          <w:sz w:val="16"/>
        </w:rPr>
      </w:r>
    </w:p>
    <w:p>
      <w:pPr>
        <w:spacing w:after="20" w:before="0" w:line="240" w:lineRule="auto"/>
      </w:pPr>
      <w:r>
        <w:rPr>
          <w:rFonts w:ascii="Arial" w:hAnsi="Arial" w:eastAsia="Arial"/>
          <w:b/>
          <w:color w:val="17365D"/>
          <w:sz w:val="16"/>
        </w:rPr>
        <w:t>C. Incorrect. Client preference matters, but the counselor and organization remain responsible for lawful and competent technology use.</w:t>
      </w:r>
      <w:r>
        <w:rPr>
          <w:rFonts w:ascii="Arial" w:hAnsi="Arial" w:eastAsia="Arial"/>
          <w:sz w:val="16"/>
        </w:rPr>
      </w:r>
    </w:p>
    <w:p>
      <w:pPr>
        <w:spacing w:after="20" w:before="0" w:line="240" w:lineRule="auto"/>
      </w:pPr>
      <w:r>
        <w:rPr>
          <w:rFonts w:ascii="Arial" w:hAnsi="Arial" w:eastAsia="Arial"/>
          <w:b/>
          <w:color w:val="17365D"/>
          <w:sz w:val="16"/>
        </w:rPr>
        <w:t>D. Incorrect. A technology problem may require adaptation, not abandonment of clinically appropriate care.</w:t>
      </w:r>
      <w:r>
        <w:rPr>
          <w:rFonts w:ascii="Arial" w:hAnsi="Arial" w:eastAsia="Arial"/>
          <w:sz w:val="16"/>
        </w:rPr>
      </w:r>
    </w:p>
    <w:tbl>
      <w:tblPr>
        <w:tblW w:type="auto" w:w="0"/>
        <w:jc w:val="center"/>
        <w:tblLayout w:type="fixed"/>
        <w:tblLook w:firstColumn="1" w:firstRow="1" w:lastColumn="0" w:lastRow="0" w:noHBand="0" w:noVBand="1" w:val="04A0"/>
      </w:tblPr>
      <w:tblGrid>
        <w:gridCol w:w="10080"/>
      </w:tblGrid>
      <w:tr>
        <w:tc>
          <w:tcPr>
            <w:tcW w:type="dxa" w:w="10310"/>
            <w:shd w:fill="EAF1F8"/>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CTA EXAM STRATEGY</w:t>
            </w:r>
          </w:p>
          <w:p>
            <w:pPr>
              <w:spacing w:before="0" w:after="0" w:line="240" w:lineRule="auto"/>
            </w:pPr>
            <w:r>
              <w:rPr>
                <w:rFonts w:ascii="Arial" w:hAnsi="Arial" w:eastAsia="Arial"/>
                <w:color w:val="1F2937"/>
                <w:sz w:val="16"/>
              </w:rPr>
              <w:t>Do not confuse rejecting one tool with rejecting treatment. Choose the least risky workable method while the technology is evaluated and the client's care remains coordinated.</w:t>
            </w:r>
          </w:p>
        </w:tc>
      </w:tr>
    </w:tbl>
    <w:tbl>
      <w:tblPr>
        <w:tblW w:type="auto" w:w="0"/>
        <w:jc w:val="center"/>
        <w:tblLayout w:type="fixed"/>
        <w:tblLook w:firstColumn="1" w:firstRow="1" w:lastColumn="0" w:lastRow="0" w:noHBand="0" w:noVBand="1" w:val="04A0"/>
      </w:tblPr>
      <w:tblGrid>
        <w:gridCol w:w="10080"/>
      </w:tblGrid>
      <w:tr>
        <w:tc>
          <w:tcPr>
            <w:tcW w:type="dxa" w:w="10310"/>
            <w:shd w:fill="F3F4F6"/>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LIKELY ERROR CODE</w:t>
            </w:r>
          </w:p>
          <w:p>
            <w:pPr>
              <w:spacing w:before="0" w:after="0" w:line="240" w:lineRule="auto"/>
            </w:pPr>
            <w:r>
              <w:rPr>
                <w:rFonts w:ascii="Arial" w:hAnsi="Arial" w:eastAsia="Arial"/>
                <w:color w:val="1F2937"/>
                <w:sz w:val="15"/>
              </w:rPr>
              <w:t>V - Vendor and data-flow error. The counselor must understand collection, storage, access, retention, secondary use, security, and deletion before relying on a system.</w:t>
            </w:r>
          </w:p>
        </w:tc>
      </w:tr>
    </w:tbl>
    <w:p>
      <w:r>
        <w:br w:type="page"/>
      </w:r>
    </w:p>
    <w:p>
      <w:pPr>
        <w:pStyle w:val="Heading2"/>
        <w:spacing w:before="0" w:after="60" w:line="245" w:lineRule="auto"/>
        <w:keepNext/>
      </w:pPr>
      <w:r>
        <w:rPr>
          <w:rFonts w:ascii="Arial" w:hAnsi="Arial" w:eastAsia="Arial"/>
          <w:b/>
          <w:color w:val="17365D"/>
          <w:sz w:val="21"/>
        </w:rPr>
        <w:t>Question 10 (LPCC-WB12-PB-Q010)</w:t>
      </w:r>
    </w:p>
    <w:p>
      <w:pPr>
        <w:spacing w:before="0" w:after="40" w:line="245" w:lineRule="auto"/>
      </w:pPr>
      <w:r>
        <w:rPr>
          <w:rFonts w:ascii="Arial" w:hAnsi="Arial" w:eastAsia="Arial"/>
          <w:b/>
          <w:i w:val="0"/>
          <w:color w:val="159C9C"/>
          <w:sz w:val="15"/>
        </w:rPr>
        <w:t>LPCC-WB12-PB-Q010 | Application | Moderate | Primary concept: TRIGGER serious threat and immediate protective response</w:t>
      </w:r>
    </w:p>
    <w:p>
      <w:pPr>
        <w:spacing w:before="0" w:after="40" w:line="245" w:lineRule="auto"/>
      </w:pPr>
      <w:r>
        <w:rPr>
          <w:rFonts w:ascii="Arial" w:hAnsi="Arial" w:eastAsia="Arial"/>
          <w:b/>
          <w:i w:val="0"/>
          <w:color w:val="1F2937"/>
          <w:sz w:val="17"/>
        </w:rPr>
        <w:t>Back in California, Marcella states, "Tomorrow I am going to shoot my former supervisor, Erica Wells, in the employee parking lot," and reports access to a handgun. What should Dana do FIRST?</w:t>
      </w:r>
    </w:p>
    <w:p>
      <w:pPr>
        <w:spacing w:before="0" w:after="16" w:line="240" w:lineRule="auto"/>
        <w:ind w:left="259" w:hanging="259"/>
      </w:pPr>
      <w:r>
        <w:rPr>
          <w:rFonts w:ascii="Arial" w:hAnsi="Arial" w:eastAsia="Arial"/>
          <w:sz w:val="16"/>
        </w:rPr>
        <w:t>A. Promise secrecy so Marcella continues talking.</w:t>
      </w:r>
    </w:p>
    <w:p>
      <w:pPr>
        <w:spacing w:before="0" w:after="16" w:line="240" w:lineRule="auto"/>
        <w:ind w:left="259" w:hanging="259"/>
      </w:pPr>
      <w:r>
        <w:rPr>
          <w:rFonts w:ascii="Arial" w:hAnsi="Arial" w:eastAsia="Arial"/>
          <w:sz w:val="16"/>
        </w:rPr>
        <w:t>B. Wait until the next session to determine whether the statement persists.</w:t>
      </w:r>
    </w:p>
    <w:p>
      <w:pPr>
        <w:spacing w:before="0" w:after="16" w:line="240" w:lineRule="auto"/>
        <w:ind w:left="259" w:hanging="259"/>
      </w:pPr>
      <w:r>
        <w:rPr>
          <w:rFonts w:ascii="Arial" w:hAnsi="Arial" w:eastAsia="Arial"/>
          <w:sz w:val="16"/>
        </w:rPr>
        <w:t>C. Clarify immediacy, intent, means, target, time and place while initiating the emergency and protective response required by the serious threat.</w:t>
      </w:r>
    </w:p>
    <w:p>
      <w:pPr>
        <w:spacing w:before="0" w:after="16" w:line="240" w:lineRule="auto"/>
        <w:ind w:left="259" w:hanging="259"/>
      </w:pPr>
      <w:r>
        <w:rPr>
          <w:rFonts w:ascii="Arial" w:hAnsi="Arial" w:eastAsia="Arial"/>
          <w:sz w:val="16"/>
        </w:rPr>
        <w:t>D. Call the employer and disclose Marcella's complete treatment record.</w:t>
      </w:r>
    </w:p>
    <w:tbl>
      <w:tblPr>
        <w:tblW w:type="auto" w:w="0"/>
        <w:jc w:val="center"/>
        <w:tblLayout w:type="fixed"/>
        <w:tblLook w:firstColumn="1" w:firstRow="1" w:lastColumn="0" w:lastRow="0" w:noHBand="0" w:noVBand="1" w:val="04A0"/>
      </w:tblPr>
      <w:tblGrid>
        <w:gridCol w:w="10080"/>
      </w:tblGrid>
      <w:tr>
        <w:tc>
          <w:tcPr>
            <w:tcW w:type="dxa" w:w="10310"/>
            <w:shd w:fill="E8F5F5"/>
            <w:tcMar>
              <w:top w:w="70" w:type="dxa"/>
              <w:start w:w="95" w:type="dxa"/>
              <w:bottom w:w="70" w:type="dxa"/>
              <w:end w:w="95" w:type="dxa"/>
            </w:tcMar>
            <w:tcBorders>
              <w:top w:val="single" w:sz="7" w:color="159C9C"/>
              <w:left w:val="single" w:sz="7" w:color="159C9C"/>
              <w:bottom w:val="single" w:sz="7" w:color="159C9C"/>
              <w:right w:val="single" w:sz="7" w:color="159C9C"/>
              <w:insideH w:val="single" w:sz="7" w:color="159C9C"/>
              <w:insideV w:val="single" w:sz="7" w:color="159C9C"/>
            </w:tcBorders>
          </w:tcPr>
          <w:p>
            <w:pPr>
              <w:spacing w:before="0" w:after="20" w:line="245" w:lineRule="auto"/>
            </w:pPr>
            <w:r>
              <w:rPr>
                <w:rFonts w:ascii="Arial" w:hAnsi="Arial" w:eastAsia="Arial"/>
                <w:b/>
                <w:color w:val="159C9C"/>
                <w:sz w:val="17"/>
              </w:rPr>
              <w:t>CORRECT ANSWER</w:t>
            </w:r>
          </w:p>
          <w:p>
            <w:pPr>
              <w:spacing w:before="0" w:after="0" w:line="240" w:lineRule="auto"/>
            </w:pPr>
            <w:r>
              <w:rPr>
                <w:rFonts w:ascii="Arial" w:hAnsi="Arial" w:eastAsia="Arial"/>
                <w:color w:val="1F2937"/>
                <w:sz w:val="16"/>
              </w:rPr>
              <w:t>C. Clarify immediacy, intent, means, target, time and place while initiating the emergency and protective response required by the serious threat.</w:t>
            </w:r>
          </w:p>
        </w:tc>
      </w:tr>
    </w:tbl>
    <w:p>
      <w:pPr>
        <w:pStyle w:val="Heading2"/>
        <w:spacing w:before="0" w:after="60" w:line="245" w:lineRule="auto"/>
        <w:keepNext/>
      </w:pPr>
      <w:r>
        <w:rPr>
          <w:rFonts w:ascii="Arial" w:hAnsi="Arial" w:eastAsia="Arial"/>
          <w:b/>
          <w:color w:val="17365D"/>
          <w:sz w:val="21"/>
        </w:rPr>
        <w:t>Why Each Option Is Correct or Incorrect</w:t>
      </w:r>
    </w:p>
    <w:p>
      <w:pPr>
        <w:spacing w:after="20" w:before="0" w:line="240" w:lineRule="auto"/>
      </w:pPr>
      <w:r>
        <w:rPr>
          <w:rFonts w:ascii="Arial" w:hAnsi="Arial" w:eastAsia="Arial"/>
          <w:b/>
          <w:color w:val="17365D"/>
          <w:sz w:val="16"/>
        </w:rPr>
        <w:t>A. Incorrect. The counselor should not promise secrecy when a serious threat may trigger protective duties.</w:t>
      </w:r>
      <w:r>
        <w:rPr>
          <w:rFonts w:ascii="Arial" w:hAnsi="Arial" w:eastAsia="Arial"/>
          <w:sz w:val="16"/>
        </w:rPr>
      </w:r>
    </w:p>
    <w:p>
      <w:pPr>
        <w:spacing w:after="20" w:before="0" w:line="240" w:lineRule="auto"/>
      </w:pPr>
      <w:r>
        <w:rPr>
          <w:rFonts w:ascii="Arial" w:hAnsi="Arial" w:eastAsia="Arial"/>
          <w:b/>
          <w:color w:val="17365D"/>
          <w:sz w:val="16"/>
        </w:rPr>
        <w:t>B. Incorrect. The stated time, target, and access require immediate assessment and action.</w:t>
      </w:r>
      <w:r>
        <w:rPr>
          <w:rFonts w:ascii="Arial" w:hAnsi="Arial" w:eastAsia="Arial"/>
          <w:sz w:val="16"/>
        </w:rPr>
      </w:r>
    </w:p>
    <w:p>
      <w:pPr>
        <w:spacing w:after="20" w:before="0" w:line="240" w:lineRule="auto"/>
      </w:pPr>
      <w:r>
        <w:rPr>
          <w:rFonts w:ascii="Arial" w:hAnsi="Arial" w:eastAsia="Arial"/>
          <w:b/>
          <w:color w:val="17365D"/>
          <w:sz w:val="16"/>
        </w:rPr>
        <w:t>C. Correct. The counselor identifies the trigger, gathers decision-relevant facts, and begins emergency and duty-to-protect actions without unnecessary delay.</w:t>
      </w:r>
      <w:r>
        <w:rPr>
          <w:rFonts w:ascii="Arial" w:hAnsi="Arial" w:eastAsia="Arial"/>
          <w:sz w:val="16"/>
        </w:rPr>
      </w:r>
    </w:p>
    <w:p>
      <w:pPr>
        <w:spacing w:after="20" w:before="0" w:line="240" w:lineRule="auto"/>
      </w:pPr>
      <w:r>
        <w:rPr>
          <w:rFonts w:ascii="Arial" w:hAnsi="Arial" w:eastAsia="Arial"/>
          <w:b/>
          <w:color w:val="17365D"/>
          <w:sz w:val="16"/>
        </w:rPr>
        <w:t>D. Incorrect. A protective disclosure should follow applicable authority and scope; the complete record is not automatically necessary.</w:t>
      </w:r>
      <w:r>
        <w:rPr>
          <w:rFonts w:ascii="Arial" w:hAnsi="Arial" w:eastAsia="Arial"/>
          <w:sz w:val="16"/>
        </w:rPr>
      </w:r>
    </w:p>
    <w:tbl>
      <w:tblPr>
        <w:tblW w:type="auto" w:w="0"/>
        <w:jc w:val="center"/>
        <w:tblLayout w:type="fixed"/>
        <w:tblLook w:firstColumn="1" w:firstRow="1" w:lastColumn="0" w:lastRow="0" w:noHBand="0" w:noVBand="1" w:val="04A0"/>
      </w:tblPr>
      <w:tblGrid>
        <w:gridCol w:w="10080"/>
      </w:tblGrid>
      <w:tr>
        <w:tc>
          <w:tcPr>
            <w:tcW w:type="dxa" w:w="10310"/>
            <w:shd w:fill="EAF1F8"/>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CTA EXAM STRATEGY</w:t>
            </w:r>
          </w:p>
          <w:p>
            <w:pPr>
              <w:spacing w:before="0" w:after="0" w:line="240" w:lineRule="auto"/>
            </w:pPr>
            <w:r>
              <w:rPr>
                <w:rFonts w:ascii="Arial" w:hAnsi="Arial" w:eastAsia="Arial"/>
                <w:color w:val="1F2937"/>
                <w:sz w:val="16"/>
              </w:rPr>
              <w:t>Threat questions begin with the exact trigger: communicated serious threat, identifiable victim, immediacy, means, and access. Then act through the required protective channels.</w:t>
            </w:r>
          </w:p>
        </w:tc>
      </w:tr>
    </w:tbl>
    <w:tbl>
      <w:tblPr>
        <w:tblW w:type="auto" w:w="0"/>
        <w:jc w:val="center"/>
        <w:tblLayout w:type="fixed"/>
        <w:tblLook w:firstColumn="1" w:firstRow="1" w:lastColumn="0" w:lastRow="0" w:noHBand="0" w:noVBand="1" w:val="04A0"/>
      </w:tblPr>
      <w:tblGrid>
        <w:gridCol w:w="10080"/>
      </w:tblGrid>
      <w:tr>
        <w:tc>
          <w:tcPr>
            <w:tcW w:type="dxa" w:w="10310"/>
            <w:shd w:fill="F3F4F6"/>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LIKELY ERROR CODE</w:t>
            </w:r>
          </w:p>
          <w:p>
            <w:pPr>
              <w:spacing w:before="0" w:after="0" w:line="240" w:lineRule="auto"/>
            </w:pPr>
            <w:r>
              <w:rPr>
                <w:rFonts w:ascii="Arial" w:hAnsi="Arial" w:eastAsia="Arial"/>
                <w:color w:val="1F2937"/>
                <w:sz w:val="15"/>
              </w:rPr>
              <w:t>G - TRIGGER identification error. Do not delay a clear threat for certainty, routine consultation, or the next appointment.</w:t>
            </w:r>
          </w:p>
        </w:tc>
      </w:tr>
    </w:tbl>
    <w:p>
      <w:r>
        <w:br w:type="page"/>
      </w:r>
    </w:p>
    <w:p>
      <w:pPr>
        <w:pStyle w:val="Heading2"/>
        <w:spacing w:before="0" w:after="60" w:line="245" w:lineRule="auto"/>
        <w:keepNext/>
      </w:pPr>
      <w:r>
        <w:rPr>
          <w:rFonts w:ascii="Arial" w:hAnsi="Arial" w:eastAsia="Arial"/>
          <w:b/>
          <w:color w:val="17365D"/>
          <w:sz w:val="21"/>
        </w:rPr>
        <w:t>Question 11 (LPCC-WB12-PB-Q011)</w:t>
      </w:r>
    </w:p>
    <w:p>
      <w:pPr>
        <w:spacing w:before="0" w:after="40" w:line="245" w:lineRule="auto"/>
      </w:pPr>
      <w:r>
        <w:rPr>
          <w:rFonts w:ascii="Arial" w:hAnsi="Arial" w:eastAsia="Arial"/>
          <w:b/>
          <w:i w:val="0"/>
          <w:color w:val="159C9C"/>
          <w:sz w:val="15"/>
        </w:rPr>
        <w:t>LPCC-WB12-PB-Q011 | Knowledge &amp; Application | Easy | Primary concept: TRIGGER California duty to protect</w:t>
      </w:r>
    </w:p>
    <w:p>
      <w:pPr>
        <w:spacing w:before="0" w:after="40" w:line="245" w:lineRule="auto"/>
      </w:pPr>
      <w:r>
        <w:rPr>
          <w:rFonts w:ascii="Arial" w:hAnsi="Arial" w:eastAsia="Arial"/>
          <w:b/>
          <w:i w:val="0"/>
          <w:color w:val="1F2937"/>
          <w:sz w:val="17"/>
        </w:rPr>
        <w:t>Under the California duty-to-protect framework described in the workbook, which action is central when a patient communicates a serious threat of physical violence against a reasonably identifiable victim?</w:t>
      </w:r>
    </w:p>
    <w:p>
      <w:pPr>
        <w:spacing w:before="0" w:after="16" w:line="240" w:lineRule="auto"/>
        <w:ind w:left="259" w:hanging="259"/>
      </w:pPr>
      <w:r>
        <w:rPr>
          <w:rFonts w:ascii="Arial" w:hAnsi="Arial" w:eastAsia="Arial"/>
          <w:sz w:val="16"/>
        </w:rPr>
        <w:t>A. Make reasonable efforts to communicate the threat to the victim and to a law enforcement agency, while addressing the clinical emergency.</w:t>
      </w:r>
    </w:p>
    <w:p>
      <w:pPr>
        <w:spacing w:before="0" w:after="16" w:line="240" w:lineRule="auto"/>
        <w:ind w:left="259" w:hanging="259"/>
      </w:pPr>
      <w:r>
        <w:rPr>
          <w:rFonts w:ascii="Arial" w:hAnsi="Arial" w:eastAsia="Arial"/>
          <w:sz w:val="16"/>
        </w:rPr>
        <w:t>B. Warn only the counselor's supervisor because internal notice completes the duty.</w:t>
      </w:r>
    </w:p>
    <w:p>
      <w:pPr>
        <w:spacing w:before="0" w:after="16" w:line="240" w:lineRule="auto"/>
        <w:ind w:left="259" w:hanging="259"/>
      </w:pPr>
      <w:r>
        <w:rPr>
          <w:rFonts w:ascii="Arial" w:hAnsi="Arial" w:eastAsia="Arial"/>
          <w:sz w:val="16"/>
        </w:rPr>
        <w:t>C. Notify the victim only if the client signs an authorization.</w:t>
      </w:r>
    </w:p>
    <w:p>
      <w:pPr>
        <w:spacing w:before="0" w:after="16" w:line="240" w:lineRule="auto"/>
        <w:ind w:left="259" w:hanging="259"/>
      </w:pPr>
      <w:r>
        <w:rPr>
          <w:rFonts w:ascii="Arial" w:hAnsi="Arial" w:eastAsia="Arial"/>
          <w:sz w:val="16"/>
        </w:rPr>
        <w:t>D. Document the threat but avoid any disclosure because confidentiality is absolute.</w:t>
      </w:r>
    </w:p>
    <w:tbl>
      <w:tblPr>
        <w:tblW w:type="auto" w:w="0"/>
        <w:jc w:val="center"/>
        <w:tblLayout w:type="fixed"/>
        <w:tblLook w:firstColumn="1" w:firstRow="1" w:lastColumn="0" w:lastRow="0" w:noHBand="0" w:noVBand="1" w:val="04A0"/>
      </w:tblPr>
      <w:tblGrid>
        <w:gridCol w:w="10080"/>
      </w:tblGrid>
      <w:tr>
        <w:tc>
          <w:tcPr>
            <w:tcW w:type="dxa" w:w="10310"/>
            <w:shd w:fill="E8F5F5"/>
            <w:tcMar>
              <w:top w:w="70" w:type="dxa"/>
              <w:start w:w="95" w:type="dxa"/>
              <w:bottom w:w="70" w:type="dxa"/>
              <w:end w:w="95" w:type="dxa"/>
            </w:tcMar>
            <w:tcBorders>
              <w:top w:val="single" w:sz="7" w:color="159C9C"/>
              <w:left w:val="single" w:sz="7" w:color="159C9C"/>
              <w:bottom w:val="single" w:sz="7" w:color="159C9C"/>
              <w:right w:val="single" w:sz="7" w:color="159C9C"/>
              <w:insideH w:val="single" w:sz="7" w:color="159C9C"/>
              <w:insideV w:val="single" w:sz="7" w:color="159C9C"/>
            </w:tcBorders>
          </w:tcPr>
          <w:p>
            <w:pPr>
              <w:spacing w:before="0" w:after="20" w:line="245" w:lineRule="auto"/>
            </w:pPr>
            <w:r>
              <w:rPr>
                <w:rFonts w:ascii="Arial" w:hAnsi="Arial" w:eastAsia="Arial"/>
                <w:b/>
                <w:color w:val="159C9C"/>
                <w:sz w:val="17"/>
              </w:rPr>
              <w:t>CORRECT ANSWER</w:t>
            </w:r>
          </w:p>
          <w:p>
            <w:pPr>
              <w:spacing w:before="0" w:after="0" w:line="240" w:lineRule="auto"/>
            </w:pPr>
            <w:r>
              <w:rPr>
                <w:rFonts w:ascii="Arial" w:hAnsi="Arial" w:eastAsia="Arial"/>
                <w:color w:val="1F2937"/>
                <w:sz w:val="16"/>
              </w:rPr>
              <w:t>A. Make reasonable efforts to communicate the threat to the victim and to a law enforcement agency, while addressing the clinical emergency.</w:t>
            </w:r>
          </w:p>
        </w:tc>
      </w:tr>
    </w:tbl>
    <w:p>
      <w:pPr>
        <w:pStyle w:val="Heading2"/>
        <w:spacing w:before="0" w:after="60" w:line="245" w:lineRule="auto"/>
        <w:keepNext/>
      </w:pPr>
      <w:r>
        <w:rPr>
          <w:rFonts w:ascii="Arial" w:hAnsi="Arial" w:eastAsia="Arial"/>
          <w:b/>
          <w:color w:val="17365D"/>
          <w:sz w:val="21"/>
        </w:rPr>
        <w:t>Why Each Option Is Correct or Incorrect</w:t>
      </w:r>
    </w:p>
    <w:p>
      <w:pPr>
        <w:spacing w:after="20" w:before="0" w:line="240" w:lineRule="auto"/>
      </w:pPr>
      <w:r>
        <w:rPr>
          <w:rFonts w:ascii="Arial" w:hAnsi="Arial" w:eastAsia="Arial"/>
          <w:b/>
          <w:color w:val="17365D"/>
          <w:sz w:val="16"/>
        </w:rPr>
        <w:t>A. Correct. California describes reasonable efforts to communicate the threat to the victim and law enforcement under the specified circumstances.</w:t>
      </w:r>
      <w:r>
        <w:rPr>
          <w:rFonts w:ascii="Arial" w:hAnsi="Arial" w:eastAsia="Arial"/>
          <w:sz w:val="16"/>
        </w:rPr>
      </w:r>
    </w:p>
    <w:p>
      <w:pPr>
        <w:spacing w:after="20" w:before="0" w:line="240" w:lineRule="auto"/>
      </w:pPr>
      <w:r>
        <w:rPr>
          <w:rFonts w:ascii="Arial" w:hAnsi="Arial" w:eastAsia="Arial"/>
          <w:b/>
          <w:color w:val="17365D"/>
          <w:sz w:val="16"/>
        </w:rPr>
        <w:t>B. Incorrect. Internal consultation may support action but does not itself discharge the protective duty.</w:t>
      </w:r>
      <w:r>
        <w:rPr>
          <w:rFonts w:ascii="Arial" w:hAnsi="Arial" w:eastAsia="Arial"/>
          <w:sz w:val="16"/>
        </w:rPr>
      </w:r>
    </w:p>
    <w:p>
      <w:pPr>
        <w:spacing w:after="20" w:before="0" w:line="240" w:lineRule="auto"/>
      </w:pPr>
      <w:r>
        <w:rPr>
          <w:rFonts w:ascii="Arial" w:hAnsi="Arial" w:eastAsia="Arial"/>
          <w:b/>
          <w:color w:val="17365D"/>
          <w:sz w:val="16"/>
        </w:rPr>
        <w:t>C. Incorrect. A protective disclosure under applicable law does not depend on the threatening client's authorization.</w:t>
      </w:r>
      <w:r>
        <w:rPr>
          <w:rFonts w:ascii="Arial" w:hAnsi="Arial" w:eastAsia="Arial"/>
          <w:sz w:val="16"/>
        </w:rPr>
      </w:r>
    </w:p>
    <w:p>
      <w:pPr>
        <w:spacing w:after="20" w:before="0" w:line="240" w:lineRule="auto"/>
      </w:pPr>
      <w:r>
        <w:rPr>
          <w:rFonts w:ascii="Arial" w:hAnsi="Arial" w:eastAsia="Arial"/>
          <w:b/>
          <w:color w:val="17365D"/>
          <w:sz w:val="16"/>
        </w:rPr>
        <w:t>D. Incorrect. Confidentiality has legally recognized exceptions and duties in serious-threat situations.</w:t>
      </w:r>
      <w:r>
        <w:rPr>
          <w:rFonts w:ascii="Arial" w:hAnsi="Arial" w:eastAsia="Arial"/>
          <w:sz w:val="16"/>
        </w:rPr>
      </w:r>
    </w:p>
    <w:tbl>
      <w:tblPr>
        <w:tblW w:type="auto" w:w="0"/>
        <w:jc w:val="center"/>
        <w:tblLayout w:type="fixed"/>
        <w:tblLook w:firstColumn="1" w:firstRow="1" w:lastColumn="0" w:lastRow="0" w:noHBand="0" w:noVBand="1" w:val="04A0"/>
      </w:tblPr>
      <w:tblGrid>
        <w:gridCol w:w="10080"/>
      </w:tblGrid>
      <w:tr>
        <w:tc>
          <w:tcPr>
            <w:tcW w:type="dxa" w:w="10310"/>
            <w:shd w:fill="EAF1F8"/>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CTA EXAM STRATEGY</w:t>
            </w:r>
          </w:p>
          <w:p>
            <w:pPr>
              <w:spacing w:before="0" w:after="0" w:line="240" w:lineRule="auto"/>
            </w:pPr>
            <w:r>
              <w:rPr>
                <w:rFonts w:ascii="Arial" w:hAnsi="Arial" w:eastAsia="Arial"/>
                <w:color w:val="1F2937"/>
                <w:sz w:val="16"/>
              </w:rPr>
              <w:t>Duty-to-protect items reward the legally defined recipient and action, not broad disclosure or internal-only reporting. Pair legal action with emergency clinical management and documentation.</w:t>
            </w:r>
          </w:p>
        </w:tc>
      </w:tr>
    </w:tbl>
    <w:tbl>
      <w:tblPr>
        <w:tblW w:type="auto" w:w="0"/>
        <w:jc w:val="center"/>
        <w:tblLayout w:type="fixed"/>
        <w:tblLook w:firstColumn="1" w:firstRow="1" w:lastColumn="0" w:lastRow="0" w:noHBand="0" w:noVBand="1" w:val="04A0"/>
      </w:tblPr>
      <w:tblGrid>
        <w:gridCol w:w="10080"/>
      </w:tblGrid>
      <w:tr>
        <w:tc>
          <w:tcPr>
            <w:tcW w:type="dxa" w:w="10310"/>
            <w:shd w:fill="F3F4F6"/>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LIKELY ERROR CODE</w:t>
            </w:r>
          </w:p>
          <w:p>
            <w:pPr>
              <w:spacing w:before="0" w:after="0" w:line="240" w:lineRule="auto"/>
            </w:pPr>
            <w:r>
              <w:rPr>
                <w:rFonts w:ascii="Arial" w:hAnsi="Arial" w:eastAsia="Arial"/>
                <w:color w:val="1F2937"/>
                <w:sz w:val="15"/>
              </w:rPr>
              <w:t>G - Duty-to-protect error. Identify the serious-threat trigger, required recipients, reasonable efforts, timing, and continuing safety response.</w:t>
            </w:r>
          </w:p>
        </w:tc>
      </w:tr>
    </w:tbl>
    <w:p>
      <w:r>
        <w:br w:type="page"/>
      </w:r>
    </w:p>
    <w:p>
      <w:pPr>
        <w:pStyle w:val="Heading2"/>
        <w:spacing w:before="0" w:after="60" w:line="245" w:lineRule="auto"/>
        <w:keepNext/>
      </w:pPr>
      <w:r>
        <w:rPr>
          <w:rFonts w:ascii="Arial" w:hAnsi="Arial" w:eastAsia="Arial"/>
          <w:b/>
          <w:color w:val="17365D"/>
          <w:sz w:val="21"/>
        </w:rPr>
        <w:t>Question 12 (LPCC-WB12-PB-Q012)</w:t>
      </w:r>
    </w:p>
    <w:p>
      <w:pPr>
        <w:spacing w:before="0" w:after="40" w:line="245" w:lineRule="auto"/>
      </w:pPr>
      <w:r>
        <w:rPr>
          <w:rFonts w:ascii="Arial" w:hAnsi="Arial" w:eastAsia="Arial"/>
          <w:b/>
          <w:i w:val="0"/>
          <w:color w:val="159C9C"/>
          <w:sz w:val="15"/>
        </w:rPr>
        <w:t>LPCC-WB12-PB-Q012 | Application | Moderate | Primary concept: PRIVACY limited EAP authorization</w:t>
      </w:r>
    </w:p>
    <w:p>
      <w:pPr>
        <w:spacing w:before="0" w:after="40" w:line="245" w:lineRule="auto"/>
      </w:pPr>
      <w:r>
        <w:rPr>
          <w:rFonts w:ascii="Arial" w:hAnsi="Arial" w:eastAsia="Arial"/>
          <w:b/>
          <w:i w:val="0"/>
          <w:color w:val="1F2937"/>
          <w:sz w:val="17"/>
        </w:rPr>
        <w:t>Marcella's EAP authorization permits confirmation of attendance and general participation only. The EAP coordinator requests her diagnosis, threat assessment, and complete notes. What is the BEST response?</w:t>
      </w:r>
    </w:p>
    <w:p>
      <w:pPr>
        <w:spacing w:before="0" w:after="16" w:line="240" w:lineRule="auto"/>
        <w:ind w:left="259" w:hanging="259"/>
      </w:pPr>
      <w:r>
        <w:rPr>
          <w:rFonts w:ascii="Arial" w:hAnsi="Arial" w:eastAsia="Arial"/>
          <w:sz w:val="16"/>
        </w:rPr>
        <w:t>A. Send everything because the employer is funding the sessions.</w:t>
      </w:r>
    </w:p>
    <w:p>
      <w:pPr>
        <w:spacing w:before="0" w:after="16" w:line="240" w:lineRule="auto"/>
        <w:ind w:left="259" w:hanging="259"/>
      </w:pPr>
      <w:r>
        <w:rPr>
          <w:rFonts w:ascii="Arial" w:hAnsi="Arial" w:eastAsia="Arial"/>
          <w:sz w:val="16"/>
        </w:rPr>
        <w:t>B. Send the diagnosis and threat details but withhold the notes.</w:t>
      </w:r>
    </w:p>
    <w:p>
      <w:pPr>
        <w:spacing w:before="0" w:after="16" w:line="240" w:lineRule="auto"/>
        <w:ind w:left="259" w:hanging="259"/>
      </w:pPr>
      <w:r>
        <w:rPr>
          <w:rFonts w:ascii="Arial" w:hAnsi="Arial" w:eastAsia="Arial"/>
          <w:sz w:val="16"/>
        </w:rPr>
        <w:t>C. Ask the coordinator to keep the information confidential and then disclose it.</w:t>
      </w:r>
    </w:p>
    <w:p>
      <w:pPr>
        <w:spacing w:before="0" w:after="16" w:line="240" w:lineRule="auto"/>
        <w:ind w:left="259" w:hanging="259"/>
      </w:pPr>
      <w:r>
        <w:rPr>
          <w:rFonts w:ascii="Arial" w:hAnsi="Arial" w:eastAsia="Arial"/>
          <w:sz w:val="16"/>
        </w:rPr>
        <w:t>D. Verify the authorization and disclose only what it permits, declining or seeking a new valid authorization for additional information unless another lawful basis applies.</w:t>
      </w:r>
    </w:p>
    <w:tbl>
      <w:tblPr>
        <w:tblW w:type="auto" w:w="0"/>
        <w:jc w:val="center"/>
        <w:tblLayout w:type="fixed"/>
        <w:tblLook w:firstColumn="1" w:firstRow="1" w:lastColumn="0" w:lastRow="0" w:noHBand="0" w:noVBand="1" w:val="04A0"/>
      </w:tblPr>
      <w:tblGrid>
        <w:gridCol w:w="10080"/>
      </w:tblGrid>
      <w:tr>
        <w:tc>
          <w:tcPr>
            <w:tcW w:type="dxa" w:w="10310"/>
            <w:shd w:fill="E8F5F5"/>
            <w:tcMar>
              <w:top w:w="70" w:type="dxa"/>
              <w:start w:w="95" w:type="dxa"/>
              <w:bottom w:w="70" w:type="dxa"/>
              <w:end w:w="95" w:type="dxa"/>
            </w:tcMar>
            <w:tcBorders>
              <w:top w:val="single" w:sz="7" w:color="159C9C"/>
              <w:left w:val="single" w:sz="7" w:color="159C9C"/>
              <w:bottom w:val="single" w:sz="7" w:color="159C9C"/>
              <w:right w:val="single" w:sz="7" w:color="159C9C"/>
              <w:insideH w:val="single" w:sz="7" w:color="159C9C"/>
              <w:insideV w:val="single" w:sz="7" w:color="159C9C"/>
            </w:tcBorders>
          </w:tcPr>
          <w:p>
            <w:pPr>
              <w:spacing w:before="0" w:after="20" w:line="245" w:lineRule="auto"/>
            </w:pPr>
            <w:r>
              <w:rPr>
                <w:rFonts w:ascii="Arial" w:hAnsi="Arial" w:eastAsia="Arial"/>
                <w:b/>
                <w:color w:val="159C9C"/>
                <w:sz w:val="17"/>
              </w:rPr>
              <w:t>CORRECT ANSWER</w:t>
            </w:r>
          </w:p>
          <w:p>
            <w:pPr>
              <w:spacing w:before="0" w:after="0" w:line="240" w:lineRule="auto"/>
            </w:pPr>
            <w:r>
              <w:rPr>
                <w:rFonts w:ascii="Arial" w:hAnsi="Arial" w:eastAsia="Arial"/>
                <w:color w:val="1F2937"/>
                <w:sz w:val="16"/>
              </w:rPr>
              <w:t>D. Verify the authorization and disclose only what it permits, declining or seeking a new valid authorization for additional information unless another lawful basis applies.</w:t>
            </w:r>
          </w:p>
        </w:tc>
      </w:tr>
    </w:tbl>
    <w:p>
      <w:pPr>
        <w:pStyle w:val="Heading2"/>
        <w:spacing w:before="0" w:after="60" w:line="245" w:lineRule="auto"/>
        <w:keepNext/>
      </w:pPr>
      <w:r>
        <w:rPr>
          <w:rFonts w:ascii="Arial" w:hAnsi="Arial" w:eastAsia="Arial"/>
          <w:b/>
          <w:color w:val="17365D"/>
          <w:sz w:val="21"/>
        </w:rPr>
        <w:t>Why Each Option Is Correct or Incorrect</w:t>
      </w:r>
    </w:p>
    <w:p>
      <w:pPr>
        <w:spacing w:after="20" w:before="0" w:line="240" w:lineRule="auto"/>
      </w:pPr>
      <w:r>
        <w:rPr>
          <w:rFonts w:ascii="Arial" w:hAnsi="Arial" w:eastAsia="Arial"/>
          <w:b/>
          <w:color w:val="17365D"/>
          <w:sz w:val="16"/>
        </w:rPr>
        <w:t>A. Incorrect. Payment does not create unlimited access to clinical information.</w:t>
      </w:r>
      <w:r>
        <w:rPr>
          <w:rFonts w:ascii="Arial" w:hAnsi="Arial" w:eastAsia="Arial"/>
          <w:sz w:val="16"/>
        </w:rPr>
      </w:r>
    </w:p>
    <w:p>
      <w:pPr>
        <w:spacing w:after="20" w:before="0" w:line="240" w:lineRule="auto"/>
      </w:pPr>
      <w:r>
        <w:rPr>
          <w:rFonts w:ascii="Arial" w:hAnsi="Arial" w:eastAsia="Arial"/>
          <w:b/>
          <w:color w:val="17365D"/>
          <w:sz w:val="16"/>
        </w:rPr>
        <w:t>B. Incorrect. The requested information exceeds the stated authorization.</w:t>
      </w:r>
      <w:r>
        <w:rPr>
          <w:rFonts w:ascii="Arial" w:hAnsi="Arial" w:eastAsia="Arial"/>
          <w:sz w:val="16"/>
        </w:rPr>
      </w:r>
    </w:p>
    <w:p>
      <w:pPr>
        <w:spacing w:after="20" w:before="0" w:line="240" w:lineRule="auto"/>
      </w:pPr>
      <w:r>
        <w:rPr>
          <w:rFonts w:ascii="Arial" w:hAnsi="Arial" w:eastAsia="Arial"/>
          <w:b/>
          <w:color w:val="17365D"/>
          <w:sz w:val="16"/>
        </w:rPr>
        <w:t>C. Incorrect. A promise of confidentiality does not expand the authorization.</w:t>
      </w:r>
      <w:r>
        <w:rPr>
          <w:rFonts w:ascii="Arial" w:hAnsi="Arial" w:eastAsia="Arial"/>
          <w:sz w:val="16"/>
        </w:rPr>
      </w:r>
    </w:p>
    <w:p>
      <w:pPr>
        <w:spacing w:after="20" w:before="0" w:line="240" w:lineRule="auto"/>
      </w:pPr>
      <w:r>
        <w:rPr>
          <w:rFonts w:ascii="Arial" w:hAnsi="Arial" w:eastAsia="Arial"/>
          <w:b/>
          <w:color w:val="17365D"/>
          <w:sz w:val="16"/>
        </w:rPr>
        <w:t>D. Correct. PRIVACY reasoning matches disclosure to purpose, authorization, lawful basis, and minimum necessary information.</w:t>
      </w:r>
      <w:r>
        <w:rPr>
          <w:rFonts w:ascii="Arial" w:hAnsi="Arial" w:eastAsia="Arial"/>
          <w:sz w:val="16"/>
        </w:rPr>
      </w:r>
    </w:p>
    <w:tbl>
      <w:tblPr>
        <w:tblW w:type="auto" w:w="0"/>
        <w:jc w:val="center"/>
        <w:tblLayout w:type="fixed"/>
        <w:tblLook w:firstColumn="1" w:firstRow="1" w:lastColumn="0" w:lastRow="0" w:noHBand="0" w:noVBand="1" w:val="04A0"/>
      </w:tblPr>
      <w:tblGrid>
        <w:gridCol w:w="10080"/>
      </w:tblGrid>
      <w:tr>
        <w:tc>
          <w:tcPr>
            <w:tcW w:type="dxa" w:w="10310"/>
            <w:shd w:fill="EAF1F8"/>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CTA EXAM STRATEGY</w:t>
            </w:r>
          </w:p>
          <w:p>
            <w:pPr>
              <w:spacing w:before="0" w:after="0" w:line="240" w:lineRule="auto"/>
            </w:pPr>
            <w:r>
              <w:rPr>
                <w:rFonts w:ascii="Arial" w:hAnsi="Arial" w:eastAsia="Arial"/>
                <w:color w:val="1F2937"/>
                <w:sz w:val="16"/>
              </w:rPr>
              <w:t>Read the authorization literally. Identify recipient, purpose, information, expiration, and limits. Do not let payment or clinical relevance expand the client's permission.</w:t>
            </w:r>
          </w:p>
        </w:tc>
      </w:tr>
    </w:tbl>
    <w:tbl>
      <w:tblPr>
        <w:tblW w:type="auto" w:w="0"/>
        <w:jc w:val="center"/>
        <w:tblLayout w:type="fixed"/>
        <w:tblLook w:firstColumn="1" w:firstRow="1" w:lastColumn="0" w:lastRow="0" w:noHBand="0" w:noVBand="1" w:val="04A0"/>
      </w:tblPr>
      <w:tblGrid>
        <w:gridCol w:w="10080"/>
      </w:tblGrid>
      <w:tr>
        <w:tc>
          <w:tcPr>
            <w:tcW w:type="dxa" w:w="10310"/>
            <w:shd w:fill="F3F4F6"/>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LIKELY ERROR CODE</w:t>
            </w:r>
          </w:p>
          <w:p>
            <w:pPr>
              <w:spacing w:before="0" w:after="0" w:line="240" w:lineRule="auto"/>
            </w:pPr>
            <w:r>
              <w:rPr>
                <w:rFonts w:ascii="Arial" w:hAnsi="Arial" w:eastAsia="Arial"/>
                <w:color w:val="1F2937"/>
                <w:sz w:val="15"/>
              </w:rPr>
              <w:t>A - Authorization-scope error. Authorization is specific; disclosure should not exceed the documented purpose and information permitted.</w:t>
            </w:r>
          </w:p>
        </w:tc>
      </w:tr>
    </w:tbl>
    <w:p>
      <w:r>
        <w:br w:type="page"/>
      </w:r>
    </w:p>
    <w:p>
      <w:pPr>
        <w:pStyle w:val="Heading2"/>
        <w:spacing w:before="0" w:after="60" w:line="245" w:lineRule="auto"/>
        <w:keepNext/>
      </w:pPr>
      <w:r>
        <w:rPr>
          <w:rFonts w:ascii="Arial" w:hAnsi="Arial" w:eastAsia="Arial"/>
          <w:b/>
          <w:color w:val="17365D"/>
          <w:sz w:val="21"/>
        </w:rPr>
        <w:t>Question 13 (LPCC-WB12-PB-Q013)</w:t>
      </w:r>
    </w:p>
    <w:p>
      <w:pPr>
        <w:spacing w:before="0" w:after="40" w:line="245" w:lineRule="auto"/>
      </w:pPr>
      <w:r>
        <w:rPr>
          <w:rFonts w:ascii="Arial" w:hAnsi="Arial" w:eastAsia="Arial"/>
          <w:b/>
          <w:i w:val="0"/>
          <w:color w:val="159C9C"/>
          <w:sz w:val="15"/>
        </w:rPr>
        <w:t>LPCC-WB12-PB-Q013 | Integrated Clinical Reasoning | Difficult | Primary concept: TRIGGER documentation and continuity after protective action</w:t>
      </w:r>
    </w:p>
    <w:p>
      <w:pPr>
        <w:spacing w:before="0" w:after="40" w:line="245" w:lineRule="auto"/>
      </w:pPr>
      <w:r>
        <w:rPr>
          <w:rFonts w:ascii="Arial" w:hAnsi="Arial" w:eastAsia="Arial"/>
          <w:b/>
          <w:i w:val="0"/>
          <w:color w:val="1F2937"/>
          <w:sz w:val="17"/>
        </w:rPr>
        <w:t>Which documentation and follow-up plan is MOST defensible after Dana responds to Marcella's serious threat?</w:t>
      </w:r>
    </w:p>
    <w:p>
      <w:pPr>
        <w:spacing w:before="0" w:after="16" w:line="240" w:lineRule="auto"/>
        <w:ind w:left="259" w:hanging="259"/>
      </w:pPr>
      <w:r>
        <w:rPr>
          <w:rFonts w:ascii="Arial" w:hAnsi="Arial" w:eastAsia="Arial"/>
          <w:sz w:val="16"/>
        </w:rPr>
        <w:t>A. Write only, "Tarasoff completed," to avoid unnecessary detail.</w:t>
      </w:r>
    </w:p>
    <w:p>
      <w:pPr>
        <w:spacing w:before="0" w:after="16" w:line="240" w:lineRule="auto"/>
        <w:ind w:left="259" w:hanging="259"/>
      </w:pPr>
      <w:r>
        <w:rPr>
          <w:rFonts w:ascii="Arial" w:hAnsi="Arial" w:eastAsia="Arial"/>
          <w:sz w:val="16"/>
        </w:rPr>
        <w:t>B. Record the complete psychotherapy history and send it to every person contacted.</w:t>
      </w:r>
    </w:p>
    <w:p>
      <w:pPr>
        <w:spacing w:before="0" w:after="16" w:line="240" w:lineRule="auto"/>
        <w:ind w:left="259" w:hanging="259"/>
      </w:pPr>
      <w:r>
        <w:rPr>
          <w:rFonts w:ascii="Arial" w:hAnsi="Arial" w:eastAsia="Arial"/>
          <w:sz w:val="16"/>
        </w:rPr>
        <w:t>C. Document Marcella's words and relevant context, risk assessment, means and target information, consultations, notifications and attempts, timing, rationale, emergency disposition, client communication, and the plan for ongoing safety and continuity.</w:t>
      </w:r>
    </w:p>
    <w:p>
      <w:pPr>
        <w:spacing w:before="0" w:after="16" w:line="240" w:lineRule="auto"/>
        <w:ind w:left="259" w:hanging="259"/>
      </w:pPr>
      <w:r>
        <w:rPr>
          <w:rFonts w:ascii="Arial" w:hAnsi="Arial" w:eastAsia="Arial"/>
          <w:sz w:val="16"/>
        </w:rPr>
        <w:t>D. Wait until the case is resolved so the final outcome can be summarized in one note.</w:t>
      </w:r>
    </w:p>
    <w:tbl>
      <w:tblPr>
        <w:tblW w:type="auto" w:w="0"/>
        <w:jc w:val="center"/>
        <w:tblLayout w:type="fixed"/>
        <w:tblLook w:firstColumn="1" w:firstRow="1" w:lastColumn="0" w:lastRow="0" w:noHBand="0" w:noVBand="1" w:val="04A0"/>
      </w:tblPr>
      <w:tblGrid>
        <w:gridCol w:w="10080"/>
      </w:tblGrid>
      <w:tr>
        <w:tc>
          <w:tcPr>
            <w:tcW w:type="dxa" w:w="10310"/>
            <w:shd w:fill="E8F5F5"/>
            <w:tcMar>
              <w:top w:w="70" w:type="dxa"/>
              <w:start w:w="95" w:type="dxa"/>
              <w:bottom w:w="70" w:type="dxa"/>
              <w:end w:w="95" w:type="dxa"/>
            </w:tcMar>
            <w:tcBorders>
              <w:top w:val="single" w:sz="7" w:color="159C9C"/>
              <w:left w:val="single" w:sz="7" w:color="159C9C"/>
              <w:bottom w:val="single" w:sz="7" w:color="159C9C"/>
              <w:right w:val="single" w:sz="7" w:color="159C9C"/>
              <w:insideH w:val="single" w:sz="7" w:color="159C9C"/>
              <w:insideV w:val="single" w:sz="7" w:color="159C9C"/>
            </w:tcBorders>
          </w:tcPr>
          <w:p>
            <w:pPr>
              <w:spacing w:before="0" w:after="20" w:line="245" w:lineRule="auto"/>
            </w:pPr>
            <w:r>
              <w:rPr>
                <w:rFonts w:ascii="Arial" w:hAnsi="Arial" w:eastAsia="Arial"/>
                <w:b/>
                <w:color w:val="159C9C"/>
                <w:sz w:val="17"/>
              </w:rPr>
              <w:t>CORRECT ANSWER</w:t>
            </w:r>
          </w:p>
          <w:p>
            <w:pPr>
              <w:spacing w:before="0" w:after="0" w:line="240" w:lineRule="auto"/>
            </w:pPr>
            <w:r>
              <w:rPr>
                <w:rFonts w:ascii="Arial" w:hAnsi="Arial" w:eastAsia="Arial"/>
                <w:color w:val="1F2937"/>
                <w:sz w:val="16"/>
              </w:rPr>
              <w:t>C. Document Marcella's words and relevant context, risk assessment, means and target information, consultations, notifications and attempts, timing, rationale, emergency disposition, client communication, and the plan for ongoing safety and continuity.</w:t>
            </w:r>
          </w:p>
        </w:tc>
      </w:tr>
    </w:tbl>
    <w:p>
      <w:pPr>
        <w:pStyle w:val="Heading2"/>
        <w:spacing w:before="0" w:after="60" w:line="245" w:lineRule="auto"/>
        <w:keepNext/>
      </w:pPr>
      <w:r>
        <w:rPr>
          <w:rFonts w:ascii="Arial" w:hAnsi="Arial" w:eastAsia="Arial"/>
          <w:b/>
          <w:color w:val="17365D"/>
          <w:sz w:val="21"/>
        </w:rPr>
        <w:t>Why Each Option Is Correct or Incorrect</w:t>
      </w:r>
    </w:p>
    <w:p>
      <w:pPr>
        <w:spacing w:after="20" w:before="0" w:line="240" w:lineRule="auto"/>
      </w:pPr>
      <w:r>
        <w:rPr>
          <w:rFonts w:ascii="Arial" w:hAnsi="Arial" w:eastAsia="Arial"/>
          <w:b/>
          <w:color w:val="17365D"/>
          <w:sz w:val="16"/>
        </w:rPr>
        <w:t>A. Incorrect. A conclusion without facts, timing, actions, and rationale does not show the decision process.</w:t>
      </w:r>
      <w:r>
        <w:rPr>
          <w:rFonts w:ascii="Arial" w:hAnsi="Arial" w:eastAsia="Arial"/>
          <w:sz w:val="16"/>
        </w:rPr>
      </w:r>
    </w:p>
    <w:p>
      <w:pPr>
        <w:spacing w:after="20" w:before="0" w:line="240" w:lineRule="auto"/>
      </w:pPr>
      <w:r>
        <w:rPr>
          <w:rFonts w:ascii="Arial" w:hAnsi="Arial" w:eastAsia="Arial"/>
          <w:b/>
          <w:color w:val="17365D"/>
          <w:sz w:val="16"/>
        </w:rPr>
        <w:t>B. Incorrect. Documentation should be complete, but protective disclosures should remain limited to what authority and purpose require.</w:t>
      </w:r>
      <w:r>
        <w:rPr>
          <w:rFonts w:ascii="Arial" w:hAnsi="Arial" w:eastAsia="Arial"/>
          <w:sz w:val="16"/>
        </w:rPr>
      </w:r>
    </w:p>
    <w:p>
      <w:pPr>
        <w:spacing w:after="20" w:before="0" w:line="240" w:lineRule="auto"/>
      </w:pPr>
      <w:r>
        <w:rPr>
          <w:rFonts w:ascii="Arial" w:hAnsi="Arial" w:eastAsia="Arial"/>
          <w:b/>
          <w:color w:val="17365D"/>
          <w:sz w:val="16"/>
        </w:rPr>
        <w:t>C. Correct. The record objectively connects the threat evidence, assessment, protective actions, communication, disposition, and follow-up.</w:t>
      </w:r>
      <w:r>
        <w:rPr>
          <w:rFonts w:ascii="Arial" w:hAnsi="Arial" w:eastAsia="Arial"/>
          <w:sz w:val="16"/>
        </w:rPr>
      </w:r>
    </w:p>
    <w:p>
      <w:pPr>
        <w:spacing w:after="20" w:before="0" w:line="240" w:lineRule="auto"/>
      </w:pPr>
      <w:r>
        <w:rPr>
          <w:rFonts w:ascii="Arial" w:hAnsi="Arial" w:eastAsia="Arial"/>
          <w:b/>
          <w:color w:val="17365D"/>
          <w:sz w:val="16"/>
        </w:rPr>
        <w:t>D. Incorrect. Delayed documentation can be inaccurate and fails to preserve the contemporaneous response.</w:t>
      </w:r>
      <w:r>
        <w:rPr>
          <w:rFonts w:ascii="Arial" w:hAnsi="Arial" w:eastAsia="Arial"/>
          <w:sz w:val="16"/>
        </w:rPr>
      </w:r>
    </w:p>
    <w:tbl>
      <w:tblPr>
        <w:tblW w:type="auto" w:w="0"/>
        <w:jc w:val="center"/>
        <w:tblLayout w:type="fixed"/>
        <w:tblLook w:firstColumn="1" w:firstRow="1" w:lastColumn="0" w:lastRow="0" w:noHBand="0" w:noVBand="1" w:val="04A0"/>
      </w:tblPr>
      <w:tblGrid>
        <w:gridCol w:w="10080"/>
      </w:tblGrid>
      <w:tr>
        <w:tc>
          <w:tcPr>
            <w:tcW w:type="dxa" w:w="10310"/>
            <w:shd w:fill="EAF1F8"/>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CTA EXAM STRATEGY</w:t>
            </w:r>
          </w:p>
          <w:p>
            <w:pPr>
              <w:spacing w:before="0" w:after="0" w:line="240" w:lineRule="auto"/>
            </w:pPr>
            <w:r>
              <w:rPr>
                <w:rFonts w:ascii="Arial" w:hAnsi="Arial" w:eastAsia="Arial"/>
                <w:color w:val="1F2937"/>
                <w:sz w:val="16"/>
              </w:rPr>
              <w:t>High-risk documentation should be contemporaneous, factual, and sequenced. Include what was known, what was assessed, what was done, whom was contacted, and what happens next.</w:t>
            </w:r>
          </w:p>
        </w:tc>
      </w:tr>
    </w:tbl>
    <w:tbl>
      <w:tblPr>
        <w:tblW w:type="auto" w:w="0"/>
        <w:jc w:val="center"/>
        <w:tblLayout w:type="fixed"/>
        <w:tblLook w:firstColumn="1" w:firstRow="1" w:lastColumn="0" w:lastRow="0" w:noHBand="0" w:noVBand="1" w:val="04A0"/>
      </w:tblPr>
      <w:tblGrid>
        <w:gridCol w:w="10080"/>
      </w:tblGrid>
      <w:tr>
        <w:tc>
          <w:tcPr>
            <w:tcW w:type="dxa" w:w="10310"/>
            <w:shd w:fill="F3F4F6"/>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LIKELY ERROR CODE</w:t>
            </w:r>
          </w:p>
          <w:p>
            <w:pPr>
              <w:spacing w:before="0" w:after="0" w:line="240" w:lineRule="auto"/>
            </w:pPr>
            <w:r>
              <w:rPr>
                <w:rFonts w:ascii="Arial" w:hAnsi="Arial" w:eastAsia="Arial"/>
                <w:color w:val="1F2937"/>
                <w:sz w:val="15"/>
              </w:rPr>
              <w:t>D - Documentation and follow-up error. The record should support both the legal response and continuing clinical care without unnecessary disclosure.</w:t>
            </w:r>
          </w:p>
        </w:tc>
      </w:tr>
    </w:tbl>
    <w:p>
      <w:r>
        <w:br w:type="page"/>
      </w:r>
    </w:p>
    <w:p>
      <w:pPr>
        <w:pStyle w:val="Heading2"/>
        <w:spacing w:before="0" w:after="60" w:line="245" w:lineRule="auto"/>
        <w:keepNext/>
      </w:pPr>
      <w:r>
        <w:rPr>
          <w:rFonts w:ascii="Arial" w:hAnsi="Arial" w:eastAsia="Arial"/>
          <w:b/>
          <w:color w:val="17365D"/>
          <w:sz w:val="21"/>
        </w:rPr>
        <w:t>Question 14 (LPCC-WB12-PB-Q014)</w:t>
      </w:r>
    </w:p>
    <w:p>
      <w:pPr>
        <w:spacing w:before="0" w:after="40" w:line="245" w:lineRule="auto"/>
      </w:pPr>
      <w:r>
        <w:rPr>
          <w:rFonts w:ascii="Arial" w:hAnsi="Arial" w:eastAsia="Arial"/>
          <w:b/>
          <w:i w:val="0"/>
          <w:color w:val="159C9C"/>
          <w:sz w:val="15"/>
        </w:rPr>
        <w:t>LPCC-WB12-PB-Q014 | Application | Moderate | Primary concept: TRIGGER subpoena response</w:t>
      </w:r>
    </w:p>
    <w:p>
      <w:pPr>
        <w:spacing w:before="0" w:after="40" w:line="245" w:lineRule="auto"/>
      </w:pPr>
      <w:r>
        <w:rPr>
          <w:rFonts w:ascii="Arial" w:hAnsi="Arial" w:eastAsia="Arial"/>
          <w:b/>
          <w:i w:val="0"/>
          <w:color w:val="1F2937"/>
          <w:sz w:val="17"/>
        </w:rPr>
        <w:t>Two months later, Dana receives an attorney subpoena for Marcella's complete record. What should Dana do FIRST?</w:t>
      </w:r>
    </w:p>
    <w:p>
      <w:pPr>
        <w:spacing w:before="0" w:after="16" w:line="240" w:lineRule="auto"/>
        <w:ind w:left="259" w:hanging="259"/>
      </w:pPr>
      <w:r>
        <w:rPr>
          <w:rFonts w:ascii="Arial" w:hAnsi="Arial" w:eastAsia="Arial"/>
          <w:sz w:val="16"/>
        </w:rPr>
        <w:t>A. Send the complete record immediately because a subpoena is a court document.</w:t>
      </w:r>
    </w:p>
    <w:p>
      <w:pPr>
        <w:spacing w:before="0" w:after="16" w:line="240" w:lineRule="auto"/>
        <w:ind w:left="259" w:hanging="259"/>
      </w:pPr>
      <w:r>
        <w:rPr>
          <w:rFonts w:ascii="Arial" w:hAnsi="Arial" w:eastAsia="Arial"/>
          <w:sz w:val="16"/>
        </w:rPr>
        <w:t>B. Preserve the subpoena and records, protect confidentiality and privilege, notify the appropriate custodian or leadership, and obtain qualified legal or organizational guidance about the response and scope.</w:t>
      </w:r>
    </w:p>
    <w:p>
      <w:pPr>
        <w:spacing w:before="0" w:after="16" w:line="240" w:lineRule="auto"/>
        <w:ind w:left="259" w:hanging="259"/>
      </w:pPr>
      <w:r>
        <w:rPr>
          <w:rFonts w:ascii="Arial" w:hAnsi="Arial" w:eastAsia="Arial"/>
          <w:sz w:val="16"/>
        </w:rPr>
        <w:t>C. Ignore it unless a judge calls Dana personally.</w:t>
      </w:r>
    </w:p>
    <w:p>
      <w:pPr>
        <w:spacing w:before="0" w:after="16" w:line="240" w:lineRule="auto"/>
        <w:ind w:left="259" w:hanging="259"/>
      </w:pPr>
      <w:r>
        <w:rPr>
          <w:rFonts w:ascii="Arial" w:hAnsi="Arial" w:eastAsia="Arial"/>
          <w:sz w:val="16"/>
        </w:rPr>
        <w:t>D. Delete sensitive notes before anyone reviews the file.</w:t>
      </w:r>
    </w:p>
    <w:tbl>
      <w:tblPr>
        <w:tblW w:type="auto" w:w="0"/>
        <w:jc w:val="center"/>
        <w:tblLayout w:type="fixed"/>
        <w:tblLook w:firstColumn="1" w:firstRow="1" w:lastColumn="0" w:lastRow="0" w:noHBand="0" w:noVBand="1" w:val="04A0"/>
      </w:tblPr>
      <w:tblGrid>
        <w:gridCol w:w="10080"/>
      </w:tblGrid>
      <w:tr>
        <w:tc>
          <w:tcPr>
            <w:tcW w:type="dxa" w:w="10310"/>
            <w:shd w:fill="E8F5F5"/>
            <w:tcMar>
              <w:top w:w="70" w:type="dxa"/>
              <w:start w:w="95" w:type="dxa"/>
              <w:bottom w:w="70" w:type="dxa"/>
              <w:end w:w="95" w:type="dxa"/>
            </w:tcMar>
            <w:tcBorders>
              <w:top w:val="single" w:sz="7" w:color="159C9C"/>
              <w:left w:val="single" w:sz="7" w:color="159C9C"/>
              <w:bottom w:val="single" w:sz="7" w:color="159C9C"/>
              <w:right w:val="single" w:sz="7" w:color="159C9C"/>
              <w:insideH w:val="single" w:sz="7" w:color="159C9C"/>
              <w:insideV w:val="single" w:sz="7" w:color="159C9C"/>
            </w:tcBorders>
          </w:tcPr>
          <w:p>
            <w:pPr>
              <w:spacing w:before="0" w:after="20" w:line="245" w:lineRule="auto"/>
            </w:pPr>
            <w:r>
              <w:rPr>
                <w:rFonts w:ascii="Arial" w:hAnsi="Arial" w:eastAsia="Arial"/>
                <w:b/>
                <w:color w:val="159C9C"/>
                <w:sz w:val="17"/>
              </w:rPr>
              <w:t>CORRECT ANSWER</w:t>
            </w:r>
          </w:p>
          <w:p>
            <w:pPr>
              <w:spacing w:before="0" w:after="0" w:line="240" w:lineRule="auto"/>
            </w:pPr>
            <w:r>
              <w:rPr>
                <w:rFonts w:ascii="Arial" w:hAnsi="Arial" w:eastAsia="Arial"/>
                <w:color w:val="1F2937"/>
                <w:sz w:val="16"/>
              </w:rPr>
              <w:t>B. Preserve the subpoena and records, protect confidentiality and privilege, notify the appropriate custodian or leadership, and obtain qualified legal or organizational guidance about the response and scope.</w:t>
            </w:r>
          </w:p>
        </w:tc>
      </w:tr>
    </w:tbl>
    <w:p>
      <w:pPr>
        <w:pStyle w:val="Heading2"/>
        <w:spacing w:before="0" w:after="60" w:line="245" w:lineRule="auto"/>
        <w:keepNext/>
      </w:pPr>
      <w:r>
        <w:rPr>
          <w:rFonts w:ascii="Arial" w:hAnsi="Arial" w:eastAsia="Arial"/>
          <w:b/>
          <w:color w:val="17365D"/>
          <w:sz w:val="21"/>
        </w:rPr>
        <w:t>Why Each Option Is Correct or Incorrect</w:t>
      </w:r>
    </w:p>
    <w:p>
      <w:pPr>
        <w:spacing w:after="20" w:before="0" w:line="240" w:lineRule="auto"/>
      </w:pPr>
      <w:r>
        <w:rPr>
          <w:rFonts w:ascii="Arial" w:hAnsi="Arial" w:eastAsia="Arial"/>
          <w:b/>
          <w:color w:val="17365D"/>
          <w:sz w:val="16"/>
        </w:rPr>
        <w:t>A. Incorrect. A subpoena requires timely attention but does not automatically resolve privilege, confidentiality, objections, or scope.</w:t>
      </w:r>
      <w:r>
        <w:rPr>
          <w:rFonts w:ascii="Arial" w:hAnsi="Arial" w:eastAsia="Arial"/>
          <w:sz w:val="16"/>
        </w:rPr>
      </w:r>
    </w:p>
    <w:p>
      <w:pPr>
        <w:spacing w:after="20" w:before="0" w:line="240" w:lineRule="auto"/>
      </w:pPr>
      <w:r>
        <w:rPr>
          <w:rFonts w:ascii="Arial" w:hAnsi="Arial" w:eastAsia="Arial"/>
          <w:b/>
          <w:color w:val="17365D"/>
          <w:sz w:val="16"/>
        </w:rPr>
        <w:t>B. Correct. TRIGGER reasoning preserves evidence, protects rights, and obtains qualified guidance before disclosure.</w:t>
      </w:r>
      <w:r>
        <w:rPr>
          <w:rFonts w:ascii="Arial" w:hAnsi="Arial" w:eastAsia="Arial"/>
          <w:sz w:val="16"/>
        </w:rPr>
      </w:r>
    </w:p>
    <w:p>
      <w:pPr>
        <w:spacing w:after="20" w:before="0" w:line="240" w:lineRule="auto"/>
      </w:pPr>
      <w:r>
        <w:rPr>
          <w:rFonts w:ascii="Arial" w:hAnsi="Arial" w:eastAsia="Arial"/>
          <w:b/>
          <w:color w:val="17365D"/>
          <w:sz w:val="16"/>
        </w:rPr>
        <w:t>C. Incorrect. Ignoring legal process can create additional risk and missed deadlines.</w:t>
      </w:r>
      <w:r>
        <w:rPr>
          <w:rFonts w:ascii="Arial" w:hAnsi="Arial" w:eastAsia="Arial"/>
          <w:sz w:val="16"/>
        </w:rPr>
      </w:r>
    </w:p>
    <w:p>
      <w:pPr>
        <w:spacing w:after="20" w:before="0" w:line="240" w:lineRule="auto"/>
      </w:pPr>
      <w:r>
        <w:rPr>
          <w:rFonts w:ascii="Arial" w:hAnsi="Arial" w:eastAsia="Arial"/>
          <w:b/>
          <w:color w:val="17365D"/>
          <w:sz w:val="16"/>
        </w:rPr>
        <w:t>D. Incorrect. Destruction or alteration after legal process is improper and may create serious consequences.</w:t>
      </w:r>
      <w:r>
        <w:rPr>
          <w:rFonts w:ascii="Arial" w:hAnsi="Arial" w:eastAsia="Arial"/>
          <w:sz w:val="16"/>
        </w:rPr>
      </w:r>
    </w:p>
    <w:tbl>
      <w:tblPr>
        <w:tblW w:type="auto" w:w="0"/>
        <w:jc w:val="center"/>
        <w:tblLayout w:type="fixed"/>
        <w:tblLook w:firstColumn="1" w:firstRow="1" w:lastColumn="0" w:lastRow="0" w:noHBand="0" w:noVBand="1" w:val="04A0"/>
      </w:tblPr>
      <w:tblGrid>
        <w:gridCol w:w="10080"/>
      </w:tblGrid>
      <w:tr>
        <w:tc>
          <w:tcPr>
            <w:tcW w:type="dxa" w:w="10310"/>
            <w:shd w:fill="EAF1F8"/>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CTA EXAM STRATEGY</w:t>
            </w:r>
          </w:p>
          <w:p>
            <w:pPr>
              <w:spacing w:before="0" w:after="0" w:line="240" w:lineRule="auto"/>
            </w:pPr>
            <w:r>
              <w:rPr>
                <w:rFonts w:ascii="Arial" w:hAnsi="Arial" w:eastAsia="Arial"/>
                <w:color w:val="1F2937"/>
                <w:sz w:val="16"/>
              </w:rPr>
              <w:t>Do not equate subpoena with automatic release. Preserve, identify authority, protect privilege, meet deadlines, obtain guidance, and disclose only if and to the extent authorized or ordered.</w:t>
            </w:r>
          </w:p>
        </w:tc>
      </w:tr>
    </w:tbl>
    <w:tbl>
      <w:tblPr>
        <w:tblW w:type="auto" w:w="0"/>
        <w:jc w:val="center"/>
        <w:tblLayout w:type="fixed"/>
        <w:tblLook w:firstColumn="1" w:firstRow="1" w:lastColumn="0" w:lastRow="0" w:noHBand="0" w:noVBand="1" w:val="04A0"/>
      </w:tblPr>
      <w:tblGrid>
        <w:gridCol w:w="10080"/>
      </w:tblGrid>
      <w:tr>
        <w:tc>
          <w:tcPr>
            <w:tcW w:type="dxa" w:w="10310"/>
            <w:shd w:fill="F3F4F6"/>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LIKELY ERROR CODE</w:t>
            </w:r>
          </w:p>
          <w:p>
            <w:pPr>
              <w:spacing w:before="0" w:after="0" w:line="240" w:lineRule="auto"/>
            </w:pPr>
            <w:r>
              <w:rPr>
                <w:rFonts w:ascii="Arial" w:hAnsi="Arial" w:eastAsia="Arial"/>
                <w:color w:val="1F2937"/>
                <w:sz w:val="15"/>
              </w:rPr>
              <w:t>S - Subpoena-response error. Legal process requires action and preservation, but the counselor must still analyze privilege, confidentiality, objections, and scope.</w:t>
            </w:r>
          </w:p>
        </w:tc>
      </w:tr>
    </w:tbl>
    <w:p>
      <w:r>
        <w:br w:type="page"/>
      </w:r>
    </w:p>
    <w:p>
      <w:pPr>
        <w:pStyle w:val="Heading2"/>
        <w:spacing w:before="0" w:after="60" w:line="245" w:lineRule="auto"/>
        <w:keepNext/>
      </w:pPr>
      <w:r>
        <w:rPr>
          <w:rFonts w:ascii="Arial" w:hAnsi="Arial" w:eastAsia="Arial"/>
          <w:b/>
          <w:color w:val="17365D"/>
          <w:sz w:val="21"/>
        </w:rPr>
        <w:t>Question 15 (LPCC-WB12-PB-Q015)</w:t>
      </w:r>
    </w:p>
    <w:p>
      <w:pPr>
        <w:spacing w:before="0" w:after="40" w:line="245" w:lineRule="auto"/>
      </w:pPr>
      <w:r>
        <w:rPr>
          <w:rFonts w:ascii="Arial" w:hAnsi="Arial" w:eastAsia="Arial"/>
          <w:b/>
          <w:i w:val="0"/>
          <w:color w:val="159C9C"/>
          <w:sz w:val="15"/>
        </w:rPr>
        <w:t>LPCC-WB12-PB-Q015 | Integrated Clinical Reasoning | Difficult | Primary concept: PRIVACY access, amendment, and record integrity</w:t>
      </w:r>
    </w:p>
    <w:p>
      <w:pPr>
        <w:spacing w:before="0" w:after="40" w:line="245" w:lineRule="auto"/>
      </w:pPr>
      <w:r>
        <w:rPr>
          <w:rFonts w:ascii="Arial" w:hAnsi="Arial" w:eastAsia="Arial"/>
          <w:b/>
          <w:i w:val="0"/>
          <w:color w:val="1F2937"/>
          <w:sz w:val="17"/>
        </w:rPr>
        <w:t>Marcella asks Dana to delete the accurate threat note because it is embarrassing. Dana also finds an AI-generated sentence in the same record that Marcella never said. What is the BEST response?</w:t>
      </w:r>
    </w:p>
    <w:p>
      <w:pPr>
        <w:spacing w:before="0" w:after="16" w:line="240" w:lineRule="auto"/>
        <w:ind w:left="259" w:hanging="259"/>
      </w:pPr>
      <w:r>
        <w:rPr>
          <w:rFonts w:ascii="Arial" w:hAnsi="Arial" w:eastAsia="Arial"/>
          <w:sz w:val="16"/>
        </w:rPr>
        <w:t>A. Delete the entire note because the client owns all clinical records.</w:t>
      </w:r>
    </w:p>
    <w:p>
      <w:pPr>
        <w:spacing w:before="0" w:after="16" w:line="240" w:lineRule="auto"/>
        <w:ind w:left="259" w:hanging="259"/>
      </w:pPr>
      <w:r>
        <w:rPr>
          <w:rFonts w:ascii="Arial" w:hAnsi="Arial" w:eastAsia="Arial"/>
          <w:sz w:val="16"/>
        </w:rPr>
        <w:t>B. Refuse to discuss the request because clients have no record-access or amendment rights.</w:t>
      </w:r>
    </w:p>
    <w:p>
      <w:pPr>
        <w:spacing w:before="0" w:after="16" w:line="240" w:lineRule="auto"/>
        <w:ind w:left="259" w:hanging="259"/>
      </w:pPr>
      <w:r>
        <w:rPr>
          <w:rFonts w:ascii="Arial" w:hAnsi="Arial" w:eastAsia="Arial"/>
          <w:sz w:val="16"/>
        </w:rPr>
        <w:t>C. Replace the note silently with a shorter version that removes both statements.</w:t>
      </w:r>
    </w:p>
    <w:p>
      <w:pPr>
        <w:spacing w:before="0" w:after="16" w:line="240" w:lineRule="auto"/>
        <w:ind w:left="259" w:hanging="259"/>
      </w:pPr>
      <w:r>
        <w:rPr>
          <w:rFonts w:ascii="Arial" w:hAnsi="Arial" w:eastAsia="Arial"/>
          <w:sz w:val="16"/>
        </w:rPr>
        <w:t>D. Preserve the accurate original documentation, explain the applicable access or amendment process, and correct the inaccurate AI sentence through a dated, transparent addendum or correction that maintains the audit trail.</w:t>
      </w:r>
    </w:p>
    <w:tbl>
      <w:tblPr>
        <w:tblW w:type="auto" w:w="0"/>
        <w:jc w:val="center"/>
        <w:tblLayout w:type="fixed"/>
        <w:tblLook w:firstColumn="1" w:firstRow="1" w:lastColumn="0" w:lastRow="0" w:noHBand="0" w:noVBand="1" w:val="04A0"/>
      </w:tblPr>
      <w:tblGrid>
        <w:gridCol w:w="10080"/>
      </w:tblGrid>
      <w:tr>
        <w:tc>
          <w:tcPr>
            <w:tcW w:type="dxa" w:w="10310"/>
            <w:shd w:fill="E8F5F5"/>
            <w:tcMar>
              <w:top w:w="70" w:type="dxa"/>
              <w:start w:w="95" w:type="dxa"/>
              <w:bottom w:w="70" w:type="dxa"/>
              <w:end w:w="95" w:type="dxa"/>
            </w:tcMar>
            <w:tcBorders>
              <w:top w:val="single" w:sz="7" w:color="159C9C"/>
              <w:left w:val="single" w:sz="7" w:color="159C9C"/>
              <w:bottom w:val="single" w:sz="7" w:color="159C9C"/>
              <w:right w:val="single" w:sz="7" w:color="159C9C"/>
              <w:insideH w:val="single" w:sz="7" w:color="159C9C"/>
              <w:insideV w:val="single" w:sz="7" w:color="159C9C"/>
            </w:tcBorders>
          </w:tcPr>
          <w:p>
            <w:pPr>
              <w:spacing w:before="0" w:after="20" w:line="245" w:lineRule="auto"/>
            </w:pPr>
            <w:r>
              <w:rPr>
                <w:rFonts w:ascii="Arial" w:hAnsi="Arial" w:eastAsia="Arial"/>
                <w:b/>
                <w:color w:val="159C9C"/>
                <w:sz w:val="17"/>
              </w:rPr>
              <w:t>CORRECT ANSWER</w:t>
            </w:r>
          </w:p>
          <w:p>
            <w:pPr>
              <w:spacing w:before="0" w:after="0" w:line="240" w:lineRule="auto"/>
            </w:pPr>
            <w:r>
              <w:rPr>
                <w:rFonts w:ascii="Arial" w:hAnsi="Arial" w:eastAsia="Arial"/>
                <w:color w:val="1F2937"/>
                <w:sz w:val="16"/>
              </w:rPr>
              <w:t>D. Preserve the accurate original documentation, explain the applicable access or amendment process, and correct the inaccurate AI sentence through a dated, transparent addendum or correction that maintains the audit trail.</w:t>
            </w:r>
          </w:p>
        </w:tc>
      </w:tr>
    </w:tbl>
    <w:p>
      <w:pPr>
        <w:pStyle w:val="Heading2"/>
        <w:spacing w:before="0" w:after="60" w:line="245" w:lineRule="auto"/>
        <w:keepNext/>
      </w:pPr>
      <w:r>
        <w:rPr>
          <w:rFonts w:ascii="Arial" w:hAnsi="Arial" w:eastAsia="Arial"/>
          <w:b/>
          <w:color w:val="17365D"/>
          <w:sz w:val="21"/>
        </w:rPr>
        <w:t>Why Each Option Is Correct or Incorrect</w:t>
      </w:r>
    </w:p>
    <w:p>
      <w:pPr>
        <w:spacing w:after="20" w:before="0" w:line="240" w:lineRule="auto"/>
      </w:pPr>
      <w:r>
        <w:rPr>
          <w:rFonts w:ascii="Arial" w:hAnsi="Arial" w:eastAsia="Arial"/>
          <w:b/>
          <w:color w:val="17365D"/>
          <w:sz w:val="16"/>
        </w:rPr>
        <w:t>A. Incorrect. A client request does not automatically require deletion of accurate required documentation.</w:t>
      </w:r>
      <w:r>
        <w:rPr>
          <w:rFonts w:ascii="Arial" w:hAnsi="Arial" w:eastAsia="Arial"/>
          <w:sz w:val="16"/>
        </w:rPr>
      </w:r>
    </w:p>
    <w:p>
      <w:pPr>
        <w:spacing w:after="20" w:before="0" w:line="240" w:lineRule="auto"/>
      </w:pPr>
      <w:r>
        <w:rPr>
          <w:rFonts w:ascii="Arial" w:hAnsi="Arial" w:eastAsia="Arial"/>
          <w:b/>
          <w:color w:val="17365D"/>
          <w:sz w:val="16"/>
        </w:rPr>
        <w:t>B. Incorrect. Clients have legally defined access rights and may raise correction or amendment concerns.</w:t>
      </w:r>
      <w:r>
        <w:rPr>
          <w:rFonts w:ascii="Arial" w:hAnsi="Arial" w:eastAsia="Arial"/>
          <w:sz w:val="16"/>
        </w:rPr>
      </w:r>
    </w:p>
    <w:p>
      <w:pPr>
        <w:spacing w:after="20" w:before="0" w:line="240" w:lineRule="auto"/>
      </w:pPr>
      <w:r>
        <w:rPr>
          <w:rFonts w:ascii="Arial" w:hAnsi="Arial" w:eastAsia="Arial"/>
          <w:b/>
          <w:color w:val="17365D"/>
          <w:sz w:val="16"/>
        </w:rPr>
        <w:t>C. Incorrect. Silent rewriting obscures the record history and mixes an accurate entry with an actual error.</w:t>
      </w:r>
      <w:r>
        <w:rPr>
          <w:rFonts w:ascii="Arial" w:hAnsi="Arial" w:eastAsia="Arial"/>
          <w:sz w:val="16"/>
        </w:rPr>
      </w:r>
    </w:p>
    <w:p>
      <w:pPr>
        <w:spacing w:after="20" w:before="0" w:line="240" w:lineRule="auto"/>
      </w:pPr>
      <w:r>
        <w:rPr>
          <w:rFonts w:ascii="Arial" w:hAnsi="Arial" w:eastAsia="Arial"/>
          <w:b/>
          <w:color w:val="17365D"/>
          <w:sz w:val="16"/>
        </w:rPr>
        <w:t>D. Correct. The counselor distinguishes accurate but unwanted information from inaccurate content and handles each through the proper process.</w:t>
      </w:r>
      <w:r>
        <w:rPr>
          <w:rFonts w:ascii="Arial" w:hAnsi="Arial" w:eastAsia="Arial"/>
          <w:sz w:val="16"/>
        </w:rPr>
      </w:r>
    </w:p>
    <w:tbl>
      <w:tblPr>
        <w:tblW w:type="auto" w:w="0"/>
        <w:jc w:val="center"/>
        <w:tblLayout w:type="fixed"/>
        <w:tblLook w:firstColumn="1" w:firstRow="1" w:lastColumn="0" w:lastRow="0" w:noHBand="0" w:noVBand="1" w:val="04A0"/>
      </w:tblPr>
      <w:tblGrid>
        <w:gridCol w:w="10080"/>
      </w:tblGrid>
      <w:tr>
        <w:tc>
          <w:tcPr>
            <w:tcW w:type="dxa" w:w="10310"/>
            <w:shd w:fill="EAF1F8"/>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CTA EXAM STRATEGY</w:t>
            </w:r>
          </w:p>
          <w:p>
            <w:pPr>
              <w:spacing w:before="0" w:after="0" w:line="240" w:lineRule="auto"/>
            </w:pPr>
            <w:r>
              <w:rPr>
                <w:rFonts w:ascii="Arial" w:hAnsi="Arial" w:eastAsia="Arial"/>
                <w:color w:val="1F2937"/>
                <w:sz w:val="16"/>
              </w:rPr>
              <w:t>Separate three questions: Is the information accurate? Does the client have access or amendment rights? How can a correction preserve integrity? Do not treat all discomfort as error.</w:t>
            </w:r>
          </w:p>
        </w:tc>
      </w:tr>
    </w:tbl>
    <w:tbl>
      <w:tblPr>
        <w:tblW w:type="auto" w:w="0"/>
        <w:jc w:val="center"/>
        <w:tblLayout w:type="fixed"/>
        <w:tblLook w:firstColumn="1" w:firstRow="1" w:lastColumn="0" w:lastRow="0" w:noHBand="0" w:noVBand="1" w:val="04A0"/>
      </w:tblPr>
      <w:tblGrid>
        <w:gridCol w:w="10080"/>
      </w:tblGrid>
      <w:tr>
        <w:tc>
          <w:tcPr>
            <w:tcW w:type="dxa" w:w="10310"/>
            <w:shd w:fill="F3F4F6"/>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LIKELY ERROR CODE</w:t>
            </w:r>
          </w:p>
          <w:p>
            <w:pPr>
              <w:spacing w:before="0" w:after="0" w:line="240" w:lineRule="auto"/>
            </w:pPr>
            <w:r>
              <w:rPr>
                <w:rFonts w:ascii="Arial" w:hAnsi="Arial" w:eastAsia="Arial"/>
                <w:color w:val="1F2937"/>
                <w:sz w:val="15"/>
              </w:rPr>
              <w:t>R - Record-integrity and access error. Preserve accurate documentation, correct actual inaccuracies transparently, and follow the proper client-access or amendment process.</w:t>
            </w:r>
          </w:p>
        </w:tc>
      </w:tr>
    </w:tbl>
    <w:p>
      <w:r>
        <w:br w:type="page"/>
      </w:r>
    </w:p>
    <w:p>
      <w:pPr>
        <w:pStyle w:val="Heading2"/>
        <w:spacing w:before="0" w:after="60" w:line="245" w:lineRule="auto"/>
        <w:keepNext/>
      </w:pPr>
      <w:r>
        <w:rPr>
          <w:rFonts w:ascii="Arial" w:hAnsi="Arial" w:eastAsia="Arial"/>
          <w:b/>
          <w:color w:val="17365D"/>
          <w:sz w:val="21"/>
        </w:rPr>
        <w:t>Question 16 (LPCC-WB12-PB-Q016)</w:t>
      </w:r>
    </w:p>
    <w:p>
      <w:pPr>
        <w:spacing w:before="0" w:after="40" w:line="245" w:lineRule="auto"/>
      </w:pPr>
      <w:r>
        <w:rPr>
          <w:rFonts w:ascii="Arial" w:hAnsi="Arial" w:eastAsia="Arial"/>
          <w:b/>
          <w:i w:val="0"/>
          <w:color w:val="159C9C"/>
          <w:sz w:val="15"/>
        </w:rPr>
        <w:t>LPCC-WB12-PB-Q016 | Integrated Clinical Reasoning | Difficult | Primary concept: DEFEND billing date and diagnosis pressure</w:t>
      </w:r>
    </w:p>
    <w:p>
      <w:pPr>
        <w:spacing w:before="0" w:after="40" w:line="245" w:lineRule="auto"/>
      </w:pPr>
      <w:r>
        <w:rPr>
          <w:rFonts w:ascii="Arial" w:hAnsi="Arial" w:eastAsia="Arial"/>
          <w:b/>
          <w:i w:val="0"/>
          <w:color w:val="1F2937"/>
          <w:sz w:val="17"/>
        </w:rPr>
        <w:t>An insurer asks Dana to move the diagnosis date to an earlier session and add major depressive disorder, severe, even though the record does not support either change. What is the BEST response?</w:t>
      </w:r>
    </w:p>
    <w:p>
      <w:pPr>
        <w:spacing w:before="0" w:after="16" w:line="240" w:lineRule="auto"/>
        <w:ind w:left="259" w:hanging="259"/>
      </w:pPr>
      <w:r>
        <w:rPr>
          <w:rFonts w:ascii="Arial" w:hAnsi="Arial" w:eastAsia="Arial"/>
          <w:sz w:val="16"/>
        </w:rPr>
        <w:t>A. Refuse the false changes, maintain accurate dates and clinically supportable diagnoses, correct any legitimate claim error transparently, and use consultation or appeal channels as appropriate.</w:t>
      </w:r>
    </w:p>
    <w:p>
      <w:pPr>
        <w:spacing w:before="0" w:after="16" w:line="240" w:lineRule="auto"/>
        <w:ind w:left="259" w:hanging="259"/>
      </w:pPr>
      <w:r>
        <w:rPr>
          <w:rFonts w:ascii="Arial" w:hAnsi="Arial" w:eastAsia="Arial"/>
          <w:sz w:val="16"/>
        </w:rPr>
        <w:t>B. Make the changes because the client benefited from treatment.</w:t>
      </w:r>
    </w:p>
    <w:p>
      <w:pPr>
        <w:spacing w:before="0" w:after="16" w:line="240" w:lineRule="auto"/>
        <w:ind w:left="259" w:hanging="259"/>
      </w:pPr>
      <w:r>
        <w:rPr>
          <w:rFonts w:ascii="Arial" w:hAnsi="Arial" w:eastAsia="Arial"/>
          <w:sz w:val="16"/>
        </w:rPr>
        <w:t>C. Ask the practice manager to alter the claim so Dana is not personally involved.</w:t>
      </w:r>
    </w:p>
    <w:p>
      <w:pPr>
        <w:spacing w:before="0" w:after="16" w:line="240" w:lineRule="auto"/>
        <w:ind w:left="259" w:hanging="259"/>
      </w:pPr>
      <w:r>
        <w:rPr>
          <w:rFonts w:ascii="Arial" w:hAnsi="Arial" w:eastAsia="Arial"/>
          <w:sz w:val="16"/>
        </w:rPr>
        <w:t>D. Backdate a separate billing note while leaving the clinical record unchanged.</w:t>
      </w:r>
    </w:p>
    <w:tbl>
      <w:tblPr>
        <w:tblW w:type="auto" w:w="0"/>
        <w:jc w:val="center"/>
        <w:tblLayout w:type="fixed"/>
        <w:tblLook w:firstColumn="1" w:firstRow="1" w:lastColumn="0" w:lastRow="0" w:noHBand="0" w:noVBand="1" w:val="04A0"/>
      </w:tblPr>
      <w:tblGrid>
        <w:gridCol w:w="10080"/>
      </w:tblGrid>
      <w:tr>
        <w:tc>
          <w:tcPr>
            <w:tcW w:type="dxa" w:w="10310"/>
            <w:shd w:fill="E8F5F5"/>
            <w:tcMar>
              <w:top w:w="70" w:type="dxa"/>
              <w:start w:w="95" w:type="dxa"/>
              <w:bottom w:w="70" w:type="dxa"/>
              <w:end w:w="95" w:type="dxa"/>
            </w:tcMar>
            <w:tcBorders>
              <w:top w:val="single" w:sz="7" w:color="159C9C"/>
              <w:left w:val="single" w:sz="7" w:color="159C9C"/>
              <w:bottom w:val="single" w:sz="7" w:color="159C9C"/>
              <w:right w:val="single" w:sz="7" w:color="159C9C"/>
              <w:insideH w:val="single" w:sz="7" w:color="159C9C"/>
              <w:insideV w:val="single" w:sz="7" w:color="159C9C"/>
            </w:tcBorders>
          </w:tcPr>
          <w:p>
            <w:pPr>
              <w:spacing w:before="0" w:after="20" w:line="245" w:lineRule="auto"/>
            </w:pPr>
            <w:r>
              <w:rPr>
                <w:rFonts w:ascii="Arial" w:hAnsi="Arial" w:eastAsia="Arial"/>
                <w:b/>
                <w:color w:val="159C9C"/>
                <w:sz w:val="17"/>
              </w:rPr>
              <w:t>CORRECT ANSWER</w:t>
            </w:r>
          </w:p>
          <w:p>
            <w:pPr>
              <w:spacing w:before="0" w:after="0" w:line="240" w:lineRule="auto"/>
            </w:pPr>
            <w:r>
              <w:rPr>
                <w:rFonts w:ascii="Arial" w:hAnsi="Arial" w:eastAsia="Arial"/>
                <w:color w:val="1F2937"/>
                <w:sz w:val="16"/>
              </w:rPr>
              <w:t>A. Refuse the false changes, maintain accurate dates and clinically supportable diagnoses, correct any legitimate claim error transparently, and use consultation or appeal channels as appropriate.</w:t>
            </w:r>
          </w:p>
        </w:tc>
      </w:tr>
    </w:tbl>
    <w:p>
      <w:pPr>
        <w:pStyle w:val="Heading2"/>
        <w:spacing w:before="0" w:after="60" w:line="245" w:lineRule="auto"/>
        <w:keepNext/>
      </w:pPr>
      <w:r>
        <w:rPr>
          <w:rFonts w:ascii="Arial" w:hAnsi="Arial" w:eastAsia="Arial"/>
          <w:b/>
          <w:color w:val="17365D"/>
          <w:sz w:val="21"/>
        </w:rPr>
        <w:t>Why Each Option Is Correct or Incorrect</w:t>
      </w:r>
    </w:p>
    <w:p>
      <w:pPr>
        <w:spacing w:after="20" w:before="0" w:line="240" w:lineRule="auto"/>
      </w:pPr>
      <w:r>
        <w:rPr>
          <w:rFonts w:ascii="Arial" w:hAnsi="Arial" w:eastAsia="Arial"/>
          <w:b/>
          <w:color w:val="17365D"/>
          <w:sz w:val="16"/>
        </w:rPr>
        <w:t>A. Correct. Billing and clinical records must truthfully reflect the service date, provider, diagnosis, and care actually delivered.</w:t>
      </w:r>
      <w:r>
        <w:rPr>
          <w:rFonts w:ascii="Arial" w:hAnsi="Arial" w:eastAsia="Arial"/>
          <w:sz w:val="16"/>
        </w:rPr>
      </w:r>
    </w:p>
    <w:p>
      <w:pPr>
        <w:spacing w:after="20" w:before="0" w:line="240" w:lineRule="auto"/>
      </w:pPr>
      <w:r>
        <w:rPr>
          <w:rFonts w:ascii="Arial" w:hAnsi="Arial" w:eastAsia="Arial"/>
          <w:b/>
          <w:color w:val="17365D"/>
          <w:sz w:val="16"/>
        </w:rPr>
        <w:t>B. Incorrect. Clinical benefit does not justify false dates or unsupported diagnoses.</w:t>
      </w:r>
      <w:r>
        <w:rPr>
          <w:rFonts w:ascii="Arial" w:hAnsi="Arial" w:eastAsia="Arial"/>
          <w:sz w:val="16"/>
        </w:rPr>
      </w:r>
    </w:p>
    <w:p>
      <w:pPr>
        <w:spacing w:after="20" w:before="0" w:line="240" w:lineRule="auto"/>
      </w:pPr>
      <w:r>
        <w:rPr>
          <w:rFonts w:ascii="Arial" w:hAnsi="Arial" w:eastAsia="Arial"/>
          <w:b/>
          <w:color w:val="17365D"/>
          <w:sz w:val="16"/>
        </w:rPr>
        <w:t>C. Incorrect. Delegating the act does not make it accurate or ethical.</w:t>
      </w:r>
      <w:r>
        <w:rPr>
          <w:rFonts w:ascii="Arial" w:hAnsi="Arial" w:eastAsia="Arial"/>
          <w:sz w:val="16"/>
        </w:rPr>
      </w:r>
    </w:p>
    <w:p>
      <w:pPr>
        <w:spacing w:after="20" w:before="0" w:line="240" w:lineRule="auto"/>
      </w:pPr>
      <w:r>
        <w:rPr>
          <w:rFonts w:ascii="Arial" w:hAnsi="Arial" w:eastAsia="Arial"/>
          <w:b/>
          <w:color w:val="17365D"/>
          <w:sz w:val="16"/>
        </w:rPr>
        <w:t>D. Incorrect. A false billing record remains false even if the clinical note is unchanged.</w:t>
      </w:r>
      <w:r>
        <w:rPr>
          <w:rFonts w:ascii="Arial" w:hAnsi="Arial" w:eastAsia="Arial"/>
          <w:sz w:val="16"/>
        </w:rPr>
      </w:r>
    </w:p>
    <w:tbl>
      <w:tblPr>
        <w:tblW w:type="auto" w:w="0"/>
        <w:jc w:val="center"/>
        <w:tblLayout w:type="fixed"/>
        <w:tblLook w:firstColumn="1" w:firstRow="1" w:lastColumn="0" w:lastRow="0" w:noHBand="0" w:noVBand="1" w:val="04A0"/>
      </w:tblPr>
      <w:tblGrid>
        <w:gridCol w:w="10080"/>
      </w:tblGrid>
      <w:tr>
        <w:tc>
          <w:tcPr>
            <w:tcW w:type="dxa" w:w="10310"/>
            <w:shd w:fill="EAF1F8"/>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CTA EXAM STRATEGY</w:t>
            </w:r>
          </w:p>
          <w:p>
            <w:pPr>
              <w:spacing w:before="0" w:after="0" w:line="240" w:lineRule="auto"/>
            </w:pPr>
            <w:r>
              <w:rPr>
                <w:rFonts w:ascii="Arial" w:hAnsi="Arial" w:eastAsia="Arial"/>
                <w:color w:val="1F2937"/>
                <w:sz w:val="16"/>
              </w:rPr>
              <w:t>When billing and clinical pressure conflict, preserve truth across both systems. Use correction, appeal, and consultation - not false dates, diagnoses, or provider information.</w:t>
            </w:r>
          </w:p>
        </w:tc>
      </w:tr>
    </w:tbl>
    <w:tbl>
      <w:tblPr>
        <w:tblW w:type="auto" w:w="0"/>
        <w:jc w:val="center"/>
        <w:tblLayout w:type="fixed"/>
        <w:tblLook w:firstColumn="1" w:firstRow="1" w:lastColumn="0" w:lastRow="0" w:noHBand="0" w:noVBand="1" w:val="04A0"/>
      </w:tblPr>
      <w:tblGrid>
        <w:gridCol w:w="10080"/>
      </w:tblGrid>
      <w:tr>
        <w:tc>
          <w:tcPr>
            <w:tcW w:type="dxa" w:w="10310"/>
            <w:shd w:fill="F3F4F6"/>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LIKELY ERROR CODE</w:t>
            </w:r>
          </w:p>
          <w:p>
            <w:pPr>
              <w:spacing w:before="0" w:after="0" w:line="240" w:lineRule="auto"/>
            </w:pPr>
            <w:r>
              <w:rPr>
                <w:rFonts w:ascii="Arial" w:hAnsi="Arial" w:eastAsia="Arial"/>
                <w:color w:val="1F2937"/>
                <w:sz w:val="15"/>
              </w:rPr>
              <w:t>B - Billing-integrity error. Accurate records and claims must remain aligned even when reimbursement is denied or administrative pressure is strong.</w:t>
            </w:r>
          </w:p>
        </w:tc>
      </w:tr>
    </w:tbl>
    <w:p>
      <w:r>
        <w:br w:type="page"/>
      </w:r>
    </w:p>
    <w:p>
      <w:pPr>
        <w:pStyle w:val="Heading2"/>
        <w:spacing w:before="0" w:after="60" w:line="245" w:lineRule="auto"/>
        <w:keepNext/>
      </w:pPr>
      <w:r>
        <w:rPr>
          <w:rFonts w:ascii="Arial" w:hAnsi="Arial" w:eastAsia="Arial"/>
          <w:b/>
          <w:color w:val="17365D"/>
          <w:sz w:val="21"/>
        </w:rPr>
        <w:t>Question 17 (LPCC-WB12-PB-Q017)</w:t>
      </w:r>
    </w:p>
    <w:p>
      <w:pPr>
        <w:spacing w:before="0" w:after="40" w:line="245" w:lineRule="auto"/>
      </w:pPr>
      <w:r>
        <w:rPr>
          <w:rFonts w:ascii="Arial" w:hAnsi="Arial" w:eastAsia="Arial"/>
          <w:b/>
          <w:i w:val="0"/>
          <w:color w:val="159C9C"/>
          <w:sz w:val="15"/>
        </w:rPr>
        <w:t>LPCC-WB12-PB-Q017 | Integrated Clinical Reasoning | Difficult | Primary concept: DEFEND termination and continuity plan</w:t>
      </w:r>
    </w:p>
    <w:p>
      <w:pPr>
        <w:spacing w:before="0" w:after="40" w:line="245" w:lineRule="auto"/>
      </w:pPr>
      <w:r>
        <w:rPr>
          <w:rFonts w:ascii="Arial" w:hAnsi="Arial" w:eastAsia="Arial"/>
          <w:b/>
          <w:i w:val="0"/>
          <w:color w:val="1F2937"/>
          <w:sz w:val="17"/>
        </w:rPr>
        <w:t>Dana is leaving the clinic unexpectedly next week, and the manager says to cancel all future appointments without further contact. Marcella still needs active follow-up. What is the BEST professional response?</w:t>
      </w:r>
    </w:p>
    <w:p>
      <w:pPr>
        <w:spacing w:before="0" w:after="16" w:line="240" w:lineRule="auto"/>
        <w:ind w:left="259" w:hanging="259"/>
      </w:pPr>
      <w:r>
        <w:rPr>
          <w:rFonts w:ascii="Arial" w:hAnsi="Arial" w:eastAsia="Arial"/>
          <w:sz w:val="16"/>
        </w:rPr>
        <w:t>A. Follow the manager's instruction because employment policy controls termination.</w:t>
      </w:r>
    </w:p>
    <w:p>
      <w:pPr>
        <w:spacing w:before="0" w:after="16" w:line="240" w:lineRule="auto"/>
        <w:ind w:left="259" w:hanging="259"/>
      </w:pPr>
      <w:r>
        <w:rPr>
          <w:rFonts w:ascii="Arial" w:hAnsi="Arial" w:eastAsia="Arial"/>
          <w:sz w:val="16"/>
        </w:rPr>
        <w:t>B. Transfer Marcella to any available counselor without informing her.</w:t>
      </w:r>
    </w:p>
    <w:p>
      <w:pPr>
        <w:spacing w:before="0" w:after="16" w:line="240" w:lineRule="auto"/>
        <w:ind w:left="259" w:hanging="259"/>
      </w:pPr>
      <w:r>
        <w:rPr>
          <w:rFonts w:ascii="Arial" w:hAnsi="Arial" w:eastAsia="Arial"/>
          <w:sz w:val="16"/>
        </w:rPr>
        <w:t>C. Activate the practice continuity plan, provide reasonable communication and notice within the circumstances, arrange appropriate coverage or referrals, explain crisis and records procedures, obtain needed consent, and document the transition.</w:t>
      </w:r>
    </w:p>
    <w:p>
      <w:pPr>
        <w:spacing w:before="0" w:after="16" w:line="240" w:lineRule="auto"/>
        <w:ind w:left="259" w:hanging="259"/>
      </w:pPr>
      <w:r>
        <w:rPr>
          <w:rFonts w:ascii="Arial" w:hAnsi="Arial" w:eastAsia="Arial"/>
          <w:sz w:val="16"/>
        </w:rPr>
        <w:t>D. Leave one voicemail stating that Dana is no longer available and close the record.</w:t>
      </w:r>
    </w:p>
    <w:tbl>
      <w:tblPr>
        <w:tblW w:type="auto" w:w="0"/>
        <w:jc w:val="center"/>
        <w:tblLayout w:type="fixed"/>
        <w:tblLook w:firstColumn="1" w:firstRow="1" w:lastColumn="0" w:lastRow="0" w:noHBand="0" w:noVBand="1" w:val="04A0"/>
      </w:tblPr>
      <w:tblGrid>
        <w:gridCol w:w="10080"/>
      </w:tblGrid>
      <w:tr>
        <w:tc>
          <w:tcPr>
            <w:tcW w:type="dxa" w:w="10310"/>
            <w:shd w:fill="E8F5F5"/>
            <w:tcMar>
              <w:top w:w="70" w:type="dxa"/>
              <w:start w:w="95" w:type="dxa"/>
              <w:bottom w:w="70" w:type="dxa"/>
              <w:end w:w="95" w:type="dxa"/>
            </w:tcMar>
            <w:tcBorders>
              <w:top w:val="single" w:sz="7" w:color="159C9C"/>
              <w:left w:val="single" w:sz="7" w:color="159C9C"/>
              <w:bottom w:val="single" w:sz="7" w:color="159C9C"/>
              <w:right w:val="single" w:sz="7" w:color="159C9C"/>
              <w:insideH w:val="single" w:sz="7" w:color="159C9C"/>
              <w:insideV w:val="single" w:sz="7" w:color="159C9C"/>
            </w:tcBorders>
          </w:tcPr>
          <w:p>
            <w:pPr>
              <w:spacing w:before="0" w:after="20" w:line="245" w:lineRule="auto"/>
            </w:pPr>
            <w:r>
              <w:rPr>
                <w:rFonts w:ascii="Arial" w:hAnsi="Arial" w:eastAsia="Arial"/>
                <w:b/>
                <w:color w:val="159C9C"/>
                <w:sz w:val="17"/>
              </w:rPr>
              <w:t>CORRECT ANSWER</w:t>
            </w:r>
          </w:p>
          <w:p>
            <w:pPr>
              <w:spacing w:before="0" w:after="0" w:line="240" w:lineRule="auto"/>
            </w:pPr>
            <w:r>
              <w:rPr>
                <w:rFonts w:ascii="Arial" w:hAnsi="Arial" w:eastAsia="Arial"/>
                <w:color w:val="1F2937"/>
                <w:sz w:val="16"/>
              </w:rPr>
              <w:t>C. Activate the practice continuity plan, provide reasonable communication and notice within the circumstances, arrange appropriate coverage or referrals, explain crisis and records procedures, obtain needed consent, and document the transition.</w:t>
            </w:r>
          </w:p>
        </w:tc>
      </w:tr>
    </w:tbl>
    <w:p>
      <w:pPr>
        <w:pStyle w:val="Heading2"/>
        <w:spacing w:before="0" w:after="60" w:line="245" w:lineRule="auto"/>
        <w:keepNext/>
      </w:pPr>
      <w:r>
        <w:rPr>
          <w:rFonts w:ascii="Arial" w:hAnsi="Arial" w:eastAsia="Arial"/>
          <w:b/>
          <w:color w:val="17365D"/>
          <w:sz w:val="21"/>
        </w:rPr>
        <w:t>Why Each Option Is Correct or Incorrect</w:t>
      </w:r>
    </w:p>
    <w:p>
      <w:pPr>
        <w:spacing w:after="20" w:before="0" w:line="240" w:lineRule="auto"/>
      </w:pPr>
      <w:r>
        <w:rPr>
          <w:rFonts w:ascii="Arial" w:hAnsi="Arial" w:eastAsia="Arial"/>
          <w:b/>
          <w:color w:val="17365D"/>
          <w:sz w:val="16"/>
        </w:rPr>
        <w:t>A. Incorrect. Administrative policy does not erase client-welfare, continuity, and nonabandonment duties.</w:t>
      </w:r>
      <w:r>
        <w:rPr>
          <w:rFonts w:ascii="Arial" w:hAnsi="Arial" w:eastAsia="Arial"/>
          <w:sz w:val="16"/>
        </w:rPr>
      </w:r>
    </w:p>
    <w:p>
      <w:pPr>
        <w:spacing w:after="20" w:before="0" w:line="240" w:lineRule="auto"/>
      </w:pPr>
      <w:r>
        <w:rPr>
          <w:rFonts w:ascii="Arial" w:hAnsi="Arial" w:eastAsia="Arial"/>
          <w:b/>
          <w:color w:val="17365D"/>
          <w:sz w:val="16"/>
        </w:rPr>
        <w:t>B. Incorrect. Transfer requires appropriate client communication, consent, and role clarity.</w:t>
      </w:r>
      <w:r>
        <w:rPr>
          <w:rFonts w:ascii="Arial" w:hAnsi="Arial" w:eastAsia="Arial"/>
          <w:sz w:val="16"/>
        </w:rPr>
      </w:r>
    </w:p>
    <w:p>
      <w:pPr>
        <w:spacing w:after="20" w:before="0" w:line="240" w:lineRule="auto"/>
      </w:pPr>
      <w:r>
        <w:rPr>
          <w:rFonts w:ascii="Arial" w:hAnsi="Arial" w:eastAsia="Arial"/>
          <w:b/>
          <w:color w:val="17365D"/>
          <w:sz w:val="16"/>
        </w:rPr>
        <w:t>C. Correct. DEFEND reasoning protects ongoing care, access, emergency needs, records, and an accountable transfer despite sudden disruption.</w:t>
      </w:r>
      <w:r>
        <w:rPr>
          <w:rFonts w:ascii="Arial" w:hAnsi="Arial" w:eastAsia="Arial"/>
          <w:sz w:val="16"/>
        </w:rPr>
      </w:r>
    </w:p>
    <w:p>
      <w:pPr>
        <w:spacing w:after="20" w:before="0" w:line="240" w:lineRule="auto"/>
      </w:pPr>
      <w:r>
        <w:rPr>
          <w:rFonts w:ascii="Arial" w:hAnsi="Arial" w:eastAsia="Arial"/>
          <w:b/>
          <w:color w:val="17365D"/>
          <w:sz w:val="16"/>
        </w:rPr>
        <w:t>D. Incorrect. A single abrupt message is generally insufficient when active needs and transition planning remain.</w:t>
      </w:r>
      <w:r>
        <w:rPr>
          <w:rFonts w:ascii="Arial" w:hAnsi="Arial" w:eastAsia="Arial"/>
          <w:sz w:val="16"/>
        </w:rPr>
      </w:r>
    </w:p>
    <w:tbl>
      <w:tblPr>
        <w:tblW w:type="auto" w:w="0"/>
        <w:jc w:val="center"/>
        <w:tblLayout w:type="fixed"/>
        <w:tblLook w:firstColumn="1" w:firstRow="1" w:lastColumn="0" w:lastRow="0" w:noHBand="0" w:noVBand="1" w:val="04A0"/>
      </w:tblPr>
      <w:tblGrid>
        <w:gridCol w:w="10080"/>
      </w:tblGrid>
      <w:tr>
        <w:tc>
          <w:tcPr>
            <w:tcW w:type="dxa" w:w="10310"/>
            <w:shd w:fill="EAF1F8"/>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CTA EXAM STRATEGY</w:t>
            </w:r>
          </w:p>
          <w:p>
            <w:pPr>
              <w:spacing w:before="0" w:after="0" w:line="240" w:lineRule="auto"/>
            </w:pPr>
            <w:r>
              <w:rPr>
                <w:rFonts w:ascii="Arial" w:hAnsi="Arial" w:eastAsia="Arial"/>
                <w:color w:val="1F2937"/>
                <w:sz w:val="16"/>
              </w:rPr>
              <w:t>Termination questions reward preparation, reasonable notice, continuity, crisis information, records access, client choice, referral or coverage, and documentation - not abrupt disappearance.</w:t>
            </w:r>
          </w:p>
        </w:tc>
      </w:tr>
    </w:tbl>
    <w:tbl>
      <w:tblPr>
        <w:tblW w:type="auto" w:w="0"/>
        <w:jc w:val="center"/>
        <w:tblLayout w:type="fixed"/>
        <w:tblLook w:firstColumn="1" w:firstRow="1" w:lastColumn="0" w:lastRow="0" w:noHBand="0" w:noVBand="1" w:val="04A0"/>
      </w:tblPr>
      <w:tblGrid>
        <w:gridCol w:w="10080"/>
      </w:tblGrid>
      <w:tr>
        <w:tc>
          <w:tcPr>
            <w:tcW w:type="dxa" w:w="10310"/>
            <w:shd w:fill="F3F4F6"/>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LIKELY ERROR CODE</w:t>
            </w:r>
          </w:p>
          <w:p>
            <w:pPr>
              <w:spacing w:before="0" w:after="0" w:line="240" w:lineRule="auto"/>
            </w:pPr>
            <w:r>
              <w:rPr>
                <w:rFonts w:ascii="Arial" w:hAnsi="Arial" w:eastAsia="Arial"/>
                <w:color w:val="1F2937"/>
                <w:sz w:val="15"/>
              </w:rPr>
              <w:t>C - Continuity and closure error. Professional practice includes emergency coverage, planned transfer, records procedures, and nonabandonment safeguards.</w:t>
            </w:r>
          </w:p>
        </w:tc>
      </w:tr>
    </w:tbl>
    <w:p>
      <w:r>
        <w:br w:type="page"/>
      </w:r>
    </w:p>
    <w:p>
      <w:pPr>
        <w:pStyle w:val="Heading1"/>
        <w:spacing w:before="0" w:after="60" w:line="245" w:lineRule="auto"/>
        <w:keepNext/>
      </w:pPr>
      <w:r>
        <w:rPr>
          <w:rFonts w:ascii="Arial" w:hAnsi="Arial" w:eastAsia="Arial"/>
          <w:b/>
          <w:color w:val="159C9C"/>
          <w:sz w:val="28"/>
        </w:rPr>
        <w:t>Scoring and Error Analysis</w:t>
      </w:r>
    </w:p>
    <w:tbl>
      <w:tblPr>
        <w:tblW w:type="auto" w:w="0"/>
        <w:jc w:val="center"/>
        <w:tblLayout w:type="fixed"/>
        <w:tblLook w:firstColumn="1" w:firstRow="1" w:lastColumn="0" w:lastRow="0" w:noHBand="0" w:noVBand="1" w:val="04A0"/>
      </w:tblPr>
      <w:tblGrid>
        <w:gridCol w:w="5155"/>
        <w:gridCol w:w="5155"/>
      </w:tblGrid>
      <w:tr>
        <w:trPr>
          <w:tblHeader w:val="true"/>
        </w:trPr>
        <w:tc>
          <w:tcPr>
            <w:tcW w:type="dxa" w:w="6336"/>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Scoring Area</w:t>
            </w:r>
          </w:p>
        </w:tc>
        <w:tc>
          <w:tcPr>
            <w:tcW w:type="dxa" w:w="3744"/>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Result</w:t>
            </w:r>
          </w:p>
        </w:tc>
      </w:tr>
      <w:tr>
        <w:trPr>
          <w:cantSplit/>
          <w:trHeight w:val="403"/>
        </w:trPr>
        <w:tc>
          <w:tcPr>
            <w:tcW w:type="dxa" w:w="6336"/>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t>Raw score</w:t>
            </w:r>
          </w:p>
        </w:tc>
        <w:tc>
          <w:tcPr>
            <w:tcW w:type="dxa" w:w="374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t>____ / 17</w:t>
            </w:r>
          </w:p>
        </w:tc>
      </w:tr>
      <w:tr>
        <w:trPr>
          <w:cantSplit/>
          <w:trHeight w:val="403"/>
        </w:trPr>
        <w:tc>
          <w:tcPr>
            <w:tcW w:type="dxa" w:w="6336"/>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t>Easy</w:t>
            </w:r>
          </w:p>
        </w:tc>
        <w:tc>
          <w:tcPr>
            <w:tcW w:type="dxa" w:w="374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t>____ / 5</w:t>
            </w:r>
          </w:p>
        </w:tc>
      </w:tr>
      <w:tr>
        <w:trPr>
          <w:cantSplit/>
          <w:trHeight w:val="403"/>
        </w:trPr>
        <w:tc>
          <w:tcPr>
            <w:tcW w:type="dxa" w:w="6336"/>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t>Moderate</w:t>
            </w:r>
          </w:p>
        </w:tc>
        <w:tc>
          <w:tcPr>
            <w:tcW w:type="dxa" w:w="374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t>____ / 7</w:t>
            </w:r>
          </w:p>
        </w:tc>
      </w:tr>
      <w:tr>
        <w:trPr>
          <w:cantSplit/>
          <w:trHeight w:val="403"/>
        </w:trPr>
        <w:tc>
          <w:tcPr>
            <w:tcW w:type="dxa" w:w="6336"/>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t>Difficult</w:t>
            </w:r>
          </w:p>
        </w:tc>
        <w:tc>
          <w:tcPr>
            <w:tcW w:type="dxa" w:w="374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t>____ / 5</w:t>
            </w:r>
          </w:p>
        </w:tc>
      </w:tr>
      <w:tr>
        <w:trPr>
          <w:cantSplit/>
          <w:trHeight w:val="403"/>
        </w:trPr>
        <w:tc>
          <w:tcPr>
            <w:tcW w:type="dxa" w:w="6336"/>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t>High-confidence incorrect</w:t>
            </w:r>
          </w:p>
        </w:tc>
        <w:tc>
          <w:tcPr>
            <w:tcW w:type="dxa" w:w="374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t>____</w:t>
            </w:r>
          </w:p>
        </w:tc>
      </w:tr>
      <w:tr>
        <w:trPr>
          <w:cantSplit/>
          <w:trHeight w:val="403"/>
        </w:trPr>
        <w:tc>
          <w:tcPr>
            <w:tcW w:type="dxa" w:w="6336"/>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t>Low-confidence correct</w:t>
            </w:r>
          </w:p>
        </w:tc>
        <w:tc>
          <w:tcPr>
            <w:tcW w:type="dxa" w:w="374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t>____</w:t>
            </w:r>
          </w:p>
        </w:tc>
      </w:tr>
      <w:tr>
        <w:trPr>
          <w:cantSplit/>
          <w:trHeight w:val="403"/>
        </w:trPr>
        <w:tc>
          <w:tcPr>
            <w:tcW w:type="dxa" w:w="6336"/>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t>Case Questions 6-17</w:t>
            </w:r>
          </w:p>
        </w:tc>
        <w:tc>
          <w:tcPr>
            <w:tcW w:type="dxa" w:w="374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t>____ / 12</w:t>
            </w:r>
          </w:p>
        </w:tc>
      </w:tr>
      <w:tr>
        <w:trPr>
          <w:cantSplit/>
          <w:trHeight w:val="403"/>
        </w:trPr>
        <w:tc>
          <w:tcPr>
            <w:tcW w:type="dxa" w:w="6336"/>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t>Targeted Questions 1-5</w:t>
            </w:r>
          </w:p>
        </w:tc>
        <w:tc>
          <w:tcPr>
            <w:tcW w:type="dxa" w:w="374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t>____ / 5</w:t>
            </w:r>
          </w:p>
        </w:tc>
      </w:tr>
    </w:tbl>
    <w:p>
      <w:pPr>
        <w:pStyle w:val="Heading2"/>
        <w:spacing w:before="0" w:after="60" w:line="245" w:lineRule="auto"/>
        <w:keepNext/>
      </w:pPr>
      <w:r>
        <w:rPr>
          <w:rFonts w:ascii="Arial" w:hAnsi="Arial" w:eastAsia="Arial"/>
          <w:b/>
          <w:color w:val="17365D"/>
          <w:sz w:val="21"/>
        </w:rPr>
        <w:t>Workbook 12 Error-Code Guide</w:t>
      </w:r>
    </w:p>
    <w:tbl>
      <w:tblPr>
        <w:tblW w:type="auto" w:w="0"/>
        <w:jc w:val="center"/>
        <w:tblLayout w:type="fixed"/>
        <w:tblLook w:firstColumn="1" w:firstRow="1" w:lastColumn="0" w:lastRow="0" w:noHBand="0" w:noVBand="1" w:val="04A0"/>
      </w:tblPr>
      <w:tblGrid>
        <w:gridCol w:w="3437"/>
        <w:gridCol w:w="3437"/>
        <w:gridCol w:w="3437"/>
      </w:tblGrid>
      <w:tr>
        <w:trPr>
          <w:tblHeader w:val="true"/>
        </w:trPr>
        <w:tc>
          <w:tcPr>
            <w:tcW w:type="dxa" w:w="648"/>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Code</w:t>
            </w:r>
          </w:p>
        </w:tc>
        <w:tc>
          <w:tcPr>
            <w:tcW w:type="dxa" w:w="3024"/>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Meaning</w:t>
            </w:r>
          </w:p>
        </w:tc>
        <w:tc>
          <w:tcPr>
            <w:tcW w:type="dxa" w:w="6408"/>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Remediation Question</w:t>
            </w:r>
          </w:p>
        </w:tc>
      </w:tr>
      <w:tr>
        <w:trPr>
          <w:cantSplit/>
        </w:trPr>
        <w:tc>
          <w:tcPr>
            <w:tcW w:type="dxa" w:w="648"/>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L</w:t>
            </w:r>
          </w:p>
        </w:tc>
        <w:tc>
          <w:tcPr>
            <w:tcW w:type="dxa" w:w="302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LAYER authority error</w:t>
            </w:r>
          </w:p>
        </w:tc>
        <w:tc>
          <w:tcPr>
            <w:tcW w:type="dxa" w:w="6408"/>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Did I identify the highest controlling authority before following policy, supervision, contract, or convenience?</w:t>
            </w:r>
          </w:p>
        </w:tc>
      </w:tr>
      <w:tr>
        <w:trPr>
          <w:cantSplit/>
        </w:trPr>
        <w:tc>
          <w:tcPr>
            <w:tcW w:type="dxa" w:w="648"/>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P</w:t>
            </w:r>
          </w:p>
        </w:tc>
        <w:tc>
          <w:tcPr>
            <w:tcW w:type="dxa" w:w="302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PRIVACY concept error</w:t>
            </w:r>
          </w:p>
        </w:tc>
        <w:tc>
          <w:tcPr>
            <w:tcW w:type="dxa" w:w="6408"/>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Did I distinguish privacy, confidentiality, privilege, authorization, access, and minimum-necessary disclosure?</w:t>
            </w:r>
          </w:p>
        </w:tc>
      </w:tr>
      <w:tr>
        <w:trPr>
          <w:cantSplit/>
        </w:trPr>
        <w:tc>
          <w:tcPr>
            <w:tcW w:type="dxa" w:w="648"/>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G</w:t>
            </w:r>
          </w:p>
        </w:tc>
        <w:tc>
          <w:tcPr>
            <w:tcW w:type="dxa" w:w="302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TRIGGER duty error</w:t>
            </w:r>
          </w:p>
        </w:tc>
        <w:tc>
          <w:tcPr>
            <w:tcW w:type="dxa" w:w="6408"/>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Did I identify the exact legal trigger, threshold, recipient, deadline, and follow-up duty?</w:t>
            </w:r>
          </w:p>
        </w:tc>
      </w:tr>
      <w:tr>
        <w:trPr>
          <w:cantSplit/>
        </w:trPr>
        <w:tc>
          <w:tcPr>
            <w:tcW w:type="dxa" w:w="648"/>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T</w:t>
            </w:r>
          </w:p>
        </w:tc>
        <w:tc>
          <w:tcPr>
            <w:tcW w:type="dxa" w:w="302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TECH governance error</w:t>
            </w:r>
          </w:p>
        </w:tc>
        <w:tc>
          <w:tcPr>
            <w:tcW w:type="dxa" w:w="6408"/>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Did I verify location, jurisdiction, consent, data flow, security, clinical fit, accuracy, and human oversight?</w:t>
            </w:r>
          </w:p>
        </w:tc>
      </w:tr>
      <w:tr>
        <w:trPr>
          <w:cantSplit/>
        </w:trPr>
        <w:tc>
          <w:tcPr>
            <w:tcW w:type="dxa" w:w="648"/>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D</w:t>
            </w:r>
          </w:p>
        </w:tc>
        <w:tc>
          <w:tcPr>
            <w:tcW w:type="dxa" w:w="302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Documentation-sequence error</w:t>
            </w:r>
          </w:p>
        </w:tc>
        <w:tc>
          <w:tcPr>
            <w:tcW w:type="dxa" w:w="6408"/>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Did the record show facts, assessment, action, rationale, communication, consultation, and follow-up?</w:t>
            </w:r>
          </w:p>
        </w:tc>
      </w:tr>
      <w:tr>
        <w:trPr>
          <w:cantSplit/>
        </w:trPr>
        <w:tc>
          <w:tcPr>
            <w:tcW w:type="dxa" w:w="648"/>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R</w:t>
            </w:r>
          </w:p>
        </w:tc>
        <w:tc>
          <w:tcPr>
            <w:tcW w:type="dxa" w:w="302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Record-integrity error</w:t>
            </w:r>
          </w:p>
        </w:tc>
        <w:tc>
          <w:tcPr>
            <w:tcW w:type="dxa" w:w="6408"/>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Did I preserve the original or audit trail and correct only actual inaccuracies transparently?</w:t>
            </w:r>
          </w:p>
        </w:tc>
      </w:tr>
      <w:tr>
        <w:trPr>
          <w:cantSplit/>
        </w:trPr>
        <w:tc>
          <w:tcPr>
            <w:tcW w:type="dxa" w:w="648"/>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A</w:t>
            </w:r>
          </w:p>
        </w:tc>
        <w:tc>
          <w:tcPr>
            <w:tcW w:type="dxa" w:w="302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Authorization-scope error</w:t>
            </w:r>
          </w:p>
        </w:tc>
        <w:tc>
          <w:tcPr>
            <w:tcW w:type="dxa" w:w="6408"/>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Did I confirm recipient, purpose, information, duration, and limits before disclosure?</w:t>
            </w:r>
          </w:p>
        </w:tc>
      </w:tr>
      <w:tr>
        <w:trPr>
          <w:cantSplit/>
        </w:trPr>
        <w:tc>
          <w:tcPr>
            <w:tcW w:type="dxa" w:w="648"/>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S</w:t>
            </w:r>
          </w:p>
        </w:tc>
        <w:tc>
          <w:tcPr>
            <w:tcW w:type="dxa" w:w="302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Subpoena-response error</w:t>
            </w:r>
          </w:p>
        </w:tc>
        <w:tc>
          <w:tcPr>
            <w:tcW w:type="dxa" w:w="6408"/>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Did I preserve the request and records, protect privilege, obtain guidance, and respond only within authority?</w:t>
            </w:r>
          </w:p>
        </w:tc>
      </w:tr>
      <w:tr>
        <w:trPr>
          <w:cantSplit/>
        </w:trPr>
        <w:tc>
          <w:tcPr>
            <w:tcW w:type="dxa" w:w="648"/>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B</w:t>
            </w:r>
          </w:p>
        </w:tc>
        <w:tc>
          <w:tcPr>
            <w:tcW w:type="dxa" w:w="302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Billing-integrity error</w:t>
            </w:r>
          </w:p>
        </w:tc>
        <w:tc>
          <w:tcPr>
            <w:tcW w:type="dxa" w:w="6408"/>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Did records and claims truthfully reflect the service, date, provider, diagnosis, time, and coding?</w:t>
            </w:r>
          </w:p>
        </w:tc>
      </w:tr>
      <w:tr>
        <w:trPr>
          <w:cantSplit/>
        </w:trPr>
        <w:tc>
          <w:tcPr>
            <w:tcW w:type="dxa" w:w="648"/>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C</w:t>
            </w:r>
          </w:p>
        </w:tc>
        <w:tc>
          <w:tcPr>
            <w:tcW w:type="dxa" w:w="302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Continuity and closure error</w:t>
            </w:r>
          </w:p>
        </w:tc>
        <w:tc>
          <w:tcPr>
            <w:tcW w:type="dxa" w:w="6408"/>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4"/>
              </w:rPr>
              <w:t>Did I provide reasonable notice, coverage, referrals, crisis information, records access, consent, and documented transfer?</w:t>
            </w:r>
          </w:p>
        </w:tc>
      </w:tr>
    </w:tbl>
    <w:tbl>
      <w:tblPr>
        <w:tblW w:type="auto" w:w="0"/>
        <w:jc w:val="center"/>
        <w:tblLayout w:type="fixed"/>
        <w:tblLook w:firstColumn="1" w:firstRow="1" w:lastColumn="0" w:lastRow="0" w:noHBand="0" w:noVBand="1" w:val="04A0"/>
      </w:tblPr>
      <w:tblGrid>
        <w:gridCol w:w="10080"/>
      </w:tblGrid>
      <w:tr>
        <w:tc>
          <w:tcPr>
            <w:tcW w:type="dxa" w:w="10310"/>
            <w:shd w:fill="EAF1F8"/>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INTERPRETATION RULE</w:t>
            </w:r>
          </w:p>
          <w:p>
            <w:pPr>
              <w:spacing w:before="0" w:after="0" w:line="240" w:lineRule="auto"/>
            </w:pPr>
            <w:r>
              <w:rPr>
                <w:rFonts w:ascii="Arial" w:hAnsi="Arial" w:eastAsia="Arial"/>
                <w:color w:val="1F2937"/>
                <w:sz w:val="16"/>
              </w:rPr>
              <w:t>A correct answer with low confidence still deserves review. A repeated error code is more useful than one raw score because it identifies the decision process to change.</w:t>
            </w:r>
          </w:p>
        </w:tc>
      </w:tr>
    </w:tbl>
    <w:p>
      <w:r>
        <w:br w:type="page"/>
      </w:r>
    </w:p>
    <w:p>
      <w:pPr>
        <w:pStyle w:val="Heading1"/>
        <w:spacing w:before="0" w:after="60" w:line="245" w:lineRule="auto"/>
        <w:keepNext/>
      </w:pPr>
      <w:r>
        <w:rPr>
          <w:rFonts w:ascii="Arial" w:hAnsi="Arial" w:eastAsia="Arial"/>
          <w:b/>
          <w:color w:val="159C9C"/>
          <w:sz w:val="28"/>
        </w:rPr>
        <w:t>Remediation Record</w:t>
      </w:r>
    </w:p>
    <w:tbl>
      <w:tblPr>
        <w:tblW w:type="auto" w:w="0"/>
        <w:jc w:val="center"/>
        <w:tblLayout w:type="fixed"/>
        <w:tblLook w:firstColumn="1" w:firstRow="1" w:lastColumn="0" w:lastRow="0" w:noHBand="0" w:noVBand="1" w:val="04A0"/>
      </w:tblPr>
      <w:tblGrid>
        <w:gridCol w:w="2577"/>
        <w:gridCol w:w="2577"/>
        <w:gridCol w:w="2577"/>
        <w:gridCol w:w="2577"/>
      </w:tblGrid>
      <w:tr>
        <w:trPr>
          <w:tblHeader w:val="true"/>
        </w:trPr>
        <w:tc>
          <w:tcPr>
            <w:tcW w:type="dxa" w:w="936"/>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Question</w:t>
            </w:r>
          </w:p>
        </w:tc>
        <w:tc>
          <w:tcPr>
            <w:tcW w:type="dxa" w:w="1440"/>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Error Code</w:t>
            </w:r>
          </w:p>
        </w:tc>
        <w:tc>
          <w:tcPr>
            <w:tcW w:type="dxa" w:w="4176"/>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Why My Answer Was Weaker</w:t>
            </w:r>
          </w:p>
        </w:tc>
        <w:tc>
          <w:tcPr>
            <w:tcW w:type="dxa" w:w="3528"/>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Transferable Correction Rule</w:t>
            </w:r>
          </w:p>
        </w:tc>
      </w:tr>
      <w:tr>
        <w:trPr>
          <w:cantSplit/>
          <w:trHeight w:val="691"/>
        </w:trPr>
        <w:tc>
          <w:tcPr>
            <w:tcW w:type="dxa" w:w="936"/>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144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4176"/>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3528"/>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r>
      <w:tr>
        <w:trPr>
          <w:cantSplit/>
          <w:trHeight w:val="691"/>
        </w:trPr>
        <w:tc>
          <w:tcPr>
            <w:tcW w:type="dxa" w:w="936"/>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144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4176"/>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3528"/>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r>
      <w:tr>
        <w:trPr>
          <w:cantSplit/>
          <w:trHeight w:val="691"/>
        </w:trPr>
        <w:tc>
          <w:tcPr>
            <w:tcW w:type="dxa" w:w="936"/>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144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4176"/>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3528"/>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r>
      <w:tr>
        <w:trPr>
          <w:cantSplit/>
          <w:trHeight w:val="691"/>
        </w:trPr>
        <w:tc>
          <w:tcPr>
            <w:tcW w:type="dxa" w:w="936"/>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144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4176"/>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3528"/>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r>
      <w:tr>
        <w:trPr>
          <w:cantSplit/>
          <w:trHeight w:val="691"/>
        </w:trPr>
        <w:tc>
          <w:tcPr>
            <w:tcW w:type="dxa" w:w="936"/>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144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4176"/>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3528"/>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r>
      <w:tr>
        <w:trPr>
          <w:cantSplit/>
          <w:trHeight w:val="691"/>
        </w:trPr>
        <w:tc>
          <w:tcPr>
            <w:tcW w:type="dxa" w:w="936"/>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144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4176"/>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3528"/>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r>
    </w:tbl>
    <w:p>
      <w:pPr>
        <w:pStyle w:val="Heading2"/>
        <w:spacing w:before="0" w:after="60" w:line="245" w:lineRule="auto"/>
        <w:keepNext/>
      </w:pPr>
      <w:r>
        <w:rPr>
          <w:rFonts w:ascii="Arial" w:hAnsi="Arial" w:eastAsia="Arial"/>
          <w:b/>
          <w:color w:val="17365D"/>
          <w:sz w:val="21"/>
        </w:rPr>
        <w:t>Build a New Application Item</w:t>
      </w:r>
    </w:p>
    <w:p>
      <w:pPr>
        <w:pStyle w:val="ListNumber"/>
        <w:spacing w:before="0" w:after="20" w:line="245" w:lineRule="auto"/>
      </w:pPr>
      <w:r>
        <w:rPr>
          <w:rFonts w:ascii="Arial" w:hAnsi="Arial"/>
          <w:sz w:val="16"/>
        </w:rPr>
        <w:t>Select one missed authority, privacy, duty, technology, documentation, billing, or continuity rule.</w:t>
      </w:r>
    </w:p>
    <w:p>
      <w:pPr>
        <w:pStyle w:val="ListNumber"/>
        <w:spacing w:before="0" w:after="20" w:line="245" w:lineRule="auto"/>
      </w:pPr>
      <w:r>
        <w:rPr>
          <w:rFonts w:ascii="Arial" w:hAnsi="Arial"/>
          <w:sz w:val="16"/>
        </w:rPr>
        <w:t>Write a new two- or three-sentence clinical stem using different facts and enough evidence to identify the controlling authority and professional task.</w:t>
      </w:r>
    </w:p>
    <w:p>
      <w:pPr>
        <w:pStyle w:val="ListNumber"/>
        <w:spacing w:before="0" w:after="20" w:line="245" w:lineRule="auto"/>
      </w:pPr>
      <w:r>
        <w:rPr>
          <w:rFonts w:ascii="Arial" w:hAnsi="Arial"/>
          <w:sz w:val="16"/>
        </w:rPr>
        <w:t>Create one best answer that follows LAYER, PRIVACY, TRIGGER, TECH, or DEFEND.</w:t>
      </w:r>
    </w:p>
    <w:p>
      <w:pPr>
        <w:pStyle w:val="ListNumber"/>
        <w:spacing w:before="0" w:after="20" w:line="245" w:lineRule="auto"/>
      </w:pPr>
      <w:r>
        <w:rPr>
          <w:rFonts w:ascii="Arial" w:hAnsi="Arial"/>
          <w:sz w:val="16"/>
        </w:rPr>
        <w:t>Create three plausible distractors: policy over law, automatic disclosure, delayed reporting, blanket consent, jurisdiction avoidance, silent record alteration, false billing, or abrupt termination.</w:t>
      </w:r>
    </w:p>
    <w:p>
      <w:pPr>
        <w:pStyle w:val="ListNumber"/>
        <w:spacing w:before="0" w:after="20" w:line="245" w:lineRule="auto"/>
      </w:pPr>
      <w:r>
        <w:rPr>
          <w:rFonts w:ascii="Arial" w:hAnsi="Arial"/>
          <w:sz w:val="16"/>
        </w:rPr>
        <w:t>Explain why the best answer is stronger through authority, client rights, scope, timing, minimum disclosure, accurate documentation, consultation, and continuity.</w:t>
      </w:r>
    </w:p>
    <w:tbl>
      <w:tblPr>
        <w:tblW w:type="auto" w:w="0"/>
        <w:jc w:val="center"/>
        <w:tblLayout w:type="fixed"/>
        <w:tblLook w:firstColumn="1" w:firstRow="1" w:lastColumn="0" w:lastRow="0" w:noHBand="0" w:noVBand="1" w:val="04A0"/>
      </w:tblPr>
      <w:tblGrid>
        <w:gridCol w:w="10080"/>
      </w:tblGrid>
      <w:tr>
        <w:tc>
          <w:tcPr>
            <w:tcW w:type="dxa" w:w="10310"/>
            <w:shd w:fill="E8F5F5"/>
            <w:tcMar>
              <w:top w:w="70" w:type="dxa"/>
              <w:start w:w="95" w:type="dxa"/>
              <w:bottom w:w="70" w:type="dxa"/>
              <w:end w:w="95" w:type="dxa"/>
            </w:tcMar>
            <w:tcBorders>
              <w:top w:val="single" w:sz="7" w:color="159C9C"/>
              <w:left w:val="single" w:sz="7" w:color="159C9C"/>
              <w:bottom w:val="single" w:sz="7" w:color="159C9C"/>
              <w:right w:val="single" w:sz="7" w:color="159C9C"/>
              <w:insideH w:val="single" w:sz="7" w:color="159C9C"/>
              <w:insideV w:val="single" w:sz="7" w:color="159C9C"/>
            </w:tcBorders>
          </w:tcPr>
          <w:p>
            <w:pPr>
              <w:spacing w:before="0" w:after="20" w:line="245" w:lineRule="auto"/>
            </w:pPr>
            <w:r>
              <w:rPr>
                <w:rFonts w:ascii="Arial" w:hAnsi="Arial" w:eastAsia="Arial"/>
                <w:b/>
                <w:color w:val="159C9C"/>
                <w:sz w:val="17"/>
              </w:rPr>
              <w:t>MY NEXT STUDY PRIORITY</w:t>
            </w:r>
          </w:p>
          <w:p>
            <w:pPr>
              <w:spacing w:before="0" w:after="0" w:line="240" w:lineRule="auto"/>
            </w:pPr>
            <w:r>
              <w:rPr>
                <w:rFonts w:ascii="Arial" w:hAnsi="Arial" w:eastAsia="Arial"/>
                <w:color w:val="1F2937"/>
                <w:sz w:val="16"/>
              </w:rPr>
              <w:t>Tool or topic: ________________________________    Review date: ________________</w:t>
              <w:br/>
              <w:t>New practice item or case to complete: _________________________________</w:t>
            </w:r>
          </w:p>
        </w:tc>
      </w:tr>
    </w:tbl>
    <w:tbl>
      <w:tblPr>
        <w:tblW w:type="auto" w:w="0"/>
        <w:jc w:val="center"/>
        <w:tblLayout w:type="fixed"/>
        <w:tblLook w:firstColumn="1" w:firstRow="1" w:lastColumn="0" w:lastRow="0" w:noHBand="0" w:noVBand="1" w:val="04A0"/>
      </w:tblPr>
      <w:tblGrid>
        <w:gridCol w:w="10080"/>
      </w:tblGrid>
      <w:tr>
        <w:tc>
          <w:tcPr>
            <w:tcW w:type="dxa" w:w="10310"/>
            <w:shd w:fill="FFF7D6"/>
            <w:tcMar>
              <w:top w:w="70" w:type="dxa"/>
              <w:start w:w="95" w:type="dxa"/>
              <w:bottom w:w="70" w:type="dxa"/>
              <w:end w:w="95" w:type="dxa"/>
            </w:tcMar>
            <w:tcBorders>
              <w:top w:val="single" w:sz="7" w:color="D6B656"/>
              <w:left w:val="single" w:sz="7" w:color="D6B656"/>
              <w:bottom w:val="single" w:sz="7" w:color="D6B656"/>
              <w:right w:val="single" w:sz="7" w:color="D6B656"/>
              <w:insideH w:val="single" w:sz="7" w:color="D6B656"/>
              <w:insideV w:val="single" w:sz="7" w:color="D6B656"/>
            </w:tcBorders>
          </w:tcPr>
          <w:p>
            <w:pPr>
              <w:spacing w:before="0" w:after="20" w:line="245" w:lineRule="auto"/>
            </w:pPr>
            <w:r>
              <w:rPr>
                <w:rFonts w:ascii="Arial" w:hAnsi="Arial" w:eastAsia="Arial"/>
                <w:b/>
                <w:color w:val="17365D"/>
                <w:sz w:val="17"/>
              </w:rPr>
              <w:t>PROGRESS, NOT A GUARANTEE</w:t>
            </w:r>
          </w:p>
          <w:p>
            <w:pPr>
              <w:spacing w:before="0" w:after="0" w:line="240" w:lineRule="auto"/>
            </w:pPr>
            <w:r>
              <w:rPr>
                <w:rFonts w:ascii="Arial" w:hAnsi="Arial" w:eastAsia="Arial"/>
                <w:color w:val="1F2937"/>
                <w:sz w:val="15"/>
              </w:rPr>
              <w:t>Use this bank to improve reasoning, not to predict an official examination result. CTA practice scores are not NBCC scaled scores and do not establish licensure readiness by themselves.</w:t>
            </w:r>
          </w:p>
        </w:tc>
      </w:tr>
    </w:tbl>
    <w:sectPr w:rsidR="00FC693F" w:rsidRPr="0006063C" w:rsidSect="00034616">
      <w:headerReference w:type="default" r:id="rId9"/>
      <w:footerReference w:type="default" r:id="rId10"/>
      <w:headerReference w:type="first" r:id="rId12"/>
      <w:headerReference w:type="even" r:id="rId13"/>
      <w:footerReference w:type="first" r:id="rId14"/>
      <w:footerReference w:type="even" r:id="rId15"/>
      <w:pgSz w:w="12240" w:h="15840"/>
      <w:pgMar w:top="922" w:right="965" w:bottom="893" w:left="965" w:header="317"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eastAsia="Arial"/>
        <w:color w:val="6B7280"/>
        <w:sz w:val="14"/>
      </w:rPr>
      <w:t xml:space="preserve">Clinical Training Academy - LPCC WB12 Practice Bank Answer &amp; Rationales v1.0  |  Page </w:t>
    </w: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5256"/>
      <w:gridCol w:w="5256"/>
    </w:tblGrid>
    <w:tr>
      <w:trPr>
        <w:tblHeader w:val="true"/>
      </w:trPr>
      <w:tc>
        <w:tcPr>
          <w:tcW w:type="dxa" w:w="2520"/>
          <w:tcMar>
            <w:top w:w="0" w:type="dxa"/>
            <w:start w:w="0" w:type="dxa"/>
            <w:bottom w:w="0" w:type="dxa"/>
            <w:end w:w="0" w:type="dxa"/>
          </w:tcMar>
        </w:tcPr>
        <w:p>
          <w:pPr>
            <w:spacing w:after="0"/>
          </w:pPr>
          <w:r>
            <w:drawing>
              <wp:inline xmlns:a="http://schemas.openxmlformats.org/drawingml/2006/main" xmlns:pic="http://schemas.openxmlformats.org/drawingml/2006/picture">
                <wp:extent cx="1417320" cy="320220"/>
                <wp:docPr id="1" name="CTA horizontal logo" descr="Clinical Training and Supervision Academy logo"/>
                <wp:cNvGraphicFramePr>
                  <a:graphicFrameLocks noChangeAspect="1"/>
                </wp:cNvGraphicFramePr>
                <a:graphic>
                  <a:graphicData uri="http://schemas.openxmlformats.org/drawingml/2006/picture">
                    <pic:pic>
                      <pic:nvPicPr>
                        <pic:cNvPr id="0" name="CTA_Horizontal_Logo.png"/>
                        <pic:cNvPicPr/>
                      </pic:nvPicPr>
                      <pic:blipFill>
                        <a:blip r:embed="rId1"/>
                        <a:stretch>
                          <a:fillRect/>
                        </a:stretch>
                      </pic:blipFill>
                      <pic:spPr>
                        <a:xfrm>
                          <a:off x="0" y="0"/>
                          <a:ext cx="1417320" cy="320220"/>
                        </a:xfrm>
                        <a:prstGeom prst="rect"/>
                      </pic:spPr>
                    </pic:pic>
                  </a:graphicData>
                </a:graphic>
              </wp:inline>
            </w:drawing>
          </w:r>
        </w:p>
      </w:tc>
      <w:tc>
        <w:tcPr>
          <w:tcW w:type="dxa" w:w="7992"/>
          <w:tcMar>
            <w:top w:w="0" w:type="dxa"/>
            <w:start w:w="0" w:type="dxa"/>
            <w:bottom w:w="0" w:type="dxa"/>
            <w:end w:w="0" w:type="dxa"/>
          </w:tcMar>
        </w:tcPr>
        <w:p>
          <w:pPr>
            <w:jc w:val="right"/>
          </w:pPr>
          <w:r>
            <w:rPr>
              <w:rFonts w:ascii="Arial" w:hAnsi="Arial" w:eastAsia="Arial"/>
              <w:color w:val="17365D"/>
              <w:sz w:val="14"/>
            </w:rPr>
            <w:t>CTA LPCC WB12 - 17-Question Practice Bank - Answer &amp; Rationales</w:t>
          </w:r>
        </w:p>
      </w:tc>
    </w:tr>
  </w:tbl>
  <w:p>
    <w:pPr>
      <w:spacing w:after="0"/>
      <w:pBdr>
        <w:bottom w:val="single" w:sz="5" w:space="1" w:color="159C9C"/>
      </w:pBd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rial" w:hAnsi="Arial" w:eastAsia="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eastAsia="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159C9C"/>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0"/>
    </w:rPr>
  </w:style>
  <w:style w:type="paragraph" w:styleId="ListBullet2">
    <w:name w:val="List Bullet 2"/>
    <w:basedOn w:val="Normal"/>
    <w:uiPriority w:val="99"/>
    <w:unhideWhenUsed/>
    <w:rsid w:val="00326F90"/>
    <w:pPr>
      <w:numPr>
        <w:numId w:val="2"/>
      </w:numPr>
      <w:contextualSpacing/>
    </w:pPr>
    <w:rPr>
      <w:rFonts w:ascii="Arial" w:hAnsi="Arial" w:eastAsia="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LPCC Workbook 12 17-Question Practice Bank - Answer and Rationales</dc:title>
  <dc:subject>California Legal, Ethical, Documentation, Technology, and Professional Practice</dc:subject>
  <dc:creator>Clinical Training Academy</dc:creator>
  <cp:keywords>LPCC, NCMHCE, evidence-based interventions, rationales</cp:keywords>
  <dc:description>Answer and Rationales v1.0 - July 2026</dc:description>
  <cp:lastModifiedBy/>
  <cp:revision>1</cp:revision>
  <dcterms:created xsi:type="dcterms:W3CDTF">2013-12-23T23:15:00Z</dcterms:created>
  <dcterms:modified xsi:type="dcterms:W3CDTF">2013-12-23T23:15:00Z</dcterms:modified>
  <cp:category/>
</cp:coreProperties>
</file>