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jc w:val="center"/>
      </w:pPr>
      <w:r>
        <w:drawing>
          <wp:inline xmlns:a="http://schemas.openxmlformats.org/drawingml/2006/main" xmlns:pic="http://schemas.openxmlformats.org/drawingml/2006/picture">
            <wp:extent cx="2148840" cy="1553281"/>
            <wp:docPr id="1" name="CTA stacked logo" descr="Clinical Training and Supervision Academy logo"/>
            <wp:cNvGraphicFramePr>
              <a:graphicFrameLocks noChangeAspect="1"/>
            </wp:cNvGraphicFramePr>
            <a:graphic>
              <a:graphicData uri="http://schemas.openxmlformats.org/drawingml/2006/picture">
                <pic:pic>
                  <pic:nvPicPr>
                    <pic:cNvPr id="0" name="CTA_Stacked_Logo(3).png"/>
                    <pic:cNvPicPr/>
                  </pic:nvPicPr>
                  <pic:blipFill>
                    <a:blip r:embed="rId11"/>
                    <a:stretch>
                      <a:fillRect/>
                    </a:stretch>
                  </pic:blipFill>
                  <pic:spPr>
                    <a:xfrm>
                      <a:off x="0" y="0"/>
                      <a:ext cx="2148840" cy="1553281"/>
                    </a:xfrm>
                    <a:prstGeom prst="rect"/>
                  </pic:spPr>
                </pic:pic>
              </a:graphicData>
            </a:graphic>
          </wp:inline>
        </w:drawing>
      </w:r>
    </w:p>
    <w:p>
      <w:pPr>
        <w:spacing w:before="40" w:after="100" w:line="254" w:lineRule="auto"/>
        <w:jc w:val="center"/>
      </w:pPr>
      <w:r>
        <w:rPr>
          <w:rFonts w:ascii="Arial" w:hAnsi="Arial" w:eastAsia="Arial"/>
          <w:b/>
          <w:i w:val="0"/>
          <w:color w:val="1F7A8C"/>
          <w:sz w:val="25"/>
        </w:rPr>
        <w:t>LPCC NCMHCE EXAM PREPARATION PROGRAM</w:t>
      </w:r>
    </w:p>
    <w:p>
      <w:pPr>
        <w:spacing w:before="0" w:after="160" w:line="254" w:lineRule="auto"/>
        <w:jc w:val="center"/>
      </w:pPr>
      <w:r>
        <w:rPr>
          <w:rFonts w:ascii="Arial" w:hAnsi="Arial" w:eastAsia="Arial"/>
          <w:b/>
          <w:i w:val="0"/>
          <w:color w:val="C6922F"/>
          <w:sz w:val="31"/>
        </w:rPr>
        <w:t>Answer &amp; Rationales</w:t>
      </w:r>
    </w:p>
    <w:p>
      <w:pPr>
        <w:spacing w:before="0" w:after="60" w:line="240" w:lineRule="auto"/>
        <w:jc w:val="center"/>
        <w:pBdr>
          <w:bottom w:val="single" w:sz="12" w:space="1" w:color="159C9C"/>
        </w:pBdr>
      </w:pPr>
      <w:r>
        <w:rPr>
          <w:rFonts w:ascii="Arial" w:hAnsi="Arial" w:eastAsia="Arial"/>
          <w:b/>
          <w:i w:val="0"/>
          <w:color w:val="17365D"/>
          <w:sz w:val="44"/>
        </w:rPr>
        <w:t>Workbook 2: 17-Question Practice Bank</w:t>
      </w:r>
    </w:p>
    <w:p>
      <w:pPr>
        <w:spacing w:before="100" w:after="120" w:line="254" w:lineRule="auto"/>
        <w:jc w:val="center"/>
      </w:pPr>
      <w:r>
        <w:rPr>
          <w:rFonts w:ascii="Arial" w:hAnsi="Arial" w:eastAsia="Arial"/>
          <w:b/>
          <w:i w:val="0"/>
          <w:color w:val="17365D"/>
          <w:sz w:val="26"/>
        </w:rPr>
        <w:t>Professional Identity, California Scope, Competence, and Counselor Self-Awareness</w:t>
      </w:r>
    </w:p>
    <w:p>
      <w:pPr>
        <w:spacing w:before="0" w:after="260" w:line="254" w:lineRule="auto"/>
        <w:jc w:val="center"/>
      </w:pPr>
      <w:r>
        <w:rPr>
          <w:rFonts w:ascii="Arial" w:hAnsi="Arial" w:eastAsia="Arial"/>
          <w:b w:val="0"/>
          <w:i/>
          <w:color w:val="4E5B6B"/>
          <w:sz w:val="23"/>
        </w:rPr>
        <w:t>Controlled review form - open only after completing the candidate form</w:t>
      </w:r>
    </w:p>
    <w:p>
      <w:pPr>
        <w:spacing w:before="0" w:after="240" w:line="254" w:lineRule="auto"/>
        <w:jc w:val="center"/>
      </w:pPr>
      <w:r>
        <w:rPr>
          <w:rFonts w:ascii="Arial" w:hAnsi="Arial" w:eastAsia="Arial"/>
          <w:b w:val="0"/>
          <w:i w:val="0"/>
          <w:color w:val="4E5B6B"/>
          <w:sz w:val="20"/>
        </w:rPr>
        <w:t>Version 1.0 - July 2026</w:t>
      </w:r>
    </w:p>
    <w:tbl>
      <w:tblPr>
        <w:tblW w:type="auto" w:w="0"/>
        <w:jc w:val="center"/>
        <w:tblLook w:firstColumn="1" w:firstRow="1" w:lastColumn="0" w:lastRow="0" w:noHBand="0" w:noVBand="1" w:val="04A0"/>
      </w:tblPr>
      <w:tblGrid>
        <w:gridCol w:w="10310"/>
      </w:tblGrid>
      <w:tr>
        <w:trPr>
          <w:cantSplit/>
          <w:tblHeader w:val="true"/>
        </w:trPr>
        <w:tc>
          <w:tcPr>
            <w:tcW w:type="dxa" w:w="10310"/>
            <w:shd w:fill="FFF3D6"/>
            <w:tcBorders>
              <w:top w:val="single" w:sz="10" w:color="C6922F"/>
              <w:left w:val="single" w:sz="10" w:color="C6922F"/>
              <w:bottom w:val="single" w:sz="10" w:color="C6922F"/>
              <w:right w:val="single" w:sz="10" w:color="C6922F"/>
            </w:tcBorders>
            <w:tcMar>
              <w:top w:w="110" w:type="dxa"/>
              <w:start w:w="140" w:type="dxa"/>
              <w:bottom w:w="110" w:type="dxa"/>
              <w:end w:w="140" w:type="dxa"/>
            </w:tcMar>
          </w:tcPr>
          <w:p>
            <w:pPr>
              <w:spacing w:after="60"/>
            </w:pPr>
            <w:r>
              <w:rPr>
                <w:rFonts w:ascii="Arial" w:hAnsi="Arial" w:eastAsia="Arial"/>
                <w:b/>
                <w:color w:val="17365D"/>
                <w:sz w:val="21"/>
              </w:rPr>
              <w:t>ORIGINAL CTA PRACTICE MATERIAL</w:t>
            </w:r>
          </w:p>
          <w:p>
            <w:pPr>
              <w:spacing w:after="20" w:line="250" w:lineRule="auto"/>
            </w:pPr>
            <w:r>
              <w:rPr>
                <w:rFonts w:ascii="Arial" w:hAnsi="Arial" w:eastAsia="Arial"/>
                <w:color w:val="1F2937"/>
                <w:sz w:val="20"/>
              </w:rPr>
              <w:t>Every question and case detail in this bank is an original CTA educational item. No item is an actual, recalled, reconstructed, or purported licensing-examination question.</w:t>
            </w:r>
          </w:p>
        </w:tc>
      </w:tr>
    </w:tbl>
    <w:p>
      <w:pPr>
        <w:spacing w:after="0"/>
      </w:pPr>
    </w:p>
    <w:p>
      <w:pPr>
        <w:spacing w:before="80" w:after="0" w:line="254" w:lineRule="auto"/>
        <w:jc w:val="center"/>
      </w:pPr>
      <w:r>
        <w:rPr>
          <w:rFonts w:ascii="Arial" w:hAnsi="Arial" w:eastAsia="Arial"/>
          <w:b/>
          <w:i w:val="0"/>
          <w:color w:val="17365D"/>
          <w:sz w:val="22"/>
        </w:rPr>
        <w:t>Clinical Training Academy</w:t>
      </w:r>
    </w:p>
    <w:p>
      <w:r>
        <w:br w:type="page"/>
      </w:r>
    </w:p>
    <w:p>
      <w:pPr>
        <w:pStyle w:val="Heading1"/>
      </w:pPr>
      <w:r>
        <w:rPr>
          <w:rFonts w:ascii="Arial" w:hAnsi="Arial" w:eastAsia="Arial"/>
          <w:b/>
          <w:color w:val="17365D"/>
          <w:sz w:val="34"/>
        </w:rPr>
        <w:t>How to Use the Rationales</w:t>
      </w:r>
    </w:p>
    <w:p>
      <w:pPr>
        <w:pStyle w:val="ListBullet"/>
        <w:spacing w:after="50" w:line="250" w:lineRule="auto"/>
        <w:keepLines/>
      </w:pPr>
      <w:r>
        <w:rPr>
          <w:rFonts w:ascii="Arial" w:hAnsi="Arial" w:eastAsia="Arial"/>
          <w:color w:val="1F2937"/>
          <w:sz w:val="20"/>
        </w:rPr>
        <w:t>Score the bank, but do not stop at the total. Mark every incorrect response and every correct response with confidence 1.</w:t>
      </w:r>
    </w:p>
    <w:p>
      <w:pPr>
        <w:pStyle w:val="ListBullet"/>
        <w:spacing w:after="50" w:line="250" w:lineRule="auto"/>
        <w:keepLines/>
      </w:pPr>
      <w:r>
        <w:rPr>
          <w:rFonts w:ascii="Arial" w:hAnsi="Arial" w:eastAsia="Arial"/>
          <w:color w:val="1F2937"/>
          <w:sz w:val="20"/>
        </w:rPr>
        <w:t>For each item, name the role, scope, status, competence, fit, supervision, or self-awareness issue that controlled the answer.</w:t>
      </w:r>
    </w:p>
    <w:p>
      <w:pPr>
        <w:pStyle w:val="ListBullet"/>
        <w:spacing w:after="50" w:line="250" w:lineRule="auto"/>
        <w:keepLines/>
      </w:pPr>
      <w:r>
        <w:rPr>
          <w:rFonts w:ascii="Arial" w:hAnsi="Arial" w:eastAsia="Arial"/>
          <w:color w:val="1F2937"/>
          <w:sz w:val="20"/>
        </w:rPr>
        <w:t>Explain why each distractor is weaker, especially when it sounds caring but exceeds scope, ignores supervision, or acts from counselor need.</w:t>
      </w:r>
    </w:p>
    <w:p>
      <w:pPr>
        <w:pStyle w:val="ListBullet"/>
        <w:spacing w:after="50" w:line="250" w:lineRule="auto"/>
        <w:keepLines/>
      </w:pPr>
      <w:r>
        <w:rPr>
          <w:rFonts w:ascii="Arial" w:hAnsi="Arial" w:eastAsia="Arial"/>
          <w:color w:val="1F2937"/>
          <w:sz w:val="20"/>
        </w:rPr>
        <w:t>Apply the listed CTA error code or select another Workbook 2 code that better describes your reasoning.</w:t>
      </w:r>
    </w:p>
    <w:p>
      <w:pPr>
        <w:pStyle w:val="ListBullet"/>
        <w:spacing w:after="50" w:line="250" w:lineRule="auto"/>
        <w:keepLines/>
      </w:pPr>
      <w:r>
        <w:rPr>
          <w:rFonts w:ascii="Arial" w:hAnsi="Arial" w:eastAsia="Arial"/>
          <w:color w:val="1F2937"/>
          <w:sz w:val="20"/>
        </w:rPr>
        <w:t>Write one transferable correction rule and complete a new application item after targeted review.</w:t>
      </w:r>
    </w:p>
    <w:p>
      <w:pPr>
        <w:pStyle w:val="ListBullet"/>
        <w:spacing w:after="50" w:line="250" w:lineRule="auto"/>
        <w:keepLines/>
      </w:pPr>
      <w:r>
        <w:rPr>
          <w:rFonts w:ascii="Arial" w:hAnsi="Arial" w:eastAsia="Arial"/>
          <w:color w:val="1F2937"/>
          <w:sz w:val="20"/>
        </w:rPr>
        <w:t>Do not treat this bank score as an official NCMHCE passing score or guarantee.</w:t>
      </w:r>
    </w:p>
    <w:tbl>
      <w:tblPr>
        <w:tblW w:type="auto" w:w="0"/>
        <w:jc w:val="center"/>
        <w:tblLook w:firstColumn="1" w:firstRow="1" w:lastColumn="0" w:lastRow="0" w:noHBand="0" w:noVBand="1" w:val="04A0"/>
      </w:tblPr>
      <w:tblGrid>
        <w:gridCol w:w="10310"/>
      </w:tblGrid>
      <w:tr>
        <w:trPr>
          <w:cantSplit/>
          <w:tblHeader w:val="true"/>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DIFFICULTY CONTROL</w:t>
            </w:r>
          </w:p>
          <w:p>
            <w:pPr>
              <w:spacing w:after="20" w:line="250" w:lineRule="auto"/>
            </w:pPr>
            <w:r>
              <w:rPr>
                <w:rFonts w:ascii="Arial" w:hAnsi="Arial" w:eastAsia="Arial"/>
                <w:color w:val="1F2937"/>
                <w:sz w:val="20"/>
              </w:rPr>
              <w:t>5 Easy, 7 Moderate, and 5 Difficult items. The bank contains five targeted questions and one three-part, 12-question case.</w:t>
            </w:r>
          </w:p>
        </w:tc>
      </w:tr>
    </w:tbl>
    <w:p>
      <w:pPr>
        <w:spacing w:after="0"/>
      </w:pPr>
    </w:p>
    <w:p>
      <w:pPr>
        <w:pStyle w:val="Heading2"/>
        <w:spacing w:before="140" w:after="80"/>
        <w:keepNext/>
      </w:pPr>
      <w:r>
        <w:rPr>
          <w:rFonts w:ascii="Arial" w:hAnsi="Arial" w:eastAsia="Arial"/>
          <w:b/>
          <w:color w:val="159C9C"/>
          <w:sz w:val="26"/>
        </w:rPr>
        <w:t>Answer Key Overview</w:t>
      </w:r>
    </w:p>
    <w:tbl>
      <w:tblPr>
        <w:tblW w:type="auto" w:w="0"/>
        <w:jc w:val="center"/>
        <w:tblLayout w:type="fixed"/>
        <w:tblLook w:firstColumn="1" w:firstRow="1" w:lastColumn="0" w:lastRow="0" w:noHBand="0" w:noVBand="1" w:val="04A0"/>
      </w:tblPr>
      <w:tblGrid>
        <w:gridCol w:w="2062"/>
        <w:gridCol w:w="2062"/>
        <w:gridCol w:w="2062"/>
        <w:gridCol w:w="2062"/>
        <w:gridCol w:w="2062"/>
      </w:tblGrid>
      <w:tr>
        <w:trPr>
          <w:tblHeader w:val="true"/>
          <w:cantSplit/>
        </w:trPr>
        <w:tc>
          <w:tcPr>
            <w:tcW w:type="dxa" w:w="648"/>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w:t>
            </w:r>
          </w:p>
        </w:tc>
        <w:tc>
          <w:tcPr>
            <w:tcW w:type="dxa" w:w="720"/>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Key</w:t>
            </w:r>
          </w:p>
        </w:tc>
        <w:tc>
          <w:tcPr>
            <w:tcW w:type="dxa" w:w="1512"/>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Difficulty</w:t>
            </w:r>
          </w:p>
        </w:tc>
        <w:tc>
          <w:tcPr>
            <w:tcW w:type="dxa" w:w="5112"/>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Primary Concept</w:t>
            </w:r>
          </w:p>
        </w:tc>
        <w:tc>
          <w:tcPr>
            <w:tcW w:type="dxa" w:w="2520"/>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Primary Error Code</w:t>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w:t>
            </w:r>
          </w:p>
        </w:tc>
        <w:tc>
          <w:tcPr>
            <w:tcW w:type="dxa" w:w="7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A</w:t>
            </w:r>
          </w:p>
        </w:tc>
        <w:tc>
          <w:tcPr>
            <w:tcW w:type="dxa" w:w="15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Easy</w:t>
            </w:r>
          </w:p>
        </w:tc>
        <w:tc>
          <w:tcPr>
            <w:tcW w:type="dxa" w:w="51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California professional clinical counseling scope</w:t>
            </w:r>
          </w:p>
        </w:tc>
        <w:tc>
          <w:tcPr>
            <w:tcW w:type="dxa" w:w="25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R - Role / scope</w:t>
            </w:r>
          </w:p>
        </w:tc>
      </w:tr>
      <w:tr>
        <w:trPr>
          <w:cantSplit/>
        </w:trPr>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2</w:t>
            </w:r>
          </w:p>
        </w:tc>
        <w:tc>
          <w:tcPr>
            <w:tcW w:type="dxa" w:w="7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C</w:t>
            </w:r>
          </w:p>
        </w:tc>
        <w:tc>
          <w:tcPr>
            <w:tcW w:type="dxa" w:w="15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Easy</w:t>
            </w:r>
          </w:p>
        </w:tc>
        <w:tc>
          <w:tcPr>
            <w:tcW w:type="dxa" w:w="51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Scope versus competence</w:t>
            </w:r>
          </w:p>
        </w:tc>
        <w:tc>
          <w:tcPr>
            <w:tcW w:type="dxa" w:w="25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C - Competence</w:t>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3</w:t>
            </w:r>
          </w:p>
        </w:tc>
        <w:tc>
          <w:tcPr>
            <w:tcW w:type="dxa" w:w="7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B</w:t>
            </w:r>
          </w:p>
        </w:tc>
        <w:tc>
          <w:tcPr>
            <w:tcW w:type="dxa" w:w="15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Moderate</w:t>
            </w:r>
          </w:p>
        </w:tc>
        <w:tc>
          <w:tcPr>
            <w:tcW w:type="dxa" w:w="51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California assessment exclusions</w:t>
            </w:r>
          </w:p>
        </w:tc>
        <w:tc>
          <w:tcPr>
            <w:tcW w:type="dxa" w:w="25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A - Assessment limits</w:t>
            </w:r>
          </w:p>
        </w:tc>
      </w:tr>
      <w:tr>
        <w:trPr>
          <w:cantSplit/>
        </w:trPr>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4</w:t>
            </w:r>
          </w:p>
        </w:tc>
        <w:tc>
          <w:tcPr>
            <w:tcW w:type="dxa" w:w="7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D</w:t>
            </w:r>
          </w:p>
        </w:tc>
        <w:tc>
          <w:tcPr>
            <w:tcW w:type="dxa" w:w="15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Moderate</w:t>
            </w:r>
          </w:p>
        </w:tc>
        <w:tc>
          <w:tcPr>
            <w:tcW w:type="dxa" w:w="51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APCC status and supervision</w:t>
            </w:r>
          </w:p>
        </w:tc>
        <w:tc>
          <w:tcPr>
            <w:tcW w:type="dxa" w:w="25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S - Status / supervision</w:t>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5</w:t>
            </w:r>
          </w:p>
        </w:tc>
        <w:tc>
          <w:tcPr>
            <w:tcW w:type="dxa" w:w="7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B</w:t>
            </w:r>
          </w:p>
        </w:tc>
        <w:tc>
          <w:tcPr>
            <w:tcW w:type="dxa" w:w="15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Difficult</w:t>
            </w:r>
          </w:p>
        </w:tc>
        <w:tc>
          <w:tcPr>
            <w:tcW w:type="dxa" w:w="51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Counselor-client suitability and conflict</w:t>
            </w:r>
          </w:p>
        </w:tc>
        <w:tc>
          <w:tcPr>
            <w:tcW w:type="dxa" w:w="25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F - Fit / conflict</w:t>
            </w:r>
          </w:p>
        </w:tc>
      </w:tr>
      <w:tr>
        <w:trPr>
          <w:cantSplit/>
        </w:trPr>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6</w:t>
            </w:r>
          </w:p>
        </w:tc>
        <w:tc>
          <w:tcPr>
            <w:tcW w:type="dxa" w:w="7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C</w:t>
            </w:r>
          </w:p>
        </w:tc>
        <w:tc>
          <w:tcPr>
            <w:tcW w:type="dxa" w:w="15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Easy</w:t>
            </w:r>
          </w:p>
        </w:tc>
        <w:tc>
          <w:tcPr>
            <w:tcW w:type="dxa" w:w="51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Immediate counseling role within scope</w:t>
            </w:r>
          </w:p>
        </w:tc>
        <w:tc>
          <w:tcPr>
            <w:tcW w:type="dxa" w:w="25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T - Timing / sequence</w:t>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7</w:t>
            </w:r>
          </w:p>
        </w:tc>
        <w:tc>
          <w:tcPr>
            <w:tcW w:type="dxa" w:w="7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A</w:t>
            </w:r>
          </w:p>
        </w:tc>
        <w:tc>
          <w:tcPr>
            <w:tcW w:type="dxa" w:w="15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Moderate</w:t>
            </w:r>
          </w:p>
        </w:tc>
        <w:tc>
          <w:tcPr>
            <w:tcW w:type="dxa" w:w="51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Counseling assessment versus excluded testing</w:t>
            </w:r>
          </w:p>
        </w:tc>
        <w:tc>
          <w:tcPr>
            <w:tcW w:type="dxa" w:w="25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A - Assessment limits</w:t>
            </w:r>
          </w:p>
        </w:tc>
      </w:tr>
      <w:tr>
        <w:trPr>
          <w:cantSplit/>
        </w:trPr>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8</w:t>
            </w:r>
          </w:p>
        </w:tc>
        <w:tc>
          <w:tcPr>
            <w:tcW w:type="dxa" w:w="7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D</w:t>
            </w:r>
          </w:p>
        </w:tc>
        <w:tc>
          <w:tcPr>
            <w:tcW w:type="dxa" w:w="15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Difficult</w:t>
            </w:r>
          </w:p>
        </w:tc>
        <w:tc>
          <w:tcPr>
            <w:tcW w:type="dxa" w:w="51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Formal supervision and focused consultation</w:t>
            </w:r>
          </w:p>
        </w:tc>
        <w:tc>
          <w:tcPr>
            <w:tcW w:type="dxa" w:w="25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S - Status / supervision</w:t>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9</w:t>
            </w:r>
          </w:p>
        </w:tc>
        <w:tc>
          <w:tcPr>
            <w:tcW w:type="dxa" w:w="7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B</w:t>
            </w:r>
          </w:p>
        </w:tc>
        <w:tc>
          <w:tcPr>
            <w:tcW w:type="dxa" w:w="15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Moderate</w:t>
            </w:r>
          </w:p>
        </w:tc>
        <w:tc>
          <w:tcPr>
            <w:tcW w:type="dxa" w:w="51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Referral alliance and client voice</w:t>
            </w:r>
          </w:p>
        </w:tc>
        <w:tc>
          <w:tcPr>
            <w:tcW w:type="dxa" w:w="25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F - Fit / client voice</w:t>
            </w:r>
          </w:p>
        </w:tc>
      </w:tr>
      <w:tr>
        <w:trPr>
          <w:cantSplit/>
        </w:trPr>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10</w:t>
            </w:r>
          </w:p>
        </w:tc>
        <w:tc>
          <w:tcPr>
            <w:tcW w:type="dxa" w:w="7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C</w:t>
            </w:r>
          </w:p>
        </w:tc>
        <w:tc>
          <w:tcPr>
            <w:tcW w:type="dxa" w:w="15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Moderate</w:t>
            </w:r>
          </w:p>
        </w:tc>
        <w:tc>
          <w:tcPr>
            <w:tcW w:type="dxa" w:w="51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Countertransference and boundary pattern</w:t>
            </w:r>
          </w:p>
        </w:tc>
        <w:tc>
          <w:tcPr>
            <w:tcW w:type="dxa" w:w="25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B - Boundary / power</w:t>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11</w:t>
            </w:r>
          </w:p>
        </w:tc>
        <w:tc>
          <w:tcPr>
            <w:tcW w:type="dxa" w:w="7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A</w:t>
            </w:r>
          </w:p>
        </w:tc>
        <w:tc>
          <w:tcPr>
            <w:tcW w:type="dxa" w:w="15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Difficult</w:t>
            </w:r>
          </w:p>
        </w:tc>
        <w:tc>
          <w:tcPr>
            <w:tcW w:type="dxa" w:w="51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Purposeful self-disclosure</w:t>
            </w:r>
          </w:p>
        </w:tc>
        <w:tc>
          <w:tcPr>
            <w:tcW w:type="dxa" w:w="25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B - Boundary / power</w:t>
            </w:r>
          </w:p>
        </w:tc>
      </w:tr>
      <w:tr>
        <w:trPr>
          <w:cantSplit/>
        </w:trPr>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12</w:t>
            </w:r>
          </w:p>
        </w:tc>
        <w:tc>
          <w:tcPr>
            <w:tcW w:type="dxa" w:w="7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D</w:t>
            </w:r>
          </w:p>
        </w:tc>
        <w:tc>
          <w:tcPr>
            <w:tcW w:type="dxa" w:w="15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Easy</w:t>
            </w:r>
          </w:p>
        </w:tc>
        <w:tc>
          <w:tcPr>
            <w:tcW w:type="dxa" w:w="51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Supervision versus consultation</w:t>
            </w:r>
          </w:p>
        </w:tc>
        <w:tc>
          <w:tcPr>
            <w:tcW w:type="dxa" w:w="25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S - Status / supervision</w:t>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13</w:t>
            </w:r>
          </w:p>
        </w:tc>
        <w:tc>
          <w:tcPr>
            <w:tcW w:type="dxa" w:w="7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B</w:t>
            </w:r>
          </w:p>
        </w:tc>
        <w:tc>
          <w:tcPr>
            <w:tcW w:type="dxa" w:w="15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Difficult</w:t>
            </w:r>
          </w:p>
        </w:tc>
        <w:tc>
          <w:tcPr>
            <w:tcW w:type="dxa" w:w="51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Research literacy and technology fit</w:t>
            </w:r>
          </w:p>
        </w:tc>
        <w:tc>
          <w:tcPr>
            <w:tcW w:type="dxa" w:w="25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E - Evidence / research</w:t>
            </w:r>
          </w:p>
        </w:tc>
      </w:tr>
      <w:tr>
        <w:trPr>
          <w:cantSplit/>
        </w:trPr>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14</w:t>
            </w:r>
          </w:p>
        </w:tc>
        <w:tc>
          <w:tcPr>
            <w:tcW w:type="dxa" w:w="7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C</w:t>
            </w:r>
          </w:p>
        </w:tc>
        <w:tc>
          <w:tcPr>
            <w:tcW w:type="dxa" w:w="15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Moderate</w:t>
            </w:r>
          </w:p>
        </w:tc>
        <w:tc>
          <w:tcPr>
            <w:tcW w:type="dxa" w:w="51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Professional wellbeing and impairment risk</w:t>
            </w:r>
          </w:p>
        </w:tc>
        <w:tc>
          <w:tcPr>
            <w:tcW w:type="dxa" w:w="25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W - Wellbeing / impairment</w:t>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15</w:t>
            </w:r>
          </w:p>
        </w:tc>
        <w:tc>
          <w:tcPr>
            <w:tcW w:type="dxa" w:w="7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A</w:t>
            </w:r>
          </w:p>
        </w:tc>
        <w:tc>
          <w:tcPr>
            <w:tcW w:type="dxa" w:w="15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Difficult</w:t>
            </w:r>
          </w:p>
        </w:tc>
        <w:tc>
          <w:tcPr>
            <w:tcW w:type="dxa" w:w="51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Immediate protective response to impairment risk</w:t>
            </w:r>
          </w:p>
        </w:tc>
        <w:tc>
          <w:tcPr>
            <w:tcW w:type="dxa" w:w="25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W - Wellbeing / impairment</w:t>
            </w:r>
          </w:p>
        </w:tc>
      </w:tr>
      <w:tr>
        <w:trPr>
          <w:cantSplit/>
        </w:trPr>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16</w:t>
            </w:r>
          </w:p>
        </w:tc>
        <w:tc>
          <w:tcPr>
            <w:tcW w:type="dxa" w:w="7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D</w:t>
            </w:r>
          </w:p>
        </w:tc>
        <w:tc>
          <w:tcPr>
            <w:tcW w:type="dxa" w:w="15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Easy</w:t>
            </w:r>
          </w:p>
        </w:tc>
        <w:tc>
          <w:tcPr>
            <w:tcW w:type="dxa" w:w="51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Collaborative reduction in treatment frequency</w:t>
            </w:r>
          </w:p>
        </w:tc>
        <w:tc>
          <w:tcPr>
            <w:tcW w:type="dxa" w:w="25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T - Timing / sequence</w:t>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17</w:t>
            </w:r>
          </w:p>
        </w:tc>
        <w:tc>
          <w:tcPr>
            <w:tcW w:type="dxa" w:w="7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C</w:t>
            </w:r>
          </w:p>
        </w:tc>
        <w:tc>
          <w:tcPr>
            <w:tcW w:type="dxa" w:w="15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Moderate</w:t>
            </w:r>
          </w:p>
        </w:tc>
        <w:tc>
          <w:tcPr>
            <w:tcW w:type="dxa" w:w="51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Longer-term professional development</w:t>
            </w:r>
          </w:p>
        </w:tc>
        <w:tc>
          <w:tcPr>
            <w:tcW w:type="dxa" w:w="25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D - Development plan</w:t>
            </w:r>
          </w:p>
        </w:tc>
      </w:tr>
    </w:tbl>
    <w:p>
      <w:pPr>
        <w:spacing w:after="0"/>
      </w:pPr>
    </w:p>
    <w:p>
      <w:pPr>
        <w:pStyle w:val="Heading2"/>
        <w:spacing w:before="140" w:after="80"/>
        <w:keepNext/>
      </w:pPr>
      <w:r>
        <w:rPr>
          <w:rFonts w:ascii="Arial" w:hAnsi="Arial" w:eastAsia="Arial"/>
          <w:b/>
          <w:color w:val="159C9C"/>
          <w:sz w:val="26"/>
        </w:rPr>
        <w:t>Case Evidence Ledger</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1800"/>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Section</w:t>
            </w:r>
          </w:p>
        </w:tc>
        <w:tc>
          <w:tcPr>
            <w:tcW w:type="dxa" w:w="5256"/>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Decision-Relevant Evidence</w:t>
            </w:r>
          </w:p>
        </w:tc>
        <w:tc>
          <w:tcPr>
            <w:tcW w:type="dxa" w:w="3456"/>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What Is Not Yet Established</w:t>
            </w:r>
          </w:p>
        </w:tc>
      </w:tr>
      <w:tr>
        <w:trPr>
          <w:cantSplit/>
        </w:trPr>
        <w:tc>
          <w:tcPr>
            <w:tcW w:type="dxa" w:w="180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Part 1 - Initial session</w:t>
            </w:r>
          </w:p>
        </w:tc>
        <w:tc>
          <w:tcPr>
            <w:tcW w:type="dxa" w:w="525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Leila is an APCC with a formal supervisor; Mateo seeks counseling now; requested IQ and neuropsychological testing; Leila lacks training; Mateo fears dismissal; no current suicidal or homicidal thoughts.</w:t>
            </w:r>
          </w:p>
        </w:tc>
        <w:tc>
          <w:tcPr>
            <w:tcW w:type="dxa" w:w="345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Specialist test results; full medical explanation; final diagnosis; treatment outcome; whether boundary or wellbeing problems will emerge.</w:t>
            </w:r>
          </w:p>
        </w:tc>
      </w:tr>
      <w:tr>
        <w:trPr>
          <w:cantSplit/>
        </w:trPr>
        <w:tc>
          <w:tcPr>
            <w:tcW w:type="dxa" w:w="180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Part 2 - Four weeks</w:t>
            </w:r>
          </w:p>
        </w:tc>
        <w:tc>
          <w:tcPr>
            <w:tcW w:type="dxa" w:w="525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Counseling is underway; appropriate medical coordination authorized; referral pending; late-night messages; “only professional” statement; Leila identifies with client and breaks policy; new app has limited evidence.</w:t>
            </w:r>
          </w:p>
        </w:tc>
        <w:tc>
          <w:tcPr>
            <w:tcW w:type="dxa" w:w="345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Long-term treatment outcome; whether Leila’s functioning is impaired; whether Mateo is ready to reduce frequency.</w:t>
            </w:r>
          </w:p>
        </w:tc>
      </w:tr>
      <w:tr>
        <w:trPr>
          <w:cantSplit/>
        </w:trPr>
        <w:tc>
          <w:tcPr>
            <w:tcW w:type="dxa" w:w="180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Part 3 - Two months</w:t>
            </w:r>
          </w:p>
        </w:tc>
        <w:tc>
          <w:tcPr>
            <w:tcW w:type="dxa" w:w="525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Mateo improves and requests biweekly care; Leila has sleep problems, anger, missed supervision, delayed notes, and a forgotten safety follow-up; supervisor raises fitness-to-practice concern.</w:t>
            </w:r>
          </w:p>
        </w:tc>
        <w:tc>
          <w:tcPr>
            <w:tcW w:type="dxa" w:w="345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Whether long-term professional development alone will be sufficient; exact duration of any workload modification.</w:t>
            </w:r>
          </w:p>
        </w:tc>
      </w:tr>
    </w:tbl>
    <w:p>
      <w:pPr>
        <w:spacing w:after="0"/>
      </w:pPr>
    </w:p>
    <w:tbl>
      <w:tblPr>
        <w:tblW w:type="auto" w:w="0"/>
        <w:jc w:val="center"/>
        <w:tblLook w:firstColumn="1" w:firstRow="1" w:lastColumn="0" w:lastRow="0" w:noHBand="0" w:noVBand="1" w:val="04A0"/>
      </w:tblPr>
      <w:tblGrid>
        <w:gridCol w:w="10310"/>
      </w:tblGrid>
      <w:tr>
        <w:trPr>
          <w:cantSplit/>
          <w:tblHeader w:val="true"/>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EVIDENCE-CONTROL REMINDER</w:t>
            </w:r>
          </w:p>
          <w:p>
            <w:pPr>
              <w:spacing w:after="20" w:line="250" w:lineRule="auto"/>
            </w:pPr>
            <w:r>
              <w:rPr>
                <w:rFonts w:ascii="Arial" w:hAnsi="Arial" w:eastAsia="Arial"/>
                <w:color w:val="1F2937"/>
                <w:sz w:val="20"/>
              </w:rPr>
              <w:t>Later facts can guide later questions, but they cannot retroactively become evidence for an earlier case section.</w:t>
            </w:r>
          </w:p>
        </w:tc>
      </w:tr>
    </w:tbl>
    <w:p>
      <w:pPr>
        <w:spacing w:after="0"/>
      </w:pPr>
    </w:p>
    <w:p>
      <w:r>
        <w:br w:type="page"/>
      </w:r>
    </w:p>
    <w:p>
      <w:pPr>
        <w:pStyle w:val="Heading2"/>
        <w:spacing w:before="0" w:after="60"/>
      </w:pPr>
      <w:r>
        <w:rPr>
          <w:rFonts w:ascii="Arial" w:hAnsi="Arial" w:eastAsia="Arial"/>
          <w:b/>
          <w:color w:val="159C9C"/>
          <w:sz w:val="26"/>
        </w:rPr>
        <w:t>Question 1 (LPCC-WB02-PB-Q001)</w:t>
      </w:r>
    </w:p>
    <w:p>
      <w:pPr>
        <w:spacing w:before="100" w:after="40"/>
        <w:keepNext/>
      </w:pPr>
      <w:r>
        <w:rPr>
          <w:rFonts w:ascii="Arial" w:hAnsi="Arial" w:eastAsia="Arial"/>
          <w:b/>
          <w:color w:val="1F7A8C"/>
          <w:sz w:val="17"/>
        </w:rPr>
        <w:t>LPCC-WB02-PB-Q001 | Knowledge &amp; Recall | Easy | Primary concept: California professional clinical counseling scope</w:t>
      </w:r>
    </w:p>
    <w:p>
      <w:pPr>
        <w:spacing w:after="60" w:line="250" w:lineRule="auto"/>
      </w:pPr>
      <w:r>
        <w:rPr>
          <w:rFonts w:ascii="Arial" w:hAnsi="Arial" w:eastAsia="Arial"/>
          <w:b/>
          <w:color w:val="1F2937"/>
          <w:sz w:val="20"/>
        </w:rPr>
        <w:t>Which service most clearly falls within California professional clinical counseling when performed within competence and a professional counseling relationship?</w:t>
      </w:r>
    </w:p>
    <w:p>
      <w:pPr>
        <w:spacing w:after="40"/>
        <w:ind w:left="230" w:hanging="230"/>
      </w:pPr>
      <w:r>
        <w:rPr>
          <w:rFonts w:ascii="Arial" w:hAnsi="Arial" w:eastAsia="Arial"/>
          <w:sz w:val="20"/>
        </w:rPr>
        <w:t>A. Using counseling interventions to address anxiety, adjustment to disability, and psychosocial stress.</w:t>
      </w:r>
    </w:p>
    <w:p>
      <w:pPr>
        <w:spacing w:after="40"/>
        <w:ind w:left="230" w:hanging="230"/>
      </w:pPr>
      <w:r>
        <w:rPr>
          <w:rFonts w:ascii="Arial" w:hAnsi="Arial" w:eastAsia="Arial"/>
          <w:sz w:val="20"/>
        </w:rPr>
        <w:t>B. Providing clinical social work services while advertising under an LPCC title.</w:t>
      </w:r>
    </w:p>
    <w:p>
      <w:pPr>
        <w:spacing w:after="40"/>
        <w:ind w:left="230" w:hanging="230"/>
      </w:pPr>
      <w:r>
        <w:rPr>
          <w:rFonts w:ascii="Arial" w:hAnsi="Arial" w:eastAsia="Arial"/>
          <w:sz w:val="20"/>
        </w:rPr>
        <w:t>C. Administering an individually administered intelligence test to establish intellectual disability.</w:t>
      </w:r>
    </w:p>
    <w:p>
      <w:pPr>
        <w:spacing w:after="40"/>
        <w:ind w:left="230" w:hanging="230"/>
      </w:pPr>
      <w:r>
        <w:rPr>
          <w:rFonts w:ascii="Arial" w:hAnsi="Arial" w:eastAsia="Arial"/>
          <w:sz w:val="20"/>
        </w:rPr>
        <w:t>D. Providing nonmental-health job placement services as licensed clinical counseling.</w:t>
      </w:r>
    </w:p>
    <w:tbl>
      <w:tblPr>
        <w:tblW w:type="auto" w:w="0"/>
        <w:jc w:val="center"/>
        <w:tblLook w:firstColumn="1" w:firstRow="1" w:lastColumn="0" w:lastRow="0" w:noHBand="0" w:noVBand="1" w:val="04A0"/>
      </w:tblPr>
      <w:tblGrid>
        <w:gridCol w:w="10310"/>
      </w:tblGrid>
      <w:tr>
        <w:trPr>
          <w:cantSplit/>
          <w:tblHeader w:val="true"/>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A. Using counseling interventions to address anxiety, adjustment to disability, and psychosocial stress.</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F7A8C"/>
          <w:sz w:val="20"/>
        </w:rPr>
        <w:t xml:space="preserve">A. </w:t>
      </w:r>
      <w:r>
        <w:rPr>
          <w:rFonts w:ascii="Arial" w:hAnsi="Arial" w:eastAsia="Arial"/>
          <w:b/>
          <w:color w:val="1F7A8C"/>
          <w:sz w:val="20"/>
        </w:rPr>
        <w:t xml:space="preserve">Correct. </w:t>
      </w:r>
      <w:r>
        <w:rPr>
          <w:rFonts w:ascii="Arial" w:hAnsi="Arial" w:eastAsia="Arial"/>
          <w:color w:val="1F2937"/>
          <w:sz w:val="20"/>
        </w:rPr>
        <w:t>California defines professional clinical counseling to include counseling interventions and psychotherapeutic techniques addressing cognitive, mental, emotional, adjustment, crisis, and psychosocial concerns within a professional counseling relationship.</w:t>
      </w:r>
    </w:p>
    <w:p>
      <w:pPr>
        <w:spacing w:after="60" w:line="250" w:lineRule="auto"/>
        <w:ind w:left="173" w:hanging="173"/>
      </w:pPr>
      <w:r>
        <w:rPr>
          <w:rFonts w:ascii="Arial" w:hAnsi="Arial" w:eastAsia="Arial"/>
          <w:b/>
          <w:color w:val="17365D"/>
          <w:sz w:val="20"/>
        </w:rPr>
        <w:t xml:space="preserve">B. </w:t>
      </w:r>
      <w:r>
        <w:rPr>
          <w:rFonts w:ascii="Arial" w:hAnsi="Arial" w:eastAsia="Arial"/>
          <w:b/>
          <w:color w:val="1F2937"/>
          <w:sz w:val="20"/>
        </w:rPr>
        <w:t xml:space="preserve">Incorrect. </w:t>
      </w:r>
      <w:r>
        <w:rPr>
          <w:rFonts w:ascii="Arial" w:hAnsi="Arial" w:eastAsia="Arial"/>
          <w:color w:val="1F2937"/>
          <w:sz w:val="20"/>
        </w:rPr>
        <w:t>California expressly states that professional clinical counseling does not include providing clinical social work services.</w:t>
      </w:r>
    </w:p>
    <w:p>
      <w:pPr>
        <w:spacing w:after="60" w:line="250" w:lineRule="auto"/>
        <w:ind w:left="173" w:hanging="173"/>
      </w:pPr>
      <w:r>
        <w:rPr>
          <w:rFonts w:ascii="Arial" w:hAnsi="Arial" w:eastAsia="Arial"/>
          <w:b/>
          <w:color w:val="17365D"/>
          <w:sz w:val="20"/>
        </w:rPr>
        <w:t xml:space="preserve">C. </w:t>
      </w:r>
      <w:r>
        <w:rPr>
          <w:rFonts w:ascii="Arial" w:hAnsi="Arial" w:eastAsia="Arial"/>
          <w:b/>
          <w:color w:val="1F2937"/>
          <w:sz w:val="20"/>
        </w:rPr>
        <w:t xml:space="preserve">Incorrect. </w:t>
      </w:r>
      <w:r>
        <w:rPr>
          <w:rFonts w:ascii="Arial" w:hAnsi="Arial" w:eastAsia="Arial"/>
          <w:color w:val="1F2937"/>
          <w:sz w:val="20"/>
        </w:rPr>
        <w:t>Individually administered intelligence testing is excluded from the statutory LPCC assessment definition.</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The LPCC license concerns clinical mental-health counseling, not nonclinical employment-placement services.</w:t>
      </w:r>
    </w:p>
    <w:tbl>
      <w:tblPr>
        <w:tblW w:type="auto" w:w="0"/>
        <w:jc w:val="center"/>
        <w:tblLook w:firstColumn="1" w:firstRow="1" w:lastColumn="0" w:lastRow="0" w:noHBand="0" w:noVBand="1" w:val="04A0"/>
      </w:tblPr>
      <w:tblGrid>
        <w:gridCol w:w="10310"/>
      </w:tblGrid>
      <w:tr>
        <w:trPr>
          <w:cantSplit/>
          <w:tblHeader w:val="true"/>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Match the activity to the profession’s statutory purpose before considering whether a particular counselor is competent to perform it.</w:t>
            </w:r>
          </w:p>
        </w:tc>
      </w:tr>
    </w:tbl>
    <w:p>
      <w:pPr>
        <w:spacing w:after="0"/>
      </w:pPr>
    </w:p>
    <w:tbl>
      <w:tblPr>
        <w:tblW w:type="auto" w:w="0"/>
        <w:jc w:val="center"/>
        <w:tblLook w:firstColumn="1" w:firstRow="1" w:lastColumn="0" w:lastRow="0" w:noHBand="0" w:noVBand="1" w:val="04A0"/>
      </w:tblPr>
      <w:tblGrid>
        <w:gridCol w:w="10310"/>
      </w:tblGrid>
      <w:tr>
        <w:trPr>
          <w:cantSplit/>
          <w:tblHeader w:val="true"/>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R - Role / scope. Name the professional role and confirm that the activity belongs within LPCC scope before selecting a technique.</w:t>
            </w:r>
          </w:p>
        </w:tc>
      </w:tr>
    </w:tbl>
    <w:p>
      <w:pPr>
        <w:spacing w:after="0"/>
      </w:pPr>
    </w:p>
    <w:p>
      <w:r>
        <w:br w:type="page"/>
      </w:r>
    </w:p>
    <w:p>
      <w:pPr>
        <w:pStyle w:val="Heading2"/>
        <w:spacing w:before="0" w:after="60"/>
      </w:pPr>
      <w:r>
        <w:rPr>
          <w:rFonts w:ascii="Arial" w:hAnsi="Arial" w:eastAsia="Arial"/>
          <w:b/>
          <w:color w:val="159C9C"/>
          <w:sz w:val="26"/>
        </w:rPr>
        <w:t>Question 2 (LPCC-WB02-PB-Q002)</w:t>
      </w:r>
    </w:p>
    <w:p>
      <w:pPr>
        <w:spacing w:before="100" w:after="40"/>
        <w:keepNext/>
      </w:pPr>
      <w:r>
        <w:rPr>
          <w:rFonts w:ascii="Arial" w:hAnsi="Arial" w:eastAsia="Arial"/>
          <w:b/>
          <w:color w:val="1F7A8C"/>
          <w:sz w:val="17"/>
        </w:rPr>
        <w:t>LPCC-WB02-PB-Q002 | Application | Easy | Primary concept: Scope versus competence</w:t>
      </w:r>
    </w:p>
    <w:p>
      <w:pPr>
        <w:spacing w:after="60" w:line="250" w:lineRule="auto"/>
      </w:pPr>
      <w:r>
        <w:rPr>
          <w:rFonts w:ascii="Arial" w:hAnsi="Arial" w:eastAsia="Arial"/>
          <w:b/>
          <w:color w:val="1F2937"/>
          <w:sz w:val="20"/>
        </w:rPr>
        <w:t>Which statement BEST distinguishes scope of practice from scope of competence?</w:t>
      </w:r>
    </w:p>
    <w:p>
      <w:pPr>
        <w:spacing w:after="40"/>
        <w:ind w:left="230" w:hanging="230"/>
      </w:pPr>
      <w:r>
        <w:rPr>
          <w:rFonts w:ascii="Arial" w:hAnsi="Arial" w:eastAsia="Arial"/>
          <w:sz w:val="20"/>
        </w:rPr>
        <w:t>A. Scope of practice and competence are identical once a license is issued.</w:t>
      </w:r>
    </w:p>
    <w:p>
      <w:pPr>
        <w:spacing w:after="40"/>
        <w:ind w:left="230" w:hanging="230"/>
      </w:pPr>
      <w:r>
        <w:rPr>
          <w:rFonts w:ascii="Arial" w:hAnsi="Arial" w:eastAsia="Arial"/>
          <w:sz w:val="20"/>
        </w:rPr>
        <w:t>B. Competence is determined only by the employer’s job description.</w:t>
      </w:r>
    </w:p>
    <w:p>
      <w:pPr>
        <w:spacing w:after="40"/>
        <w:ind w:left="230" w:hanging="230"/>
      </w:pPr>
      <w:r>
        <w:rPr>
          <w:rFonts w:ascii="Arial" w:hAnsi="Arial" w:eastAsia="Arial"/>
          <w:sz w:val="20"/>
        </w:rPr>
        <w:t>C. Scope of practice describes what the profession may do; competence asks whether this counselor can perform the exact service safely based on current education, training, and experience.</w:t>
      </w:r>
    </w:p>
    <w:p>
      <w:pPr>
        <w:spacing w:after="40"/>
        <w:ind w:left="230" w:hanging="230"/>
      </w:pPr>
      <w:r>
        <w:rPr>
          <w:rFonts w:ascii="Arial" w:hAnsi="Arial" w:eastAsia="Arial"/>
          <w:sz w:val="20"/>
        </w:rPr>
        <w:t>D. A service is competent whenever a supervisor is willing to sign the documentation.</w:t>
      </w:r>
    </w:p>
    <w:tbl>
      <w:tblPr>
        <w:tblW w:type="auto" w:w="0"/>
        <w:jc w:val="center"/>
        <w:tblLook w:firstColumn="1" w:firstRow="1" w:lastColumn="0" w:lastRow="0" w:noHBand="0" w:noVBand="1" w:val="04A0"/>
      </w:tblPr>
      <w:tblGrid>
        <w:gridCol w:w="10310"/>
      </w:tblGrid>
      <w:tr>
        <w:trPr>
          <w:cantSplit/>
          <w:tblHeader w:val="true"/>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C. Scope of practice describes what the profession may do; competence asks whether this counselor can perform the exact service safely based on current education, training, and experience.</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Licensure does not establish competence for every population, modality, assessment, or level of risk.</w:t>
      </w:r>
    </w:p>
    <w:p>
      <w:pPr>
        <w:spacing w:after="60" w:line="250" w:lineRule="auto"/>
        <w:ind w:left="173" w:hanging="173"/>
      </w:pPr>
      <w:r>
        <w:rPr>
          <w:rFonts w:ascii="Arial" w:hAnsi="Arial" w:eastAsia="Arial"/>
          <w:b/>
          <w:color w:val="17365D"/>
          <w:sz w:val="20"/>
        </w:rPr>
        <w:t xml:space="preserve">B. </w:t>
      </w:r>
      <w:r>
        <w:rPr>
          <w:rFonts w:ascii="Arial" w:hAnsi="Arial" w:eastAsia="Arial"/>
          <w:b/>
          <w:color w:val="1F2937"/>
          <w:sz w:val="20"/>
        </w:rPr>
        <w:t xml:space="preserve">Incorrect. </w:t>
      </w:r>
      <w:r>
        <w:rPr>
          <w:rFonts w:ascii="Arial" w:hAnsi="Arial" w:eastAsia="Arial"/>
          <w:color w:val="1F2937"/>
          <w:sz w:val="20"/>
        </w:rPr>
        <w:t>An employer cannot create competence or expand a statutory professional scope through a job assignment.</w:t>
      </w:r>
    </w:p>
    <w:p>
      <w:pPr>
        <w:spacing w:after="60" w:line="250" w:lineRule="auto"/>
        <w:ind w:left="173" w:hanging="173"/>
      </w:pPr>
      <w:r>
        <w:rPr>
          <w:rFonts w:ascii="Arial" w:hAnsi="Arial" w:eastAsia="Arial"/>
          <w:b/>
          <w:color w:val="1F7A8C"/>
          <w:sz w:val="20"/>
        </w:rPr>
        <w:t xml:space="preserve">C. </w:t>
      </w:r>
      <w:r>
        <w:rPr>
          <w:rFonts w:ascii="Arial" w:hAnsi="Arial" w:eastAsia="Arial"/>
          <w:b/>
          <w:color w:val="1F7A8C"/>
          <w:sz w:val="20"/>
        </w:rPr>
        <w:t xml:space="preserve">Correct. </w:t>
      </w:r>
      <w:r>
        <w:rPr>
          <w:rFonts w:ascii="Arial" w:hAnsi="Arial" w:eastAsia="Arial"/>
          <w:color w:val="1F2937"/>
          <w:sz w:val="20"/>
        </w:rPr>
        <w:t>This correctly separates profession-level authority from the individual counselor’s present ability to perform the work safely and effectively.</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Supervision supports competence development and oversight, but a signature does not make an unqualified service competent.</w:t>
      </w:r>
    </w:p>
    <w:tbl>
      <w:tblPr>
        <w:tblW w:type="auto" w:w="0"/>
        <w:jc w:val="center"/>
        <w:tblLook w:firstColumn="1" w:firstRow="1" w:lastColumn="0" w:lastRow="0" w:noHBand="0" w:noVBand="1" w:val="04A0"/>
      </w:tblPr>
      <w:tblGrid>
        <w:gridCol w:w="10310"/>
      </w:tblGrid>
      <w:tr>
        <w:trPr>
          <w:cantSplit/>
          <w:tblHeader w:val="true"/>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Ask two separate questions: “May this profession do it?” and “Can this counselor do it safely now?”</w:t>
            </w:r>
          </w:p>
        </w:tc>
      </w:tr>
    </w:tbl>
    <w:p>
      <w:pPr>
        <w:spacing w:after="0"/>
      </w:pPr>
    </w:p>
    <w:tbl>
      <w:tblPr>
        <w:tblW w:type="auto" w:w="0"/>
        <w:jc w:val="center"/>
        <w:tblLook w:firstColumn="1" w:firstRow="1" w:lastColumn="0" w:lastRow="0" w:noHBand="0" w:noVBand="1" w:val="04A0"/>
      </w:tblPr>
      <w:tblGrid>
        <w:gridCol w:w="10310"/>
      </w:tblGrid>
      <w:tr>
        <w:trPr>
          <w:cantSplit/>
          <w:tblHeader w:val="true"/>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C - Competence. Separate legal-professional authority from the individual counselor’s current preparation and support.</w:t>
            </w:r>
          </w:p>
        </w:tc>
      </w:tr>
    </w:tbl>
    <w:p>
      <w:pPr>
        <w:spacing w:after="0"/>
      </w:pPr>
    </w:p>
    <w:p>
      <w:r>
        <w:br w:type="page"/>
      </w:r>
    </w:p>
    <w:p>
      <w:pPr>
        <w:pStyle w:val="Heading2"/>
        <w:spacing w:before="0" w:after="60"/>
      </w:pPr>
      <w:r>
        <w:rPr>
          <w:rFonts w:ascii="Arial" w:hAnsi="Arial" w:eastAsia="Arial"/>
          <w:b/>
          <w:color w:val="159C9C"/>
          <w:sz w:val="26"/>
        </w:rPr>
        <w:t>Question 3 (LPCC-WB02-PB-Q003)</w:t>
      </w:r>
    </w:p>
    <w:p>
      <w:pPr>
        <w:spacing w:before="100" w:after="40"/>
        <w:keepNext/>
      </w:pPr>
      <w:r>
        <w:rPr>
          <w:rFonts w:ascii="Arial" w:hAnsi="Arial" w:eastAsia="Arial"/>
          <w:b/>
          <w:color w:val="1F7A8C"/>
          <w:sz w:val="17"/>
        </w:rPr>
        <w:t>LPCC-WB02-PB-Q003 | Application | Moderate | Primary concept: California assessment exclusions</w:t>
      </w:r>
    </w:p>
    <w:p>
      <w:pPr>
        <w:spacing w:after="60" w:line="250" w:lineRule="auto"/>
      </w:pPr>
      <w:r>
        <w:rPr>
          <w:rFonts w:ascii="Arial" w:hAnsi="Arial" w:eastAsia="Arial"/>
          <w:b/>
          <w:color w:val="1F2937"/>
          <w:sz w:val="20"/>
        </w:rPr>
        <w:t>An LPCC is asked to use a three-test battery to determine whether a client has dementia. What is the BEST response?</w:t>
      </w:r>
    </w:p>
    <w:p>
      <w:pPr>
        <w:spacing w:after="40"/>
        <w:ind w:left="230" w:hanging="230"/>
      </w:pPr>
      <w:r>
        <w:rPr>
          <w:rFonts w:ascii="Arial" w:hAnsi="Arial" w:eastAsia="Arial"/>
          <w:sz w:val="20"/>
        </w:rPr>
        <w:t>A. Use the battery if the client signs informed consent and the counselor follows the manuals.</w:t>
      </w:r>
    </w:p>
    <w:p>
      <w:pPr>
        <w:spacing w:after="40"/>
        <w:ind w:left="230" w:hanging="230"/>
      </w:pPr>
      <w:r>
        <w:rPr>
          <w:rFonts w:ascii="Arial" w:hAnsi="Arial" w:eastAsia="Arial"/>
          <w:sz w:val="20"/>
        </w:rPr>
        <w:t>B. Decline the excluded testing, continue appropriate counseling assessment within scope and competence, and coordinate referral to a qualified professional.</w:t>
      </w:r>
    </w:p>
    <w:p>
      <w:pPr>
        <w:spacing w:after="40"/>
        <w:ind w:left="230" w:hanging="230"/>
      </w:pPr>
      <w:r>
        <w:rPr>
          <w:rFonts w:ascii="Arial" w:hAnsi="Arial" w:eastAsia="Arial"/>
          <w:sz w:val="20"/>
        </w:rPr>
        <w:t>C. Avoid all formal or informal assessment because LPCCs may not use assessment tools.</w:t>
      </w:r>
    </w:p>
    <w:p>
      <w:pPr>
        <w:spacing w:after="40"/>
        <w:ind w:left="230" w:hanging="230"/>
      </w:pPr>
      <w:r>
        <w:rPr>
          <w:rFonts w:ascii="Arial" w:hAnsi="Arial" w:eastAsia="Arial"/>
          <w:sz w:val="20"/>
        </w:rPr>
        <w:t>D. Administer only two of the three tests so the activity is automatically within scope.</w:t>
      </w:r>
    </w:p>
    <w:tbl>
      <w:tblPr>
        <w:tblW w:type="auto" w:w="0"/>
        <w:jc w:val="center"/>
        <w:tblLook w:firstColumn="1" w:firstRow="1" w:lastColumn="0" w:lastRow="0" w:noHBand="0" w:noVBand="1" w:val="04A0"/>
      </w:tblPr>
      <w:tblGrid>
        <w:gridCol w:w="10310"/>
      </w:tblGrid>
      <w:tr>
        <w:trPr>
          <w:cantSplit/>
          <w:tblHeader w:val="true"/>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B. Decline the excluded testing, continue appropriate counseling assessment within scope and competence, and coordinate referral to a qualified professional.</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Client consent and test manuals cannot override a statutory scope exclusion.</w:t>
      </w:r>
    </w:p>
    <w:p>
      <w:pPr>
        <w:spacing w:after="60" w:line="250" w:lineRule="auto"/>
        <w:ind w:left="173" w:hanging="173"/>
      </w:pPr>
      <w:r>
        <w:rPr>
          <w:rFonts w:ascii="Arial" w:hAnsi="Arial" w:eastAsia="Arial"/>
          <w:b/>
          <w:color w:val="1F7A8C"/>
          <w:sz w:val="20"/>
        </w:rPr>
        <w:t xml:space="preserve">B. </w:t>
      </w:r>
      <w:r>
        <w:rPr>
          <w:rFonts w:ascii="Arial" w:hAnsi="Arial" w:eastAsia="Arial"/>
          <w:b/>
          <w:color w:val="1F7A8C"/>
          <w:sz w:val="20"/>
        </w:rPr>
        <w:t xml:space="preserve">Correct. </w:t>
      </w:r>
      <w:r>
        <w:rPr>
          <w:rFonts w:ascii="Arial" w:hAnsi="Arial" w:eastAsia="Arial"/>
          <w:color w:val="1F2937"/>
          <w:sz w:val="20"/>
        </w:rPr>
        <w:t>This preserves the counseling role while referring the excluded diagnostic testing to a qualified professional.</w:t>
      </w:r>
    </w:p>
    <w:p>
      <w:pPr>
        <w:spacing w:after="60" w:line="250" w:lineRule="auto"/>
        <w:ind w:left="173" w:hanging="173"/>
      </w:pPr>
      <w:r>
        <w:rPr>
          <w:rFonts w:ascii="Arial" w:hAnsi="Arial" w:eastAsia="Arial"/>
          <w:b/>
          <w:color w:val="17365D"/>
          <w:sz w:val="20"/>
        </w:rPr>
        <w:t xml:space="preserve">C. </w:t>
      </w:r>
      <w:r>
        <w:rPr>
          <w:rFonts w:ascii="Arial" w:hAnsi="Arial" w:eastAsia="Arial"/>
          <w:b/>
          <w:color w:val="1F2937"/>
          <w:sz w:val="20"/>
        </w:rPr>
        <w:t xml:space="preserve">Incorrect. </w:t>
      </w:r>
      <w:r>
        <w:rPr>
          <w:rFonts w:ascii="Arial" w:hAnsi="Arial" w:eastAsia="Arial"/>
          <w:color w:val="1F2937"/>
          <w:sz w:val="20"/>
        </w:rPr>
        <w:t>California LPCCs may select and use appropriate counseling assessments within statutory scope and individual competence.</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Changing the number of tests does not establish competence or make an otherwise excluded purpose appropriate.</w:t>
      </w:r>
    </w:p>
    <w:tbl>
      <w:tblPr>
        <w:tblW w:type="auto" w:w="0"/>
        <w:jc w:val="center"/>
        <w:tblLook w:firstColumn="1" w:firstRow="1" w:lastColumn="0" w:lastRow="0" w:noHBand="0" w:noVBand="1" w:val="04A0"/>
      </w:tblPr>
      <w:tblGrid>
        <w:gridCol w:w="10310"/>
      </w:tblGrid>
      <w:tr>
        <w:trPr>
          <w:cantSplit/>
          <w:tblHeader w:val="true"/>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Do not confuse “assessment is allowed” with “every test and every assessment purpose is allowed.” Preserve the counseling work and refer the excluded function.</w:t>
            </w:r>
          </w:p>
        </w:tc>
      </w:tr>
    </w:tbl>
    <w:p>
      <w:pPr>
        <w:spacing w:after="0"/>
      </w:pPr>
    </w:p>
    <w:tbl>
      <w:tblPr>
        <w:tblW w:type="auto" w:w="0"/>
        <w:jc w:val="center"/>
        <w:tblLook w:firstColumn="1" w:firstRow="1" w:lastColumn="0" w:lastRow="0" w:noHBand="0" w:noVBand="1" w:val="04A0"/>
      </w:tblPr>
      <w:tblGrid>
        <w:gridCol w:w="10310"/>
      </w:tblGrid>
      <w:tr>
        <w:trPr>
          <w:cantSplit/>
          <w:tblHeader w:val="true"/>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A - Assessment limits. Identify both the assessment method and the purpose before deciding whether it is within scope.</w:t>
            </w:r>
          </w:p>
        </w:tc>
      </w:tr>
    </w:tbl>
    <w:p>
      <w:pPr>
        <w:spacing w:after="0"/>
      </w:pPr>
    </w:p>
    <w:p>
      <w:r>
        <w:br w:type="page"/>
      </w:r>
    </w:p>
    <w:p>
      <w:pPr>
        <w:pStyle w:val="Heading2"/>
        <w:spacing w:before="0" w:after="60"/>
      </w:pPr>
      <w:r>
        <w:rPr>
          <w:rFonts w:ascii="Arial" w:hAnsi="Arial" w:eastAsia="Arial"/>
          <w:b/>
          <w:color w:val="159C9C"/>
          <w:sz w:val="26"/>
        </w:rPr>
        <w:t>Question 4 (LPCC-WB02-PB-Q004)</w:t>
      </w:r>
    </w:p>
    <w:p>
      <w:pPr>
        <w:spacing w:before="100" w:after="40"/>
        <w:keepNext/>
      </w:pPr>
      <w:r>
        <w:rPr>
          <w:rFonts w:ascii="Arial" w:hAnsi="Arial" w:eastAsia="Arial"/>
          <w:b/>
          <w:color w:val="1F7A8C"/>
          <w:sz w:val="17"/>
        </w:rPr>
        <w:t>LPCC-WB02-PB-Q004 | Scenario-Based | Moderate | Primary concept: APCC status and supervision</w:t>
      </w:r>
    </w:p>
    <w:p>
      <w:pPr>
        <w:spacing w:after="60" w:line="250" w:lineRule="auto"/>
      </w:pPr>
      <w:r>
        <w:rPr>
          <w:rFonts w:ascii="Arial" w:hAnsi="Arial" w:eastAsia="Arial"/>
          <w:b/>
          <w:color w:val="1F2937"/>
          <w:sz w:val="20"/>
        </w:rPr>
        <w:t>An APCC has completed supervised hours and passed the NCMHCE, but the Board has not issued the LPCC license. A group practice offers the APCC an independent-contractor role with a licensed clinician available for occasional consultation. What should the APCC do?</w:t>
      </w:r>
    </w:p>
    <w:p>
      <w:pPr>
        <w:spacing w:after="40"/>
        <w:ind w:left="230" w:hanging="230"/>
      </w:pPr>
      <w:r>
        <w:rPr>
          <w:rFonts w:ascii="Arial" w:hAnsi="Arial" w:eastAsia="Arial"/>
          <w:sz w:val="20"/>
        </w:rPr>
        <w:t>A. Accept because passing the clinical exam creates independent-practice authority.</w:t>
      </w:r>
    </w:p>
    <w:p>
      <w:pPr>
        <w:spacing w:after="40"/>
        <w:ind w:left="230" w:hanging="230"/>
      </w:pPr>
      <w:r>
        <w:rPr>
          <w:rFonts w:ascii="Arial" w:hAnsi="Arial" w:eastAsia="Arial"/>
          <w:sz w:val="20"/>
        </w:rPr>
        <w:t>B. Accept if the APCC tells clients that licensure is pending.</w:t>
      </w:r>
    </w:p>
    <w:p>
      <w:pPr>
        <w:spacing w:after="40"/>
        <w:ind w:left="230" w:hanging="230"/>
      </w:pPr>
      <w:r>
        <w:rPr>
          <w:rFonts w:ascii="Arial" w:hAnsi="Arial" w:eastAsia="Arial"/>
          <w:sz w:val="20"/>
        </w:rPr>
        <w:t>C. Accept because consultation by a licensee is equivalent to supervision.</w:t>
      </w:r>
    </w:p>
    <w:p>
      <w:pPr>
        <w:spacing w:after="40"/>
        <w:ind w:left="230" w:hanging="230"/>
      </w:pPr>
      <w:r>
        <w:rPr>
          <w:rFonts w:ascii="Arial" w:hAnsi="Arial" w:eastAsia="Arial"/>
          <w:sz w:val="20"/>
        </w:rPr>
        <w:t>D. Decline the independent arrangement and continue only in a legally permitted supervised role until the LPCC license is issued.</w:t>
      </w:r>
    </w:p>
    <w:tbl>
      <w:tblPr>
        <w:tblW w:type="auto" w:w="0"/>
        <w:jc w:val="center"/>
        <w:tblLook w:firstColumn="1" w:firstRow="1" w:lastColumn="0" w:lastRow="0" w:noHBand="0" w:noVBand="1" w:val="04A0"/>
      </w:tblPr>
      <w:tblGrid>
        <w:gridCol w:w="10310"/>
      </w:tblGrid>
      <w:tr>
        <w:trPr>
          <w:cantSplit/>
          <w:tblHeader w:val="true"/>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D. Decline the independent arrangement and continue only in a legally permitted supervised role until the LPCC license is issued.</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Passing the examination does not itself issue a license or create independent-practice authority.</w:t>
      </w:r>
    </w:p>
    <w:p>
      <w:pPr>
        <w:spacing w:after="60" w:line="250" w:lineRule="auto"/>
        <w:ind w:left="173" w:hanging="173"/>
      </w:pPr>
      <w:r>
        <w:rPr>
          <w:rFonts w:ascii="Arial" w:hAnsi="Arial" w:eastAsia="Arial"/>
          <w:b/>
          <w:color w:val="17365D"/>
          <w:sz w:val="20"/>
        </w:rPr>
        <w:t xml:space="preserve">B. </w:t>
      </w:r>
      <w:r>
        <w:rPr>
          <w:rFonts w:ascii="Arial" w:hAnsi="Arial" w:eastAsia="Arial"/>
          <w:b/>
          <w:color w:val="1F2937"/>
          <w:sz w:val="20"/>
        </w:rPr>
        <w:t xml:space="preserve">Incorrect. </w:t>
      </w:r>
      <w:r>
        <w:rPr>
          <w:rFonts w:ascii="Arial" w:hAnsi="Arial" w:eastAsia="Arial"/>
          <w:color w:val="1F2937"/>
          <w:sz w:val="20"/>
        </w:rPr>
        <w:t>Disclosure does not cure an impermissible independent arrangement.</w:t>
      </w:r>
    </w:p>
    <w:p>
      <w:pPr>
        <w:spacing w:after="60" w:line="250" w:lineRule="auto"/>
        <w:ind w:left="173" w:hanging="173"/>
      </w:pPr>
      <w:r>
        <w:rPr>
          <w:rFonts w:ascii="Arial" w:hAnsi="Arial" w:eastAsia="Arial"/>
          <w:b/>
          <w:color w:val="17365D"/>
          <w:sz w:val="20"/>
        </w:rPr>
        <w:t xml:space="preserve">C. </w:t>
      </w:r>
      <w:r>
        <w:rPr>
          <w:rFonts w:ascii="Arial" w:hAnsi="Arial" w:eastAsia="Arial"/>
          <w:b/>
          <w:color w:val="1F2937"/>
          <w:sz w:val="20"/>
        </w:rPr>
        <w:t xml:space="preserve">Incorrect. </w:t>
      </w:r>
      <w:r>
        <w:rPr>
          <w:rFonts w:ascii="Arial" w:hAnsi="Arial" w:eastAsia="Arial"/>
          <w:color w:val="1F2937"/>
          <w:sz w:val="20"/>
        </w:rPr>
        <w:t>Consultation is not a substitute for the formal supervision required for an associate or applicant for licensure.</w:t>
      </w:r>
    </w:p>
    <w:p>
      <w:pPr>
        <w:spacing w:after="60" w:line="250" w:lineRule="auto"/>
        <w:ind w:left="173" w:hanging="173"/>
      </w:pPr>
      <w:r>
        <w:rPr>
          <w:rFonts w:ascii="Arial" w:hAnsi="Arial" w:eastAsia="Arial"/>
          <w:b/>
          <w:color w:val="1F7A8C"/>
          <w:sz w:val="20"/>
        </w:rPr>
        <w:t xml:space="preserve">D. </w:t>
      </w:r>
      <w:r>
        <w:rPr>
          <w:rFonts w:ascii="Arial" w:hAnsi="Arial" w:eastAsia="Arial"/>
          <w:b/>
          <w:color w:val="1F7A8C"/>
          <w:sz w:val="20"/>
        </w:rPr>
        <w:t xml:space="preserve">Correct. </w:t>
      </w:r>
      <w:r>
        <w:rPr>
          <w:rFonts w:ascii="Arial" w:hAnsi="Arial" w:eastAsia="Arial"/>
          <w:color w:val="1F2937"/>
          <w:sz w:val="20"/>
        </w:rPr>
        <w:t>This preserves supervised associate status and avoids independent-contractor practice before license issuance.</w:t>
      </w:r>
    </w:p>
    <w:tbl>
      <w:tblPr>
        <w:tblW w:type="auto" w:w="0"/>
        <w:jc w:val="center"/>
        <w:tblLook w:firstColumn="1" w:firstRow="1" w:lastColumn="0" w:lastRow="0" w:noHBand="0" w:noVBand="1" w:val="04A0"/>
      </w:tblPr>
      <w:tblGrid>
        <w:gridCol w:w="10310"/>
      </w:tblGrid>
      <w:tr>
        <w:trPr>
          <w:cantSplit/>
          <w:tblHeader w:val="true"/>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Status questions turn on what is true now, not what the candidate has nearly completed. Hours and exams do not equal license issuance.</w:t>
            </w:r>
          </w:p>
        </w:tc>
      </w:tr>
    </w:tbl>
    <w:p>
      <w:pPr>
        <w:spacing w:after="0"/>
      </w:pPr>
    </w:p>
    <w:tbl>
      <w:tblPr>
        <w:tblW w:type="auto" w:w="0"/>
        <w:jc w:val="center"/>
        <w:tblLook w:firstColumn="1" w:firstRow="1" w:lastColumn="0" w:lastRow="0" w:noHBand="0" w:noVBand="1" w:val="04A0"/>
      </w:tblPr>
      <w:tblGrid>
        <w:gridCol w:w="10310"/>
      </w:tblGrid>
      <w:tr>
        <w:trPr>
          <w:cantSplit/>
          <w:tblHeader w:val="true"/>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S - Status / supervision. Verify current registration or license status and the required supervision arrangement before accepting a role.</w:t>
            </w:r>
          </w:p>
        </w:tc>
      </w:tr>
    </w:tbl>
    <w:p>
      <w:pPr>
        <w:spacing w:after="0"/>
      </w:pPr>
    </w:p>
    <w:p>
      <w:r>
        <w:br w:type="page"/>
      </w:r>
    </w:p>
    <w:p>
      <w:pPr>
        <w:pStyle w:val="Heading2"/>
        <w:spacing w:before="0" w:after="60"/>
      </w:pPr>
      <w:r>
        <w:rPr>
          <w:rFonts w:ascii="Arial" w:hAnsi="Arial" w:eastAsia="Arial"/>
          <w:b/>
          <w:color w:val="159C9C"/>
          <w:sz w:val="26"/>
        </w:rPr>
        <w:t>Question 5 (LPCC-WB02-PB-Q005)</w:t>
      </w:r>
    </w:p>
    <w:p>
      <w:pPr>
        <w:spacing w:before="100" w:after="40"/>
        <w:keepNext/>
      </w:pPr>
      <w:r>
        <w:rPr>
          <w:rFonts w:ascii="Arial" w:hAnsi="Arial" w:eastAsia="Arial"/>
          <w:b/>
          <w:color w:val="1F7A8C"/>
          <w:sz w:val="17"/>
        </w:rPr>
        <w:t>LPCC-WB02-PB-Q005 | Integrated Clinical Reasoning | Difficult | Primary concept: Counselor-client suitability and conflict</w:t>
      </w:r>
    </w:p>
    <w:p>
      <w:pPr>
        <w:spacing w:after="60" w:line="250" w:lineRule="auto"/>
      </w:pPr>
      <w:r>
        <w:rPr>
          <w:rFonts w:ascii="Arial" w:hAnsi="Arial" w:eastAsia="Arial"/>
          <w:b/>
          <w:color w:val="1F2937"/>
          <w:sz w:val="20"/>
        </w:rPr>
        <w:t>A counselor is clinically trained to treat a prospective client’s trauma symptoms. The counselor is also involved in an unresolved lawsuit against the client’s employer, and the employer will be the central subject of treatment. What is the BEST initial response?</w:t>
      </w:r>
    </w:p>
    <w:p>
      <w:pPr>
        <w:spacing w:after="40"/>
        <w:ind w:left="230" w:hanging="230"/>
      </w:pPr>
      <w:r>
        <w:rPr>
          <w:rFonts w:ascii="Arial" w:hAnsi="Arial" w:eastAsia="Arial"/>
          <w:sz w:val="20"/>
        </w:rPr>
        <w:t>A. Accept the client because clinical competence is the only relevant consideration.</w:t>
      </w:r>
    </w:p>
    <w:p>
      <w:pPr>
        <w:spacing w:after="40"/>
        <w:ind w:left="230" w:hanging="230"/>
      </w:pPr>
      <w:r>
        <w:rPr>
          <w:rFonts w:ascii="Arial" w:hAnsi="Arial" w:eastAsia="Arial"/>
          <w:sz w:val="20"/>
        </w:rPr>
        <w:t>B. Evaluate whether the conflict could impair objectivity or create role complications, seek consultation as needed, and consider an alternative referral before accepting the case.</w:t>
      </w:r>
    </w:p>
    <w:p>
      <w:pPr>
        <w:spacing w:after="40"/>
        <w:ind w:left="230" w:hanging="230"/>
      </w:pPr>
      <w:r>
        <w:rPr>
          <w:rFonts w:ascii="Arial" w:hAnsi="Arial" w:eastAsia="Arial"/>
          <w:sz w:val="20"/>
        </w:rPr>
        <w:t>C. Accept the case but instruct the client not to discuss the employer.</w:t>
      </w:r>
    </w:p>
    <w:p>
      <w:pPr>
        <w:spacing w:after="40"/>
        <w:ind w:left="230" w:hanging="230"/>
      </w:pPr>
      <w:r>
        <w:rPr>
          <w:rFonts w:ascii="Arial" w:hAnsi="Arial" w:eastAsia="Arial"/>
          <w:sz w:val="20"/>
        </w:rPr>
        <w:t>D. Accept the case and disclose the lawsuit only if the client later asks about it.</w:t>
      </w:r>
    </w:p>
    <w:tbl>
      <w:tblPr>
        <w:tblW w:type="auto" w:w="0"/>
        <w:jc w:val="center"/>
        <w:tblLook w:firstColumn="1" w:firstRow="1" w:lastColumn="0" w:lastRow="0" w:noHBand="0" w:noVBand="1" w:val="04A0"/>
      </w:tblPr>
      <w:tblGrid>
        <w:gridCol w:w="10310"/>
      </w:tblGrid>
      <w:tr>
        <w:trPr>
          <w:cantSplit/>
          <w:tblHeader w:val="true"/>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B. Evaluate whether the conflict could impair objectivity or create role complications, seek consultation as needed, and consider an alternative referral before accepting the case.</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Clinical skill does not eliminate conflicts, divided loyalties, or threats to objectivity and trust.</w:t>
      </w:r>
    </w:p>
    <w:p>
      <w:pPr>
        <w:spacing w:after="60" w:line="250" w:lineRule="auto"/>
        <w:ind w:left="173" w:hanging="173"/>
      </w:pPr>
      <w:r>
        <w:rPr>
          <w:rFonts w:ascii="Arial" w:hAnsi="Arial" w:eastAsia="Arial"/>
          <w:b/>
          <w:color w:val="1F7A8C"/>
          <w:sz w:val="20"/>
        </w:rPr>
        <w:t xml:space="preserve">B. </w:t>
      </w:r>
      <w:r>
        <w:rPr>
          <w:rFonts w:ascii="Arial" w:hAnsi="Arial" w:eastAsia="Arial"/>
          <w:b/>
          <w:color w:val="1F7A8C"/>
          <w:sz w:val="20"/>
        </w:rPr>
        <w:t xml:space="preserve">Correct. </w:t>
      </w:r>
      <w:r>
        <w:rPr>
          <w:rFonts w:ascii="Arial" w:hAnsi="Arial" w:eastAsia="Arial"/>
          <w:color w:val="1F2937"/>
          <w:sz w:val="20"/>
        </w:rPr>
        <w:t>This evaluates suitability before the relationship begins and uses consultation and referral proportionately.</w:t>
      </w:r>
    </w:p>
    <w:p>
      <w:pPr>
        <w:spacing w:after="60" w:line="250" w:lineRule="auto"/>
        <w:ind w:left="173" w:hanging="173"/>
      </w:pPr>
      <w:r>
        <w:rPr>
          <w:rFonts w:ascii="Arial" w:hAnsi="Arial" w:eastAsia="Arial"/>
          <w:b/>
          <w:color w:val="17365D"/>
          <w:sz w:val="20"/>
        </w:rPr>
        <w:t xml:space="preserve">C. </w:t>
      </w:r>
      <w:r>
        <w:rPr>
          <w:rFonts w:ascii="Arial" w:hAnsi="Arial" w:eastAsia="Arial"/>
          <w:b/>
          <w:color w:val="1F2937"/>
          <w:sz w:val="20"/>
        </w:rPr>
        <w:t xml:space="preserve">Incorrect. </w:t>
      </w:r>
      <w:r>
        <w:rPr>
          <w:rFonts w:ascii="Arial" w:hAnsi="Arial" w:eastAsia="Arial"/>
          <w:color w:val="1F2937"/>
          <w:sz w:val="20"/>
        </w:rPr>
        <w:t>The employer is central to treatment; prohibiting discussion would distort the clinical work.</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Delayed disclosure may deprive the client of informed choice and allow avoidable role complications to develop.</w:t>
      </w:r>
    </w:p>
    <w:tbl>
      <w:tblPr>
        <w:tblW w:type="auto" w:w="0"/>
        <w:jc w:val="center"/>
        <w:tblLook w:firstColumn="1" w:firstRow="1" w:lastColumn="0" w:lastRow="0" w:noHBand="0" w:noVBand="1" w:val="04A0"/>
      </w:tblPr>
      <w:tblGrid>
        <w:gridCol w:w="10310"/>
      </w:tblGrid>
      <w:tr>
        <w:trPr>
          <w:cantSplit/>
          <w:tblHeader w:val="true"/>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A “competent” counselor can still be a poor fit because of conflicts, availability, setting, power, or personal activation.</w:t>
            </w:r>
          </w:p>
        </w:tc>
      </w:tr>
    </w:tbl>
    <w:p>
      <w:pPr>
        <w:spacing w:after="0"/>
      </w:pPr>
    </w:p>
    <w:tbl>
      <w:tblPr>
        <w:tblW w:type="auto" w:w="0"/>
        <w:jc w:val="center"/>
        <w:tblLook w:firstColumn="1" w:firstRow="1" w:lastColumn="0" w:lastRow="0" w:noHBand="0" w:noVBand="1" w:val="04A0"/>
      </w:tblPr>
      <w:tblGrid>
        <w:gridCol w:w="10310"/>
      </w:tblGrid>
      <w:tr>
        <w:trPr>
          <w:cantSplit/>
          <w:tblHeader w:val="true"/>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F - Fit / conflict. Evaluate competence, conflicts, objectivity, and service fit before accepting the counseling relationship.</w:t>
            </w:r>
          </w:p>
        </w:tc>
      </w:tr>
    </w:tbl>
    <w:p>
      <w:pPr>
        <w:spacing w:after="0"/>
      </w:pPr>
    </w:p>
    <w:p>
      <w:r>
        <w:br w:type="page"/>
      </w:r>
    </w:p>
    <w:p>
      <w:pPr>
        <w:pStyle w:val="Heading2"/>
        <w:spacing w:before="0" w:after="60"/>
      </w:pPr>
      <w:r>
        <w:rPr>
          <w:rFonts w:ascii="Arial" w:hAnsi="Arial" w:eastAsia="Arial"/>
          <w:b/>
          <w:color w:val="159C9C"/>
          <w:sz w:val="26"/>
        </w:rPr>
        <w:t>Question 6 (LPCC-WB02-PB-Q006)</w:t>
      </w:r>
    </w:p>
    <w:p>
      <w:pPr>
        <w:spacing w:before="100" w:after="40"/>
        <w:keepNext/>
      </w:pPr>
      <w:r>
        <w:rPr>
          <w:rFonts w:ascii="Arial" w:hAnsi="Arial" w:eastAsia="Arial"/>
          <w:b/>
          <w:color w:val="1F7A8C"/>
          <w:sz w:val="17"/>
        </w:rPr>
        <w:t>LPCC-WB02-PB-Q006 | Application | Easy | Primary concept: Immediate counseling role within scope</w:t>
      </w:r>
    </w:p>
    <w:p>
      <w:pPr>
        <w:spacing w:after="60" w:line="250" w:lineRule="auto"/>
      </w:pPr>
      <w:r>
        <w:rPr>
          <w:rFonts w:ascii="Arial" w:hAnsi="Arial" w:eastAsia="Arial"/>
          <w:b/>
          <w:color w:val="1F2937"/>
          <w:sz w:val="20"/>
        </w:rPr>
        <w:t>What is Leila’s BEST initial response to the insurer’s testing request and Mateo’s request for help today?</w:t>
      </w:r>
    </w:p>
    <w:p>
      <w:pPr>
        <w:spacing w:after="40"/>
        <w:ind w:left="230" w:hanging="230"/>
      </w:pPr>
      <w:r>
        <w:rPr>
          <w:rFonts w:ascii="Arial" w:hAnsi="Arial" w:eastAsia="Arial"/>
          <w:sz w:val="20"/>
        </w:rPr>
        <w:t>A. Administer the requested tests because the insurer needs objective information.</w:t>
      </w:r>
    </w:p>
    <w:p>
      <w:pPr>
        <w:spacing w:after="40"/>
        <w:ind w:left="230" w:hanging="230"/>
      </w:pPr>
      <w:r>
        <w:rPr>
          <w:rFonts w:ascii="Arial" w:hAnsi="Arial" w:eastAsia="Arial"/>
          <w:sz w:val="20"/>
        </w:rPr>
        <w:t>B. Decline all services until Mateo completes neuropsychological testing.</w:t>
      </w:r>
    </w:p>
    <w:p>
      <w:pPr>
        <w:spacing w:after="40"/>
        <w:ind w:left="230" w:hanging="230"/>
      </w:pPr>
      <w:r>
        <w:rPr>
          <w:rFonts w:ascii="Arial" w:hAnsi="Arial" w:eastAsia="Arial"/>
          <w:sz w:val="20"/>
        </w:rPr>
        <w:t>C. Provide an appropriate counseling and safety assessment, explain the limits of her role, seek supervision, and coordinate medical or specialist referral while continuing support within competence.</w:t>
      </w:r>
    </w:p>
    <w:p>
      <w:pPr>
        <w:spacing w:after="40"/>
        <w:ind w:left="230" w:hanging="230"/>
      </w:pPr>
      <w:r>
        <w:rPr>
          <w:rFonts w:ascii="Arial" w:hAnsi="Arial" w:eastAsia="Arial"/>
          <w:sz w:val="20"/>
        </w:rPr>
        <w:t>D. Ask Mateo to choose whether the tests are appropriate because informed consent transfers the decision to the client.</w:t>
      </w:r>
    </w:p>
    <w:tbl>
      <w:tblPr>
        <w:tblW w:type="auto" w:w="0"/>
        <w:jc w:val="center"/>
        <w:tblLook w:firstColumn="1" w:firstRow="1" w:lastColumn="0" w:lastRow="0" w:noHBand="0" w:noVBand="1" w:val="04A0"/>
      </w:tblPr>
      <w:tblGrid>
        <w:gridCol w:w="10310"/>
      </w:tblGrid>
      <w:tr>
        <w:trPr>
          <w:cantSplit/>
          <w:tblHeader w:val="true"/>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C. Provide an appropriate counseling and safety assessment, explain the limits of her role, seek supervision, and coordinate medical or specialist referral while continuing support within competence.</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The requested methods are outside California LPCC assessment scope and outside Leila’s training.</w:t>
      </w:r>
    </w:p>
    <w:p>
      <w:pPr>
        <w:spacing w:after="60" w:line="250" w:lineRule="auto"/>
        <w:ind w:left="173" w:hanging="173"/>
      </w:pPr>
      <w:r>
        <w:rPr>
          <w:rFonts w:ascii="Arial" w:hAnsi="Arial" w:eastAsia="Arial"/>
          <w:b/>
          <w:color w:val="17365D"/>
          <w:sz w:val="20"/>
        </w:rPr>
        <w:t xml:space="preserve">B. </w:t>
      </w:r>
      <w:r>
        <w:rPr>
          <w:rFonts w:ascii="Arial" w:hAnsi="Arial" w:eastAsia="Arial"/>
          <w:b/>
          <w:color w:val="1F2937"/>
          <w:sz w:val="20"/>
        </w:rPr>
        <w:t xml:space="preserve">Incorrect. </w:t>
      </w:r>
      <w:r>
        <w:rPr>
          <w:rFonts w:ascii="Arial" w:hAnsi="Arial" w:eastAsia="Arial"/>
          <w:color w:val="1F2937"/>
          <w:sz w:val="20"/>
        </w:rPr>
        <w:t>A total service refusal is unnecessary and may disrupt care. Leila can still provide counseling services within scope and competence.</w:t>
      </w:r>
    </w:p>
    <w:p>
      <w:pPr>
        <w:spacing w:after="60" w:line="250" w:lineRule="auto"/>
        <w:ind w:left="173" w:hanging="173"/>
      </w:pPr>
      <w:r>
        <w:rPr>
          <w:rFonts w:ascii="Arial" w:hAnsi="Arial" w:eastAsia="Arial"/>
          <w:b/>
          <w:color w:val="1F7A8C"/>
          <w:sz w:val="20"/>
        </w:rPr>
        <w:t xml:space="preserve">C. </w:t>
      </w:r>
      <w:r>
        <w:rPr>
          <w:rFonts w:ascii="Arial" w:hAnsi="Arial" w:eastAsia="Arial"/>
          <w:b/>
          <w:color w:val="1F7A8C"/>
          <w:sz w:val="20"/>
        </w:rPr>
        <w:t xml:space="preserve">Correct. </w:t>
      </w:r>
      <w:r>
        <w:rPr>
          <w:rFonts w:ascii="Arial" w:hAnsi="Arial" w:eastAsia="Arial"/>
          <w:color w:val="1F2937"/>
          <w:sz w:val="20"/>
        </w:rPr>
        <w:t>This protects scope, supervision, continuity, and the client’s immediate counseling needs in the correct sequence.</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Client choice matters, but informed consent cannot authorize excluded or incompetent professional activity.</w:t>
      </w:r>
    </w:p>
    <w:tbl>
      <w:tblPr>
        <w:tblW w:type="auto" w:w="0"/>
        <w:jc w:val="center"/>
        <w:tblLook w:firstColumn="1" w:firstRow="1" w:lastColumn="0" w:lastRow="0" w:noHBand="0" w:noVBand="1" w:val="04A0"/>
      </w:tblPr>
      <w:tblGrid>
        <w:gridCol w:w="10310"/>
      </w:tblGrid>
      <w:tr>
        <w:trPr>
          <w:cantSplit/>
          <w:tblHeader w:val="true"/>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Preserve the portion of the case that remains within the counselor role. “Refer” does not mean “abandon.”</w:t>
            </w:r>
          </w:p>
        </w:tc>
      </w:tr>
    </w:tbl>
    <w:p>
      <w:pPr>
        <w:spacing w:after="0"/>
      </w:pPr>
    </w:p>
    <w:tbl>
      <w:tblPr>
        <w:tblW w:type="auto" w:w="0"/>
        <w:jc w:val="center"/>
        <w:tblLook w:firstColumn="1" w:firstRow="1" w:lastColumn="0" w:lastRow="0" w:noHBand="0" w:noVBand="1" w:val="04A0"/>
      </w:tblPr>
      <w:tblGrid>
        <w:gridCol w:w="10310"/>
      </w:tblGrid>
      <w:tr>
        <w:trPr>
          <w:cantSplit/>
          <w:tblHeader w:val="true"/>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T - Timing / sequence. Address immediate safety and counseling needs while arranging supervision and the appropriate specialist evaluation.</w:t>
            </w:r>
          </w:p>
        </w:tc>
      </w:tr>
    </w:tbl>
    <w:p>
      <w:pPr>
        <w:spacing w:after="0"/>
      </w:pPr>
    </w:p>
    <w:p>
      <w:r>
        <w:br w:type="page"/>
      </w:r>
    </w:p>
    <w:p>
      <w:pPr>
        <w:pStyle w:val="Heading2"/>
        <w:spacing w:before="0" w:after="60"/>
      </w:pPr>
      <w:r>
        <w:rPr>
          <w:rFonts w:ascii="Arial" w:hAnsi="Arial" w:eastAsia="Arial"/>
          <w:b/>
          <w:color w:val="159C9C"/>
          <w:sz w:val="26"/>
        </w:rPr>
        <w:t>Question 7 (LPCC-WB02-PB-Q007)</w:t>
      </w:r>
    </w:p>
    <w:p>
      <w:pPr>
        <w:spacing w:before="100" w:after="40"/>
        <w:keepNext/>
      </w:pPr>
      <w:r>
        <w:rPr>
          <w:rFonts w:ascii="Arial" w:hAnsi="Arial" w:eastAsia="Arial"/>
          <w:b/>
          <w:color w:val="1F7A8C"/>
          <w:sz w:val="17"/>
        </w:rPr>
        <w:t>LPCC-WB02-PB-Q007 | Scenario-Based | Moderate | Primary concept: Counseling assessment versus excluded testing</w:t>
      </w:r>
    </w:p>
    <w:p>
      <w:pPr>
        <w:spacing w:after="60" w:line="250" w:lineRule="auto"/>
      </w:pPr>
      <w:r>
        <w:rPr>
          <w:rFonts w:ascii="Arial" w:hAnsi="Arial" w:eastAsia="Arial"/>
          <w:b/>
          <w:color w:val="1F2937"/>
          <w:sz w:val="20"/>
        </w:rPr>
        <w:t>Which assessment plan is MOST appropriate for Leila at this stage?</w:t>
      </w:r>
    </w:p>
    <w:p>
      <w:pPr>
        <w:spacing w:after="40"/>
        <w:ind w:left="230" w:hanging="230"/>
      </w:pPr>
      <w:r>
        <w:rPr>
          <w:rFonts w:ascii="Arial" w:hAnsi="Arial" w:eastAsia="Arial"/>
          <w:sz w:val="20"/>
        </w:rPr>
        <w:t>A. Use counseling interviews and appropriate symptom or functioning measures within competence, while referring the intelligence and neuropsychological testing to qualified professionals.</w:t>
      </w:r>
    </w:p>
    <w:p>
      <w:pPr>
        <w:spacing w:after="40"/>
        <w:ind w:left="230" w:hanging="230"/>
      </w:pPr>
      <w:r>
        <w:rPr>
          <w:rFonts w:ascii="Arial" w:hAnsi="Arial" w:eastAsia="Arial"/>
          <w:sz w:val="20"/>
        </w:rPr>
        <w:t>B. Administer the neuropsychological battery but ask Dr. Nguyen to sign the report.</w:t>
      </w:r>
    </w:p>
    <w:p>
      <w:pPr>
        <w:spacing w:after="40"/>
        <w:ind w:left="230" w:hanging="230"/>
      </w:pPr>
      <w:r>
        <w:rPr>
          <w:rFonts w:ascii="Arial" w:hAnsi="Arial" w:eastAsia="Arial"/>
          <w:sz w:val="20"/>
        </w:rPr>
        <w:t>C. Use an intelligence test only, because one excluded method is safer than two.</w:t>
      </w:r>
    </w:p>
    <w:p>
      <w:pPr>
        <w:spacing w:after="40"/>
        <w:ind w:left="230" w:hanging="230"/>
      </w:pPr>
      <w:r>
        <w:rPr>
          <w:rFonts w:ascii="Arial" w:hAnsi="Arial" w:eastAsia="Arial"/>
          <w:sz w:val="20"/>
        </w:rPr>
        <w:t>D. Avoid asking about memory or functioning because those topics belong only to medical professionals.</w:t>
      </w:r>
    </w:p>
    <w:tbl>
      <w:tblPr>
        <w:tblW w:type="auto" w:w="0"/>
        <w:jc w:val="center"/>
        <w:tblLook w:firstColumn="1" w:firstRow="1" w:lastColumn="0" w:lastRow="0" w:noHBand="0" w:noVBand="1" w:val="04A0"/>
      </w:tblPr>
      <w:tblGrid>
        <w:gridCol w:w="10310"/>
      </w:tblGrid>
      <w:tr>
        <w:trPr>
          <w:cantSplit/>
          <w:tblHeader w:val="true"/>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A. Use counseling interviews and appropriate symptom or functioning measures within competence, while referring the intelligence and neuropsychological testing to qualified professionals.</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F7A8C"/>
          <w:sz w:val="20"/>
        </w:rPr>
        <w:t xml:space="preserve">A. </w:t>
      </w:r>
      <w:r>
        <w:rPr>
          <w:rFonts w:ascii="Arial" w:hAnsi="Arial" w:eastAsia="Arial"/>
          <w:b/>
          <w:color w:val="1F7A8C"/>
          <w:sz w:val="20"/>
        </w:rPr>
        <w:t xml:space="preserve">Correct. </w:t>
      </w:r>
      <w:r>
        <w:rPr>
          <w:rFonts w:ascii="Arial" w:hAnsi="Arial" w:eastAsia="Arial"/>
          <w:color w:val="1F2937"/>
          <w:sz w:val="20"/>
        </w:rPr>
        <w:t>Leila may assess counseling-relevant symptoms and functioning within scope and competence while referring the excluded tests.</w:t>
      </w:r>
    </w:p>
    <w:p>
      <w:pPr>
        <w:spacing w:after="60" w:line="250" w:lineRule="auto"/>
        <w:ind w:left="173" w:hanging="173"/>
      </w:pPr>
      <w:r>
        <w:rPr>
          <w:rFonts w:ascii="Arial" w:hAnsi="Arial" w:eastAsia="Arial"/>
          <w:b/>
          <w:color w:val="17365D"/>
          <w:sz w:val="20"/>
        </w:rPr>
        <w:t xml:space="preserve">B. </w:t>
      </w:r>
      <w:r>
        <w:rPr>
          <w:rFonts w:ascii="Arial" w:hAnsi="Arial" w:eastAsia="Arial"/>
          <w:b/>
          <w:color w:val="1F2937"/>
          <w:sz w:val="20"/>
        </w:rPr>
        <w:t xml:space="preserve">Incorrect. </w:t>
      </w:r>
      <w:r>
        <w:rPr>
          <w:rFonts w:ascii="Arial" w:hAnsi="Arial" w:eastAsia="Arial"/>
          <w:color w:val="1F2937"/>
          <w:sz w:val="20"/>
        </w:rPr>
        <w:t>A supervisor’s signature does not convert excluded testing or inadequate training into competent practice.</w:t>
      </w:r>
    </w:p>
    <w:p>
      <w:pPr>
        <w:spacing w:after="60" w:line="250" w:lineRule="auto"/>
        <w:ind w:left="173" w:hanging="173"/>
      </w:pPr>
      <w:r>
        <w:rPr>
          <w:rFonts w:ascii="Arial" w:hAnsi="Arial" w:eastAsia="Arial"/>
          <w:b/>
          <w:color w:val="17365D"/>
          <w:sz w:val="20"/>
        </w:rPr>
        <w:t xml:space="preserve">C. </w:t>
      </w:r>
      <w:r>
        <w:rPr>
          <w:rFonts w:ascii="Arial" w:hAnsi="Arial" w:eastAsia="Arial"/>
          <w:b/>
          <w:color w:val="1F2937"/>
          <w:sz w:val="20"/>
        </w:rPr>
        <w:t xml:space="preserve">Incorrect. </w:t>
      </w:r>
      <w:r>
        <w:rPr>
          <w:rFonts w:ascii="Arial" w:hAnsi="Arial" w:eastAsia="Arial"/>
          <w:color w:val="1F2937"/>
          <w:sz w:val="20"/>
        </w:rPr>
        <w:t>Individually administered intelligence testing remains excluded regardless of whether it is used alone.</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Counselors may explore symptoms, functioning, safety, and treatment needs; the limit concerns specialized testing and competence, not all clinical inquiry.</w:t>
      </w:r>
    </w:p>
    <w:tbl>
      <w:tblPr>
        <w:tblW w:type="auto" w:w="0"/>
        <w:jc w:val="center"/>
        <w:tblLook w:firstColumn="1" w:firstRow="1" w:lastColumn="0" w:lastRow="0" w:noHBand="0" w:noVBand="1" w:val="04A0"/>
      </w:tblPr>
      <w:tblGrid>
        <w:gridCol w:w="10310"/>
      </w:tblGrid>
      <w:tr>
        <w:trPr>
          <w:cantSplit/>
          <w:tblHeader w:val="true"/>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Separate the clinical information you may appropriately gather from the specialized test function that must be referred.</w:t>
            </w:r>
          </w:p>
        </w:tc>
      </w:tr>
    </w:tbl>
    <w:p>
      <w:pPr>
        <w:spacing w:after="0"/>
      </w:pPr>
    </w:p>
    <w:tbl>
      <w:tblPr>
        <w:tblW w:type="auto" w:w="0"/>
        <w:jc w:val="center"/>
        <w:tblLook w:firstColumn="1" w:firstRow="1" w:lastColumn="0" w:lastRow="0" w:noHBand="0" w:noVBand="1" w:val="04A0"/>
      </w:tblPr>
      <w:tblGrid>
        <w:gridCol w:w="10310"/>
      </w:tblGrid>
      <w:tr>
        <w:trPr>
          <w:cantSplit/>
          <w:tblHeader w:val="true"/>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A - Assessment limits. Keep counseling assessment within purpose and competence while referring excluded testing methods.</w:t>
            </w:r>
          </w:p>
        </w:tc>
      </w:tr>
    </w:tbl>
    <w:p>
      <w:pPr>
        <w:spacing w:after="0"/>
      </w:pPr>
    </w:p>
    <w:p>
      <w:r>
        <w:br w:type="page"/>
      </w:r>
    </w:p>
    <w:p>
      <w:pPr>
        <w:pStyle w:val="Heading2"/>
        <w:spacing w:before="0" w:after="60"/>
      </w:pPr>
      <w:r>
        <w:rPr>
          <w:rFonts w:ascii="Arial" w:hAnsi="Arial" w:eastAsia="Arial"/>
          <w:b/>
          <w:color w:val="159C9C"/>
          <w:sz w:val="26"/>
        </w:rPr>
        <w:t>Question 8 (LPCC-WB02-PB-Q008)</w:t>
      </w:r>
    </w:p>
    <w:p>
      <w:pPr>
        <w:spacing w:before="100" w:after="40"/>
        <w:keepNext/>
      </w:pPr>
      <w:r>
        <w:rPr>
          <w:rFonts w:ascii="Arial" w:hAnsi="Arial" w:eastAsia="Arial"/>
          <w:b/>
          <w:color w:val="1F7A8C"/>
          <w:sz w:val="17"/>
        </w:rPr>
        <w:t>LPCC-WB02-PB-Q008 | Integrated Clinical Reasoning | Difficult | Primary concept: Formal supervision and focused consultation</w:t>
      </w:r>
    </w:p>
    <w:p>
      <w:pPr>
        <w:spacing w:after="60" w:line="250" w:lineRule="auto"/>
      </w:pPr>
      <w:r>
        <w:rPr>
          <w:rFonts w:ascii="Arial" w:hAnsi="Arial" w:eastAsia="Arial"/>
          <w:b/>
          <w:color w:val="1F2937"/>
          <w:sz w:val="20"/>
        </w:rPr>
        <w:t>The clinic manager says an outside psychologist can be consulted next week and tells Leila to decide independently today. What should Leila do NEXT?</w:t>
      </w:r>
    </w:p>
    <w:p>
      <w:pPr>
        <w:spacing w:after="40"/>
        <w:ind w:left="230" w:hanging="230"/>
      </w:pPr>
      <w:r>
        <w:rPr>
          <w:rFonts w:ascii="Arial" w:hAnsi="Arial" w:eastAsia="Arial"/>
          <w:sz w:val="20"/>
        </w:rPr>
        <w:t>A. Wait for the psychologist and skip supervision because specialist consultation is more authoritative.</w:t>
      </w:r>
    </w:p>
    <w:p>
      <w:pPr>
        <w:spacing w:after="40"/>
        <w:ind w:left="230" w:hanging="230"/>
      </w:pPr>
      <w:r>
        <w:rPr>
          <w:rFonts w:ascii="Arial" w:hAnsi="Arial" w:eastAsia="Arial"/>
          <w:sz w:val="20"/>
        </w:rPr>
        <w:t>B. Follow the manager’s instruction because administrative authority replaces clinical supervision.</w:t>
      </w:r>
    </w:p>
    <w:p>
      <w:pPr>
        <w:spacing w:after="40"/>
        <w:ind w:left="230" w:hanging="230"/>
      </w:pPr>
      <w:r>
        <w:rPr>
          <w:rFonts w:ascii="Arial" w:hAnsi="Arial" w:eastAsia="Arial"/>
          <w:sz w:val="20"/>
        </w:rPr>
        <w:t>C. Ask Mateo to sign a waiver allowing Leila to make the independent decision.</w:t>
      </w:r>
    </w:p>
    <w:p>
      <w:pPr>
        <w:spacing w:after="40"/>
        <w:ind w:left="230" w:hanging="230"/>
      </w:pPr>
      <w:r>
        <w:rPr>
          <w:rFonts w:ascii="Arial" w:hAnsi="Arial" w:eastAsia="Arial"/>
          <w:sz w:val="20"/>
        </w:rPr>
        <w:t>D. Bring the scope, competence, continuity, and referral questions to Dr. Nguyen before taking action beyond Leila’s current role; use specialist consultation as an additional resource, not a substitute for supervision.</w:t>
      </w:r>
    </w:p>
    <w:tbl>
      <w:tblPr>
        <w:tblW w:type="auto" w:w="0"/>
        <w:jc w:val="center"/>
        <w:tblLook w:firstColumn="1" w:firstRow="1" w:lastColumn="0" w:lastRow="0" w:noHBand="0" w:noVBand="1" w:val="04A0"/>
      </w:tblPr>
      <w:tblGrid>
        <w:gridCol w:w="10310"/>
      </w:tblGrid>
      <w:tr>
        <w:trPr>
          <w:cantSplit/>
          <w:tblHeader w:val="true"/>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D. Bring the scope, competence, continuity, and referral questions to Dr. Nguyen before taking action beyond Leila’s current role; use specialist consultation as an additional resource, not a substitute for supervision.</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Specialist consultation may be useful, but it does not replace required APCC supervision or excuse delayed protective action.</w:t>
      </w:r>
    </w:p>
    <w:p>
      <w:pPr>
        <w:spacing w:after="60" w:line="250" w:lineRule="auto"/>
        <w:ind w:left="173" w:hanging="173"/>
      </w:pPr>
      <w:r>
        <w:rPr>
          <w:rFonts w:ascii="Arial" w:hAnsi="Arial" w:eastAsia="Arial"/>
          <w:b/>
          <w:color w:val="17365D"/>
          <w:sz w:val="20"/>
        </w:rPr>
        <w:t xml:space="preserve">B. </w:t>
      </w:r>
      <w:r>
        <w:rPr>
          <w:rFonts w:ascii="Arial" w:hAnsi="Arial" w:eastAsia="Arial"/>
          <w:b/>
          <w:color w:val="1F2937"/>
          <w:sz w:val="20"/>
        </w:rPr>
        <w:t xml:space="preserve">Incorrect. </w:t>
      </w:r>
      <w:r>
        <w:rPr>
          <w:rFonts w:ascii="Arial" w:hAnsi="Arial" w:eastAsia="Arial"/>
          <w:color w:val="1F2937"/>
          <w:sz w:val="20"/>
        </w:rPr>
        <w:t>A manager cannot replace the clinical supervisor’s oversight responsibilities.</w:t>
      </w:r>
    </w:p>
    <w:p>
      <w:pPr>
        <w:spacing w:after="60" w:line="250" w:lineRule="auto"/>
        <w:ind w:left="173" w:hanging="173"/>
      </w:pPr>
      <w:r>
        <w:rPr>
          <w:rFonts w:ascii="Arial" w:hAnsi="Arial" w:eastAsia="Arial"/>
          <w:b/>
          <w:color w:val="17365D"/>
          <w:sz w:val="20"/>
        </w:rPr>
        <w:t xml:space="preserve">C. </w:t>
      </w:r>
      <w:r>
        <w:rPr>
          <w:rFonts w:ascii="Arial" w:hAnsi="Arial" w:eastAsia="Arial"/>
          <w:b/>
          <w:color w:val="1F2937"/>
          <w:sz w:val="20"/>
        </w:rPr>
        <w:t xml:space="preserve">Incorrect. </w:t>
      </w:r>
      <w:r>
        <w:rPr>
          <w:rFonts w:ascii="Arial" w:hAnsi="Arial" w:eastAsia="Arial"/>
          <w:color w:val="1F2937"/>
          <w:sz w:val="20"/>
        </w:rPr>
        <w:t>A waiver cannot transfer professional responsibility or create competence.</w:t>
      </w:r>
    </w:p>
    <w:p>
      <w:pPr>
        <w:spacing w:after="60" w:line="250" w:lineRule="auto"/>
        <w:ind w:left="173" w:hanging="173"/>
      </w:pPr>
      <w:r>
        <w:rPr>
          <w:rFonts w:ascii="Arial" w:hAnsi="Arial" w:eastAsia="Arial"/>
          <w:b/>
          <w:color w:val="1F7A8C"/>
          <w:sz w:val="20"/>
        </w:rPr>
        <w:t xml:space="preserve">D. </w:t>
      </w:r>
      <w:r>
        <w:rPr>
          <w:rFonts w:ascii="Arial" w:hAnsi="Arial" w:eastAsia="Arial"/>
          <w:b/>
          <w:color w:val="1F7A8C"/>
          <w:sz w:val="20"/>
        </w:rPr>
        <w:t xml:space="preserve">Correct. </w:t>
      </w:r>
      <w:r>
        <w:rPr>
          <w:rFonts w:ascii="Arial" w:hAnsi="Arial" w:eastAsia="Arial"/>
          <w:color w:val="1F2937"/>
          <w:sz w:val="20"/>
        </w:rPr>
        <w:t>This preserves formal oversight and uses consultation for focused expertise without confusing the two functions.</w:t>
      </w:r>
    </w:p>
    <w:tbl>
      <w:tblPr>
        <w:tblW w:type="auto" w:w="0"/>
        <w:jc w:val="center"/>
        <w:tblLook w:firstColumn="1" w:firstRow="1" w:lastColumn="0" w:lastRow="0" w:noHBand="0" w:noVBand="1" w:val="04A0"/>
      </w:tblPr>
      <w:tblGrid>
        <w:gridCol w:w="10310"/>
      </w:tblGrid>
      <w:tr>
        <w:trPr>
          <w:cantSplit/>
          <w:tblHeader w:val="true"/>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On associate-status questions, supervision is the accountability structure. Consultation may enrich the decision but does not replace formal oversight.</w:t>
            </w:r>
          </w:p>
        </w:tc>
      </w:tr>
    </w:tbl>
    <w:p>
      <w:pPr>
        <w:spacing w:after="0"/>
      </w:pPr>
    </w:p>
    <w:tbl>
      <w:tblPr>
        <w:tblW w:type="auto" w:w="0"/>
        <w:jc w:val="center"/>
        <w:tblLook w:firstColumn="1" w:firstRow="1" w:lastColumn="0" w:lastRow="0" w:noHBand="0" w:noVBand="1" w:val="04A0"/>
      </w:tblPr>
      <w:tblGrid>
        <w:gridCol w:w="10310"/>
      </w:tblGrid>
      <w:tr>
        <w:trPr>
          <w:cantSplit/>
          <w:tblHeader w:val="true"/>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S - Status / supervision. Use the formal supervisor for oversight and add consultation when specialized expertise is needed.</w:t>
            </w:r>
          </w:p>
        </w:tc>
      </w:tr>
    </w:tbl>
    <w:p>
      <w:pPr>
        <w:spacing w:after="0"/>
      </w:pPr>
    </w:p>
    <w:p>
      <w:r>
        <w:br w:type="page"/>
      </w:r>
    </w:p>
    <w:p>
      <w:pPr>
        <w:pStyle w:val="Heading2"/>
        <w:spacing w:before="0" w:after="60"/>
      </w:pPr>
      <w:r>
        <w:rPr>
          <w:rFonts w:ascii="Arial" w:hAnsi="Arial" w:eastAsia="Arial"/>
          <w:b/>
          <w:color w:val="159C9C"/>
          <w:sz w:val="26"/>
        </w:rPr>
        <w:t>Question 9 (LPCC-WB02-PB-Q009)</w:t>
      </w:r>
    </w:p>
    <w:p>
      <w:pPr>
        <w:spacing w:before="100" w:after="40"/>
        <w:keepNext/>
      </w:pPr>
      <w:r>
        <w:rPr>
          <w:rFonts w:ascii="Arial" w:hAnsi="Arial" w:eastAsia="Arial"/>
          <w:b/>
          <w:color w:val="1F7A8C"/>
          <w:sz w:val="17"/>
        </w:rPr>
        <w:t>LPCC-WB02-PB-Q009 | Scenario-Based | Moderate | Primary concept: Referral alliance and client voice</w:t>
      </w:r>
    </w:p>
    <w:p>
      <w:pPr>
        <w:spacing w:after="60" w:line="250" w:lineRule="auto"/>
      </w:pPr>
      <w:r>
        <w:rPr>
          <w:rFonts w:ascii="Arial" w:hAnsi="Arial" w:eastAsia="Arial"/>
          <w:b/>
          <w:color w:val="1F2937"/>
          <w:sz w:val="20"/>
        </w:rPr>
        <w:t>Mateo says, “Sending me somewhere else means you think I am making this up.” What is Leila’s BEST response?</w:t>
      </w:r>
    </w:p>
    <w:p>
      <w:pPr>
        <w:spacing w:after="40"/>
        <w:ind w:left="230" w:hanging="230"/>
      </w:pPr>
      <w:r>
        <w:rPr>
          <w:rFonts w:ascii="Arial" w:hAnsi="Arial" w:eastAsia="Arial"/>
          <w:sz w:val="20"/>
        </w:rPr>
        <w:t>A. Tell Mateo that policy requires referral and that feelings about it are not clinically relevant.</w:t>
      </w:r>
    </w:p>
    <w:p>
      <w:pPr>
        <w:spacing w:after="40"/>
        <w:ind w:left="230" w:hanging="230"/>
      </w:pPr>
      <w:r>
        <w:rPr>
          <w:rFonts w:ascii="Arial" w:hAnsi="Arial" w:eastAsia="Arial"/>
          <w:sz w:val="20"/>
        </w:rPr>
        <w:t>B. Acknowledge the prior experiences of dismissal, invite Mateo to explain his concerns, clarify that the referral addresses specialized evaluation rather than disbelief, and collaborate on coordination while continuing counseling support.</w:t>
      </w:r>
    </w:p>
    <w:p>
      <w:pPr>
        <w:spacing w:after="40"/>
        <w:ind w:left="230" w:hanging="230"/>
      </w:pPr>
      <w:r>
        <w:rPr>
          <w:rFonts w:ascii="Arial" w:hAnsi="Arial" w:eastAsia="Arial"/>
          <w:sz w:val="20"/>
        </w:rPr>
        <w:t>C. Promise that the specialist will confirm Mateo’s concerns.</w:t>
      </w:r>
    </w:p>
    <w:p>
      <w:pPr>
        <w:spacing w:after="40"/>
        <w:ind w:left="230" w:hanging="230"/>
      </w:pPr>
      <w:r>
        <w:rPr>
          <w:rFonts w:ascii="Arial" w:hAnsi="Arial" w:eastAsia="Arial"/>
          <w:sz w:val="20"/>
        </w:rPr>
        <w:t>D. Avoid discussing referral again so the alliance is not damaged.</w:t>
      </w:r>
    </w:p>
    <w:tbl>
      <w:tblPr>
        <w:tblW w:type="auto" w:w="0"/>
        <w:jc w:val="center"/>
        <w:tblLook w:firstColumn="1" w:firstRow="1" w:lastColumn="0" w:lastRow="0" w:noHBand="0" w:noVBand="1" w:val="04A0"/>
      </w:tblPr>
      <w:tblGrid>
        <w:gridCol w:w="10310"/>
      </w:tblGrid>
      <w:tr>
        <w:trPr>
          <w:cantSplit/>
          <w:tblHeader w:val="true"/>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B. Acknowledge the prior experiences of dismissal, invite Mateo to explain his concerns, clarify that the referral addresses specialized evaluation rather than disbelief, and collaborate on coordination while continuing counseling support.</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This dismisses the client’s meaning and misses an opportunity to repair trust.</w:t>
      </w:r>
    </w:p>
    <w:p>
      <w:pPr>
        <w:spacing w:after="60" w:line="250" w:lineRule="auto"/>
        <w:ind w:left="173" w:hanging="173"/>
      </w:pPr>
      <w:r>
        <w:rPr>
          <w:rFonts w:ascii="Arial" w:hAnsi="Arial" w:eastAsia="Arial"/>
          <w:b/>
          <w:color w:val="1F7A8C"/>
          <w:sz w:val="20"/>
        </w:rPr>
        <w:t xml:space="preserve">B. </w:t>
      </w:r>
      <w:r>
        <w:rPr>
          <w:rFonts w:ascii="Arial" w:hAnsi="Arial" w:eastAsia="Arial"/>
          <w:b/>
          <w:color w:val="1F7A8C"/>
          <w:sz w:val="20"/>
        </w:rPr>
        <w:t xml:space="preserve">Correct. </w:t>
      </w:r>
      <w:r>
        <w:rPr>
          <w:rFonts w:ascii="Arial" w:hAnsi="Arial" w:eastAsia="Arial"/>
          <w:color w:val="1F2937"/>
          <w:sz w:val="20"/>
        </w:rPr>
        <w:t>This validates without making unsupported promises, clarifies role limits, preserves autonomy, and protects continuity.</w:t>
      </w:r>
    </w:p>
    <w:p>
      <w:pPr>
        <w:spacing w:after="60" w:line="250" w:lineRule="auto"/>
        <w:ind w:left="173" w:hanging="173"/>
      </w:pPr>
      <w:r>
        <w:rPr>
          <w:rFonts w:ascii="Arial" w:hAnsi="Arial" w:eastAsia="Arial"/>
          <w:b/>
          <w:color w:val="17365D"/>
          <w:sz w:val="20"/>
        </w:rPr>
        <w:t xml:space="preserve">C. </w:t>
      </w:r>
      <w:r>
        <w:rPr>
          <w:rFonts w:ascii="Arial" w:hAnsi="Arial" w:eastAsia="Arial"/>
          <w:b/>
          <w:color w:val="1F2937"/>
          <w:sz w:val="20"/>
        </w:rPr>
        <w:t xml:space="preserve">Incorrect. </w:t>
      </w:r>
      <w:r>
        <w:rPr>
          <w:rFonts w:ascii="Arial" w:hAnsi="Arial" w:eastAsia="Arial"/>
          <w:color w:val="1F2937"/>
          <w:sz w:val="20"/>
        </w:rPr>
        <w:t>Leila cannot guarantee a specialist’s findings and should not use reassurance that exceeds the evidence.</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Avoidance leaves the misunderstanding unresolved and may weaken care.</w:t>
      </w:r>
    </w:p>
    <w:tbl>
      <w:tblPr>
        <w:tblW w:type="auto" w:w="0"/>
        <w:jc w:val="center"/>
        <w:tblLook w:firstColumn="1" w:firstRow="1" w:lastColumn="0" w:lastRow="0" w:noHBand="0" w:noVBand="1" w:val="04A0"/>
      </w:tblPr>
      <w:tblGrid>
        <w:gridCol w:w="10310"/>
      </w:tblGrid>
      <w:tr>
        <w:trPr>
          <w:cantSplit/>
          <w:tblHeader w:val="true"/>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A referral conversation is part of treatment. Explain the purpose, invite the client’s meaning, and preserve connection during transition.</w:t>
            </w:r>
          </w:p>
        </w:tc>
      </w:tr>
    </w:tbl>
    <w:p>
      <w:pPr>
        <w:spacing w:after="0"/>
      </w:pPr>
    </w:p>
    <w:tbl>
      <w:tblPr>
        <w:tblW w:type="auto" w:w="0"/>
        <w:jc w:val="center"/>
        <w:tblLook w:firstColumn="1" w:firstRow="1" w:lastColumn="0" w:lastRow="0" w:noHBand="0" w:noVBand="1" w:val="04A0"/>
      </w:tblPr>
      <w:tblGrid>
        <w:gridCol w:w="10310"/>
      </w:tblGrid>
      <w:tr>
        <w:trPr>
          <w:cantSplit/>
          <w:tblHeader w:val="true"/>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F - Fit / client voice. Use transparent, collaborative referral language that protects dignity, trust, and continuity.</w:t>
            </w:r>
          </w:p>
        </w:tc>
      </w:tr>
    </w:tbl>
    <w:p>
      <w:pPr>
        <w:spacing w:after="0"/>
      </w:pPr>
    </w:p>
    <w:p>
      <w:r>
        <w:br w:type="page"/>
      </w:r>
    </w:p>
    <w:p>
      <w:pPr>
        <w:pStyle w:val="Heading2"/>
        <w:spacing w:before="0" w:after="60"/>
      </w:pPr>
      <w:r>
        <w:rPr>
          <w:rFonts w:ascii="Arial" w:hAnsi="Arial" w:eastAsia="Arial"/>
          <w:b/>
          <w:color w:val="159C9C"/>
          <w:sz w:val="26"/>
        </w:rPr>
        <w:t>Question 10 (LPCC-WB02-PB-Q010)</w:t>
      </w:r>
    </w:p>
    <w:p>
      <w:pPr>
        <w:spacing w:before="100" w:after="40"/>
        <w:keepNext/>
      </w:pPr>
      <w:r>
        <w:rPr>
          <w:rFonts w:ascii="Arial" w:hAnsi="Arial" w:eastAsia="Arial"/>
          <w:b/>
          <w:color w:val="1F7A8C"/>
          <w:sz w:val="17"/>
        </w:rPr>
        <w:t>LPCC-WB02-PB-Q010 | Scenario-Based | Moderate | Primary concept: Countertransference and boundary pattern</w:t>
      </w:r>
    </w:p>
    <w:p>
      <w:pPr>
        <w:spacing w:after="60" w:line="250" w:lineRule="auto"/>
      </w:pPr>
      <w:r>
        <w:rPr>
          <w:rFonts w:ascii="Arial" w:hAnsi="Arial" w:eastAsia="Arial"/>
          <w:b/>
          <w:color w:val="1F2937"/>
          <w:sz w:val="20"/>
        </w:rPr>
        <w:t>What should Leila do FIRST about the late-night messages and her protective reaction?</w:t>
      </w:r>
    </w:p>
    <w:p>
      <w:pPr>
        <w:spacing w:after="40"/>
        <w:ind w:left="230" w:hanging="230"/>
      </w:pPr>
      <w:r>
        <w:rPr>
          <w:rFonts w:ascii="Arial" w:hAnsi="Arial" w:eastAsia="Arial"/>
          <w:sz w:val="20"/>
        </w:rPr>
        <w:t>A. Continue the exceptions because responsiveness proves that she believes Mateo.</w:t>
      </w:r>
    </w:p>
    <w:p>
      <w:pPr>
        <w:spacing w:after="40"/>
        <w:ind w:left="230" w:hanging="230"/>
      </w:pPr>
      <w:r>
        <w:rPr>
          <w:rFonts w:ascii="Arial" w:hAnsi="Arial" w:eastAsia="Arial"/>
          <w:sz w:val="20"/>
        </w:rPr>
        <w:t>B. Terminate immediately so the boundary problem cannot worsen.</w:t>
      </w:r>
    </w:p>
    <w:p>
      <w:pPr>
        <w:spacing w:after="40"/>
        <w:ind w:left="230" w:hanging="230"/>
      </w:pPr>
      <w:r>
        <w:rPr>
          <w:rFonts w:ascii="Arial" w:hAnsi="Arial" w:eastAsia="Arial"/>
          <w:sz w:val="20"/>
        </w:rPr>
        <w:t>C. Pause before making another exception, review the pattern and clinic policy, seek supervision, restore a clear communication frame, and explore Mateo’s underlying needs in session.</w:t>
      </w:r>
    </w:p>
    <w:p>
      <w:pPr>
        <w:spacing w:after="40"/>
        <w:ind w:left="230" w:hanging="230"/>
      </w:pPr>
      <w:r>
        <w:rPr>
          <w:rFonts w:ascii="Arial" w:hAnsi="Arial" w:eastAsia="Arial"/>
          <w:sz w:val="20"/>
        </w:rPr>
        <w:t>D. Tell Mateo that he is causing Leila to feel overprotective and ask him to reduce the messages.</w:t>
      </w:r>
    </w:p>
    <w:tbl>
      <w:tblPr>
        <w:tblW w:type="auto" w:w="0"/>
        <w:jc w:val="center"/>
        <w:tblLook w:firstColumn="1" w:firstRow="1" w:lastColumn="0" w:lastRow="0" w:noHBand="0" w:noVBand="1" w:val="04A0"/>
      </w:tblPr>
      <w:tblGrid>
        <w:gridCol w:w="10310"/>
      </w:tblGrid>
      <w:tr>
        <w:trPr>
          <w:cantSplit/>
          <w:tblHeader w:val="true"/>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C. Pause before making another exception, review the pattern and clinic policy, seek supervision, restore a clear communication frame, and explore Mateo’s underlying needs in session.</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Repeated exceptions driven by counselor activation can create dependency, inequity, and unclear expectations.</w:t>
      </w:r>
    </w:p>
    <w:p>
      <w:pPr>
        <w:spacing w:after="60" w:line="250" w:lineRule="auto"/>
        <w:ind w:left="173" w:hanging="173"/>
      </w:pPr>
      <w:r>
        <w:rPr>
          <w:rFonts w:ascii="Arial" w:hAnsi="Arial" w:eastAsia="Arial"/>
          <w:b/>
          <w:color w:val="17365D"/>
          <w:sz w:val="20"/>
        </w:rPr>
        <w:t xml:space="preserve">B. </w:t>
      </w:r>
      <w:r>
        <w:rPr>
          <w:rFonts w:ascii="Arial" w:hAnsi="Arial" w:eastAsia="Arial"/>
          <w:b/>
          <w:color w:val="1F2937"/>
          <w:sz w:val="20"/>
        </w:rPr>
        <w:t xml:space="preserve">Incorrect. </w:t>
      </w:r>
      <w:r>
        <w:rPr>
          <w:rFonts w:ascii="Arial" w:hAnsi="Arial" w:eastAsia="Arial"/>
          <w:color w:val="1F2937"/>
          <w:sz w:val="20"/>
        </w:rPr>
        <w:t>Immediate termination is disproportionate without first assessing, repairing, and managing the pattern.</w:t>
      </w:r>
    </w:p>
    <w:p>
      <w:pPr>
        <w:spacing w:after="60" w:line="250" w:lineRule="auto"/>
        <w:ind w:left="173" w:hanging="173"/>
      </w:pPr>
      <w:r>
        <w:rPr>
          <w:rFonts w:ascii="Arial" w:hAnsi="Arial" w:eastAsia="Arial"/>
          <w:b/>
          <w:color w:val="1F7A8C"/>
          <w:sz w:val="20"/>
        </w:rPr>
        <w:t xml:space="preserve">C. </w:t>
      </w:r>
      <w:r>
        <w:rPr>
          <w:rFonts w:ascii="Arial" w:hAnsi="Arial" w:eastAsia="Arial"/>
          <w:b/>
          <w:color w:val="1F7A8C"/>
          <w:sz w:val="20"/>
        </w:rPr>
        <w:t xml:space="preserve">Correct. </w:t>
      </w:r>
      <w:r>
        <w:rPr>
          <w:rFonts w:ascii="Arial" w:hAnsi="Arial" w:eastAsia="Arial"/>
          <w:color w:val="1F2937"/>
          <w:sz w:val="20"/>
        </w:rPr>
        <w:t>This regulates the counselor, restores structure, uses supervision, and addresses the clinical meaning without shaming the client.</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The client should not be made responsible for managing the counselor’s emotional reaction.</w:t>
      </w:r>
    </w:p>
    <w:tbl>
      <w:tblPr>
        <w:tblW w:type="auto" w:w="0"/>
        <w:jc w:val="center"/>
        <w:tblLook w:firstColumn="1" w:firstRow="1" w:lastColumn="0" w:lastRow="0" w:noHBand="0" w:noVBand="1" w:val="04A0"/>
      </w:tblPr>
      <w:tblGrid>
        <w:gridCol w:w="10310"/>
      </w:tblGrid>
      <w:tr>
        <w:trPr>
          <w:cantSplit/>
          <w:tblHeader w:val="true"/>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When the counselor feels urgency, flattery, rescue, anger, or identification, regulate and consult before acting.</w:t>
            </w:r>
          </w:p>
        </w:tc>
      </w:tr>
    </w:tbl>
    <w:p>
      <w:pPr>
        <w:spacing w:after="0"/>
      </w:pPr>
    </w:p>
    <w:tbl>
      <w:tblPr>
        <w:tblW w:type="auto" w:w="0"/>
        <w:jc w:val="center"/>
        <w:tblLook w:firstColumn="1" w:firstRow="1" w:lastColumn="0" w:lastRow="0" w:noHBand="0" w:noVBand="1" w:val="04A0"/>
      </w:tblPr>
      <w:tblGrid>
        <w:gridCol w:w="10310"/>
      </w:tblGrid>
      <w:tr>
        <w:trPr>
          <w:cantSplit/>
          <w:tblHeader w:val="true"/>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B - Boundary / power. Pause, examine the pattern and purpose, use supervision, and repair the frame before making another exception.</w:t>
            </w:r>
          </w:p>
        </w:tc>
      </w:tr>
    </w:tbl>
    <w:p>
      <w:pPr>
        <w:spacing w:after="0"/>
      </w:pPr>
    </w:p>
    <w:p>
      <w:r>
        <w:br w:type="page"/>
      </w:r>
    </w:p>
    <w:p>
      <w:pPr>
        <w:pStyle w:val="Heading2"/>
        <w:spacing w:before="0" w:after="60"/>
      </w:pPr>
      <w:r>
        <w:rPr>
          <w:rFonts w:ascii="Arial" w:hAnsi="Arial" w:eastAsia="Arial"/>
          <w:b/>
          <w:color w:val="159C9C"/>
          <w:sz w:val="26"/>
        </w:rPr>
        <w:t>Question 11 (LPCC-WB02-PB-Q011)</w:t>
      </w:r>
    </w:p>
    <w:p>
      <w:pPr>
        <w:spacing w:before="100" w:after="40"/>
        <w:keepNext/>
      </w:pPr>
      <w:r>
        <w:rPr>
          <w:rFonts w:ascii="Arial" w:hAnsi="Arial" w:eastAsia="Arial"/>
          <w:b/>
          <w:color w:val="1F7A8C"/>
          <w:sz w:val="17"/>
        </w:rPr>
        <w:t>LPCC-WB02-PB-Q011 | Integrated Clinical Reasoning | Difficult | Primary concept: Purposeful self-disclosure</w:t>
      </w:r>
    </w:p>
    <w:p>
      <w:pPr>
        <w:spacing w:after="60" w:line="250" w:lineRule="auto"/>
      </w:pPr>
      <w:r>
        <w:rPr>
          <w:rFonts w:ascii="Arial" w:hAnsi="Arial" w:eastAsia="Arial"/>
          <w:b/>
          <w:color w:val="1F2937"/>
          <w:sz w:val="20"/>
        </w:rPr>
        <w:t>How should Leila decide whether to disclose her brother’s workplace-injury experience?</w:t>
      </w:r>
    </w:p>
    <w:p>
      <w:pPr>
        <w:spacing w:after="40"/>
        <w:ind w:left="230" w:hanging="230"/>
      </w:pPr>
      <w:r>
        <w:rPr>
          <w:rFonts w:ascii="Arial" w:hAnsi="Arial" w:eastAsia="Arial"/>
          <w:sz w:val="20"/>
        </w:rPr>
        <w:t>A. Evaluate the clinical purpose, likely impact, alternatives, cultural and power factors, timing, policy, and her own activation in supervision; disclose only if the decision is clearly client-centered and clinically justified.</w:t>
      </w:r>
    </w:p>
    <w:p>
      <w:pPr>
        <w:spacing w:after="40"/>
        <w:ind w:left="230" w:hanging="230"/>
      </w:pPr>
      <w:r>
        <w:rPr>
          <w:rFonts w:ascii="Arial" w:hAnsi="Arial" w:eastAsia="Arial"/>
          <w:sz w:val="20"/>
        </w:rPr>
        <w:t>B. Disclose because shared experience will automatically strengthen trust.</w:t>
      </w:r>
    </w:p>
    <w:p>
      <w:pPr>
        <w:spacing w:after="40"/>
        <w:ind w:left="230" w:hanging="230"/>
      </w:pPr>
      <w:r>
        <w:rPr>
          <w:rFonts w:ascii="Arial" w:hAnsi="Arial" w:eastAsia="Arial"/>
          <w:sz w:val="20"/>
        </w:rPr>
        <w:t>C. Never disclose personal information because all counselor self-disclosure is unethical.</w:t>
      </w:r>
    </w:p>
    <w:p>
      <w:pPr>
        <w:spacing w:after="40"/>
        <w:ind w:left="230" w:hanging="230"/>
      </w:pPr>
      <w:r>
        <w:rPr>
          <w:rFonts w:ascii="Arial" w:hAnsi="Arial" w:eastAsia="Arial"/>
          <w:sz w:val="20"/>
        </w:rPr>
        <w:t>D. Ask Mateo whether he wants to hear the story and disclose if he says yes.</w:t>
      </w:r>
    </w:p>
    <w:tbl>
      <w:tblPr>
        <w:tblW w:type="auto" w:w="0"/>
        <w:jc w:val="center"/>
        <w:tblLook w:firstColumn="1" w:firstRow="1" w:lastColumn="0" w:lastRow="0" w:noHBand="0" w:noVBand="1" w:val="04A0"/>
      </w:tblPr>
      <w:tblGrid>
        <w:gridCol w:w="10310"/>
      </w:tblGrid>
      <w:tr>
        <w:trPr>
          <w:cantSplit/>
          <w:tblHeader w:val="true"/>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A. Evaluate the clinical purpose, likely impact, alternatives, cultural and power factors, timing, policy, and her own activation in supervision; disclose only if the decision is clearly client-centered and clinically justified.</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F7A8C"/>
          <w:sz w:val="20"/>
        </w:rPr>
        <w:t xml:space="preserve">A. </w:t>
      </w:r>
      <w:r>
        <w:rPr>
          <w:rFonts w:ascii="Arial" w:hAnsi="Arial" w:eastAsia="Arial"/>
          <w:b/>
          <w:color w:val="1F7A8C"/>
          <w:sz w:val="20"/>
        </w:rPr>
        <w:t xml:space="preserve">Correct. </w:t>
      </w:r>
      <w:r>
        <w:rPr>
          <w:rFonts w:ascii="Arial" w:hAnsi="Arial" w:eastAsia="Arial"/>
          <w:color w:val="1F2937"/>
          <w:sz w:val="20"/>
        </w:rPr>
        <w:t>This uses a structured, client-centered review and accounts for Leila’s countertransference before action.</w:t>
      </w:r>
    </w:p>
    <w:p>
      <w:pPr>
        <w:spacing w:after="60" w:line="250" w:lineRule="auto"/>
        <w:ind w:left="173" w:hanging="173"/>
      </w:pPr>
      <w:r>
        <w:rPr>
          <w:rFonts w:ascii="Arial" w:hAnsi="Arial" w:eastAsia="Arial"/>
          <w:b/>
          <w:color w:val="17365D"/>
          <w:sz w:val="20"/>
        </w:rPr>
        <w:t xml:space="preserve">B. </w:t>
      </w:r>
      <w:r>
        <w:rPr>
          <w:rFonts w:ascii="Arial" w:hAnsi="Arial" w:eastAsia="Arial"/>
          <w:b/>
          <w:color w:val="1F2937"/>
          <w:sz w:val="20"/>
        </w:rPr>
        <w:t xml:space="preserve">Incorrect. </w:t>
      </w:r>
      <w:r>
        <w:rPr>
          <w:rFonts w:ascii="Arial" w:hAnsi="Arial" w:eastAsia="Arial"/>
          <w:color w:val="1F2937"/>
          <w:sz w:val="20"/>
        </w:rPr>
        <w:t>Similarity does not guarantee benefit and may shift focus to the counselor or intensify rescue dynamics.</w:t>
      </w:r>
    </w:p>
    <w:p>
      <w:pPr>
        <w:spacing w:after="60" w:line="250" w:lineRule="auto"/>
        <w:ind w:left="173" w:hanging="173"/>
      </w:pPr>
      <w:r>
        <w:rPr>
          <w:rFonts w:ascii="Arial" w:hAnsi="Arial" w:eastAsia="Arial"/>
          <w:b/>
          <w:color w:val="17365D"/>
          <w:sz w:val="20"/>
        </w:rPr>
        <w:t xml:space="preserve">C. </w:t>
      </w:r>
      <w:r>
        <w:rPr>
          <w:rFonts w:ascii="Arial" w:hAnsi="Arial" w:eastAsia="Arial"/>
          <w:b/>
          <w:color w:val="1F2937"/>
          <w:sz w:val="20"/>
        </w:rPr>
        <w:t xml:space="preserve">Incorrect. </w:t>
      </w:r>
      <w:r>
        <w:rPr>
          <w:rFonts w:ascii="Arial" w:hAnsi="Arial" w:eastAsia="Arial"/>
          <w:color w:val="1F2937"/>
          <w:sz w:val="20"/>
        </w:rPr>
        <w:t>Self-disclosure is not categorically prohibited; its appropriateness depends on purpose, impact, timing, and context.</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Client permission alone does not establish clinical benefit or resolve the counselor’s activation.</w:t>
      </w:r>
    </w:p>
    <w:tbl>
      <w:tblPr>
        <w:tblW w:type="auto" w:w="0"/>
        <w:jc w:val="center"/>
        <w:tblLook w:firstColumn="1" w:firstRow="1" w:lastColumn="0" w:lastRow="0" w:noHBand="0" w:noVBand="1" w:val="04A0"/>
      </w:tblPr>
      <w:tblGrid>
        <w:gridCol w:w="10310"/>
      </w:tblGrid>
      <w:tr>
        <w:trPr>
          <w:cantSplit/>
          <w:tblHeader w:val="true"/>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The question is not “Can I disclose?” but “Why this disclosure, for this client, at this time, and what is the least risky alternative?”</w:t>
            </w:r>
          </w:p>
        </w:tc>
      </w:tr>
    </w:tbl>
    <w:p>
      <w:pPr>
        <w:spacing w:after="0"/>
      </w:pPr>
    </w:p>
    <w:tbl>
      <w:tblPr>
        <w:tblW w:type="auto" w:w="0"/>
        <w:jc w:val="center"/>
        <w:tblLook w:firstColumn="1" w:firstRow="1" w:lastColumn="0" w:lastRow="0" w:noHBand="0" w:noVBand="1" w:val="04A0"/>
      </w:tblPr>
      <w:tblGrid>
        <w:gridCol w:w="10310"/>
      </w:tblGrid>
      <w:tr>
        <w:trPr>
          <w:cantSplit/>
          <w:tblHeader w:val="true"/>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B - Boundary / power. Make self-disclosure decisions from client benefit and supervision, not counselor relief or similarity.</w:t>
            </w:r>
          </w:p>
        </w:tc>
      </w:tr>
    </w:tbl>
    <w:p>
      <w:pPr>
        <w:spacing w:after="0"/>
      </w:pPr>
    </w:p>
    <w:p>
      <w:r>
        <w:br w:type="page"/>
      </w:r>
    </w:p>
    <w:p>
      <w:pPr>
        <w:pStyle w:val="Heading2"/>
        <w:spacing w:before="0" w:after="60"/>
      </w:pPr>
      <w:r>
        <w:rPr>
          <w:rFonts w:ascii="Arial" w:hAnsi="Arial" w:eastAsia="Arial"/>
          <w:b/>
          <w:color w:val="159C9C"/>
          <w:sz w:val="26"/>
        </w:rPr>
        <w:t>Question 12 (LPCC-WB02-PB-Q012)</w:t>
      </w:r>
    </w:p>
    <w:p>
      <w:pPr>
        <w:spacing w:before="100" w:after="40"/>
        <w:keepNext/>
      </w:pPr>
      <w:r>
        <w:rPr>
          <w:rFonts w:ascii="Arial" w:hAnsi="Arial" w:eastAsia="Arial"/>
          <w:b/>
          <w:color w:val="1F7A8C"/>
          <w:sz w:val="17"/>
        </w:rPr>
        <w:t>LPCC-WB02-PB-Q012 | Knowledge &amp; Recall | Easy | Primary concept: Supervision versus consultation</w:t>
      </w:r>
    </w:p>
    <w:p>
      <w:pPr>
        <w:spacing w:after="60" w:line="250" w:lineRule="auto"/>
      </w:pPr>
      <w:r>
        <w:rPr>
          <w:rFonts w:ascii="Arial" w:hAnsi="Arial" w:eastAsia="Arial"/>
          <w:b/>
          <w:color w:val="1F2937"/>
          <w:sz w:val="20"/>
        </w:rPr>
        <w:t>Which statement BEST describes the difference between supervision and consultation in Leila’s case?</w:t>
      </w:r>
    </w:p>
    <w:p>
      <w:pPr>
        <w:spacing w:after="40"/>
        <w:ind w:left="230" w:hanging="230"/>
      </w:pPr>
      <w:r>
        <w:rPr>
          <w:rFonts w:ascii="Arial" w:hAnsi="Arial" w:eastAsia="Arial"/>
          <w:sz w:val="20"/>
        </w:rPr>
        <w:t>A. Consultation transfers responsibility for Mateo’s case to the consultant.</w:t>
      </w:r>
    </w:p>
    <w:p>
      <w:pPr>
        <w:spacing w:after="40"/>
        <w:ind w:left="230" w:hanging="230"/>
      </w:pPr>
      <w:r>
        <w:rPr>
          <w:rFonts w:ascii="Arial" w:hAnsi="Arial" w:eastAsia="Arial"/>
          <w:sz w:val="20"/>
        </w:rPr>
        <w:t>B. Supervision is optional once an APCC has enough experience.</w:t>
      </w:r>
    </w:p>
    <w:p>
      <w:pPr>
        <w:spacing w:after="40"/>
        <w:ind w:left="230" w:hanging="230"/>
      </w:pPr>
      <w:r>
        <w:rPr>
          <w:rFonts w:ascii="Arial" w:hAnsi="Arial" w:eastAsia="Arial"/>
          <w:sz w:val="20"/>
        </w:rPr>
        <w:t>C. A consultant may authorize Leila to perform services outside LPCC scope.</w:t>
      </w:r>
    </w:p>
    <w:p>
      <w:pPr>
        <w:spacing w:after="40"/>
        <w:ind w:left="230" w:hanging="230"/>
      </w:pPr>
      <w:r>
        <w:rPr>
          <w:rFonts w:ascii="Arial" w:hAnsi="Arial" w:eastAsia="Arial"/>
          <w:sz w:val="20"/>
        </w:rPr>
        <w:t>D. Dr. Nguyen provides formal oversight and accountability; a consultant may provide focused expertise but does not replace required supervision.</w:t>
      </w:r>
    </w:p>
    <w:tbl>
      <w:tblPr>
        <w:tblW w:type="auto" w:w="0"/>
        <w:jc w:val="center"/>
        <w:tblLook w:firstColumn="1" w:firstRow="1" w:lastColumn="0" w:lastRow="0" w:noHBand="0" w:noVBand="1" w:val="04A0"/>
      </w:tblPr>
      <w:tblGrid>
        <w:gridCol w:w="10310"/>
      </w:tblGrid>
      <w:tr>
        <w:trPr>
          <w:cantSplit/>
          <w:tblHeader w:val="true"/>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D. Dr. Nguyen provides formal oversight and accountability; a consultant may provide focused expertise but does not replace required supervision.</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Consultation provides input; it does not automatically transfer clinical responsibility or the treatment relationship.</w:t>
      </w:r>
    </w:p>
    <w:p>
      <w:pPr>
        <w:spacing w:after="60" w:line="250" w:lineRule="auto"/>
        <w:ind w:left="173" w:hanging="173"/>
      </w:pPr>
      <w:r>
        <w:rPr>
          <w:rFonts w:ascii="Arial" w:hAnsi="Arial" w:eastAsia="Arial"/>
          <w:b/>
          <w:color w:val="17365D"/>
          <w:sz w:val="20"/>
        </w:rPr>
        <w:t xml:space="preserve">B. </w:t>
      </w:r>
      <w:r>
        <w:rPr>
          <w:rFonts w:ascii="Arial" w:hAnsi="Arial" w:eastAsia="Arial"/>
          <w:b/>
          <w:color w:val="1F2937"/>
          <w:sz w:val="20"/>
        </w:rPr>
        <w:t xml:space="preserve">Incorrect. </w:t>
      </w:r>
      <w:r>
        <w:rPr>
          <w:rFonts w:ascii="Arial" w:hAnsi="Arial" w:eastAsia="Arial"/>
          <w:color w:val="1F2937"/>
          <w:sz w:val="20"/>
        </w:rPr>
        <w:t>An APCC or applicant for licensure remains under supervision as required by law.</w:t>
      </w:r>
    </w:p>
    <w:p>
      <w:pPr>
        <w:spacing w:after="60" w:line="250" w:lineRule="auto"/>
        <w:ind w:left="173" w:hanging="173"/>
      </w:pPr>
      <w:r>
        <w:rPr>
          <w:rFonts w:ascii="Arial" w:hAnsi="Arial" w:eastAsia="Arial"/>
          <w:b/>
          <w:color w:val="17365D"/>
          <w:sz w:val="20"/>
        </w:rPr>
        <w:t xml:space="preserve">C. </w:t>
      </w:r>
      <w:r>
        <w:rPr>
          <w:rFonts w:ascii="Arial" w:hAnsi="Arial" w:eastAsia="Arial"/>
          <w:b/>
          <w:color w:val="1F2937"/>
          <w:sz w:val="20"/>
        </w:rPr>
        <w:t xml:space="preserve">Incorrect. </w:t>
      </w:r>
      <w:r>
        <w:rPr>
          <w:rFonts w:ascii="Arial" w:hAnsi="Arial" w:eastAsia="Arial"/>
          <w:color w:val="1F2937"/>
          <w:sz w:val="20"/>
        </w:rPr>
        <w:t>No consultant can expand statutory scope or create competence by authorization alone.</w:t>
      </w:r>
    </w:p>
    <w:p>
      <w:pPr>
        <w:spacing w:after="60" w:line="250" w:lineRule="auto"/>
        <w:ind w:left="173" w:hanging="173"/>
      </w:pPr>
      <w:r>
        <w:rPr>
          <w:rFonts w:ascii="Arial" w:hAnsi="Arial" w:eastAsia="Arial"/>
          <w:b/>
          <w:color w:val="1F7A8C"/>
          <w:sz w:val="20"/>
        </w:rPr>
        <w:t xml:space="preserve">D. </w:t>
      </w:r>
      <w:r>
        <w:rPr>
          <w:rFonts w:ascii="Arial" w:hAnsi="Arial" w:eastAsia="Arial"/>
          <w:b/>
          <w:color w:val="1F7A8C"/>
          <w:sz w:val="20"/>
        </w:rPr>
        <w:t xml:space="preserve">Correct. </w:t>
      </w:r>
      <w:r>
        <w:rPr>
          <w:rFonts w:ascii="Arial" w:hAnsi="Arial" w:eastAsia="Arial"/>
          <w:color w:val="1F2937"/>
          <w:sz w:val="20"/>
        </w:rPr>
        <w:t>This accurately distinguishes formal oversight from focused expert input.</w:t>
      </w:r>
    </w:p>
    <w:tbl>
      <w:tblPr>
        <w:tblW w:type="auto" w:w="0"/>
        <w:jc w:val="center"/>
        <w:tblLook w:firstColumn="1" w:firstRow="1" w:lastColumn="0" w:lastRow="0" w:noHBand="0" w:noVBand="1" w:val="04A0"/>
      </w:tblPr>
      <w:tblGrid>
        <w:gridCol w:w="10310"/>
      </w:tblGrid>
      <w:tr>
        <w:trPr>
          <w:cantSplit/>
          <w:tblHeader w:val="true"/>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Look for accountability language. Supervision oversees the quality of the supervisee’s services; consultation adds expertise.</w:t>
            </w:r>
          </w:p>
        </w:tc>
      </w:tr>
    </w:tbl>
    <w:p>
      <w:pPr>
        <w:spacing w:after="0"/>
      </w:pPr>
    </w:p>
    <w:tbl>
      <w:tblPr>
        <w:tblW w:type="auto" w:w="0"/>
        <w:jc w:val="center"/>
        <w:tblLook w:firstColumn="1" w:firstRow="1" w:lastColumn="0" w:lastRow="0" w:noHBand="0" w:noVBand="1" w:val="04A0"/>
      </w:tblPr>
      <w:tblGrid>
        <w:gridCol w:w="10310"/>
      </w:tblGrid>
      <w:tr>
        <w:trPr>
          <w:cantSplit/>
          <w:tblHeader w:val="true"/>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S - Status / supervision. Use consultation to supplement, not replace, the formal supervisory relationship.</w:t>
            </w:r>
          </w:p>
        </w:tc>
      </w:tr>
    </w:tbl>
    <w:p>
      <w:pPr>
        <w:spacing w:after="0"/>
      </w:pPr>
    </w:p>
    <w:p>
      <w:r>
        <w:br w:type="page"/>
      </w:r>
    </w:p>
    <w:p>
      <w:pPr>
        <w:pStyle w:val="Heading2"/>
        <w:spacing w:before="0" w:after="60"/>
      </w:pPr>
      <w:r>
        <w:rPr>
          <w:rFonts w:ascii="Arial" w:hAnsi="Arial" w:eastAsia="Arial"/>
          <w:b/>
          <w:color w:val="159C9C"/>
          <w:sz w:val="26"/>
        </w:rPr>
        <w:t>Question 13 (LPCC-WB02-PB-Q013)</w:t>
      </w:r>
    </w:p>
    <w:p>
      <w:pPr>
        <w:spacing w:before="100" w:after="40"/>
        <w:keepNext/>
      </w:pPr>
      <w:r>
        <w:rPr>
          <w:rFonts w:ascii="Arial" w:hAnsi="Arial" w:eastAsia="Arial"/>
          <w:b/>
          <w:color w:val="1F7A8C"/>
          <w:sz w:val="17"/>
        </w:rPr>
        <w:t>LPCC-WB02-PB-Q013 | Integrated Clinical Reasoning | Difficult | Primary concept: Research literacy and technology fit</w:t>
      </w:r>
    </w:p>
    <w:p>
      <w:pPr>
        <w:spacing w:after="60" w:line="250" w:lineRule="auto"/>
      </w:pPr>
      <w:r>
        <w:rPr>
          <w:rFonts w:ascii="Arial" w:hAnsi="Arial" w:eastAsia="Arial"/>
          <w:b/>
          <w:color w:val="1F2937"/>
          <w:sz w:val="20"/>
        </w:rPr>
        <w:t>Before using the new symptom-tracking app with Mateo, what should Leila evaluate MOST carefully?</w:t>
      </w:r>
    </w:p>
    <w:p>
      <w:pPr>
        <w:spacing w:after="40"/>
        <w:ind w:left="230" w:hanging="230"/>
      </w:pPr>
      <w:r>
        <w:rPr>
          <w:rFonts w:ascii="Arial" w:hAnsi="Arial" w:eastAsia="Arial"/>
          <w:sz w:val="20"/>
        </w:rPr>
        <w:t>A. Whether the vendor webinar was persuasive and the interface looks modern.</w:t>
      </w:r>
    </w:p>
    <w:p>
      <w:pPr>
        <w:spacing w:after="40"/>
        <w:ind w:left="230" w:hanging="230"/>
      </w:pPr>
      <w:r>
        <w:rPr>
          <w:rFonts w:ascii="Arial" w:hAnsi="Arial" w:eastAsia="Arial"/>
          <w:sz w:val="20"/>
        </w:rPr>
        <w:t>B. The study design, population, effect size, limitations, potential harms, privacy and data practices, clinic approval, accessibility, and fit with Mateo’s goals and preferences.</w:t>
      </w:r>
    </w:p>
    <w:p>
      <w:pPr>
        <w:spacing w:after="40"/>
        <w:ind w:left="230" w:hanging="230"/>
      </w:pPr>
      <w:r>
        <w:rPr>
          <w:rFonts w:ascii="Arial" w:hAnsi="Arial" w:eastAsia="Arial"/>
          <w:sz w:val="20"/>
        </w:rPr>
        <w:t>C. Whether the study reported statistical significance, because no other evidence is needed.</w:t>
      </w:r>
    </w:p>
    <w:p>
      <w:pPr>
        <w:spacing w:after="40"/>
        <w:ind w:left="230" w:hanging="230"/>
      </w:pPr>
      <w:r>
        <w:rPr>
          <w:rFonts w:ascii="Arial" w:hAnsi="Arial" w:eastAsia="Arial"/>
          <w:sz w:val="20"/>
        </w:rPr>
        <w:t>D. Whether other counselors are already using the app, because popularity establishes effectiveness.</w:t>
      </w:r>
    </w:p>
    <w:tbl>
      <w:tblPr>
        <w:tblW w:type="auto" w:w="0"/>
        <w:jc w:val="center"/>
        <w:tblLook w:firstColumn="1" w:firstRow="1" w:lastColumn="0" w:lastRow="0" w:noHBand="0" w:noVBand="1" w:val="04A0"/>
      </w:tblPr>
      <w:tblGrid>
        <w:gridCol w:w="10310"/>
      </w:tblGrid>
      <w:tr>
        <w:trPr>
          <w:cantSplit/>
          <w:tblHeader w:val="true"/>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B. The study design, population, effect size, limitations, potential harms, privacy and data practices, clinic approval, accessibility, and fit with Mateo’s goals and preferences.</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Marketing quality and appearance do not establish clinical effectiveness, safety, privacy, or client fit.</w:t>
      </w:r>
    </w:p>
    <w:p>
      <w:pPr>
        <w:spacing w:after="60" w:line="250" w:lineRule="auto"/>
        <w:ind w:left="173" w:hanging="173"/>
      </w:pPr>
      <w:r>
        <w:rPr>
          <w:rFonts w:ascii="Arial" w:hAnsi="Arial" w:eastAsia="Arial"/>
          <w:b/>
          <w:color w:val="1F7A8C"/>
          <w:sz w:val="20"/>
        </w:rPr>
        <w:t xml:space="preserve">B. </w:t>
      </w:r>
      <w:r>
        <w:rPr>
          <w:rFonts w:ascii="Arial" w:hAnsi="Arial" w:eastAsia="Arial"/>
          <w:b/>
          <w:color w:val="1F7A8C"/>
          <w:sz w:val="20"/>
        </w:rPr>
        <w:t xml:space="preserve">Correct. </w:t>
      </w:r>
      <w:r>
        <w:rPr>
          <w:rFonts w:ascii="Arial" w:hAnsi="Arial" w:eastAsia="Arial"/>
          <w:color w:val="1F2937"/>
          <w:sz w:val="20"/>
        </w:rPr>
        <w:t>This evaluates evidence quality, risks, implementation requirements, and the individual client context before adoption.</w:t>
      </w:r>
    </w:p>
    <w:p>
      <w:pPr>
        <w:spacing w:after="60" w:line="250" w:lineRule="auto"/>
        <w:ind w:left="173" w:hanging="173"/>
      </w:pPr>
      <w:r>
        <w:rPr>
          <w:rFonts w:ascii="Arial" w:hAnsi="Arial" w:eastAsia="Arial"/>
          <w:b/>
          <w:color w:val="17365D"/>
          <w:sz w:val="20"/>
        </w:rPr>
        <w:t xml:space="preserve">C. </w:t>
      </w:r>
      <w:r>
        <w:rPr>
          <w:rFonts w:ascii="Arial" w:hAnsi="Arial" w:eastAsia="Arial"/>
          <w:b/>
          <w:color w:val="1F2937"/>
          <w:sz w:val="20"/>
        </w:rPr>
        <w:t xml:space="preserve">Incorrect. </w:t>
      </w:r>
      <w:r>
        <w:rPr>
          <w:rFonts w:ascii="Arial" w:hAnsi="Arial" w:eastAsia="Arial"/>
          <w:color w:val="1F2937"/>
          <w:sz w:val="20"/>
        </w:rPr>
        <w:t>Statistical significance alone does not show meaningful effect, generalizability, low harm, or suitability.</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Popularity is not a substitute for evidence, ethical review, privacy analysis, or informed client choice.</w:t>
      </w:r>
    </w:p>
    <w:tbl>
      <w:tblPr>
        <w:tblW w:type="auto" w:w="0"/>
        <w:jc w:val="center"/>
        <w:tblLook w:firstColumn="1" w:firstRow="1" w:lastColumn="0" w:lastRow="0" w:noHBand="0" w:noVBand="1" w:val="04A0"/>
      </w:tblPr>
      <w:tblGrid>
        <w:gridCol w:w="10310"/>
      </w:tblGrid>
      <w:tr>
        <w:trPr>
          <w:cantSplit/>
          <w:tblHeader w:val="true"/>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Evidence-based practice combines research quality, clinical expertise, and client characteristics and preferences. Technology also requires privacy and accessibility review.</w:t>
            </w:r>
          </w:p>
        </w:tc>
      </w:tr>
    </w:tbl>
    <w:p>
      <w:pPr>
        <w:spacing w:after="0"/>
      </w:pPr>
    </w:p>
    <w:tbl>
      <w:tblPr>
        <w:tblW w:type="auto" w:w="0"/>
        <w:jc w:val="center"/>
        <w:tblLook w:firstColumn="1" w:firstRow="1" w:lastColumn="0" w:lastRow="0" w:noHBand="0" w:noVBand="1" w:val="04A0"/>
      </w:tblPr>
      <w:tblGrid>
        <w:gridCol w:w="10310"/>
      </w:tblGrid>
      <w:tr>
        <w:trPr>
          <w:cantSplit/>
          <w:tblHeader w:val="true"/>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E - Evidence / research. Evaluate evidence quality, harms, implementation, privacy, and client fit before adopting a new tool.</w:t>
            </w:r>
          </w:p>
        </w:tc>
      </w:tr>
    </w:tbl>
    <w:p>
      <w:pPr>
        <w:spacing w:after="0"/>
      </w:pPr>
    </w:p>
    <w:p>
      <w:r>
        <w:br w:type="page"/>
      </w:r>
    </w:p>
    <w:p>
      <w:pPr>
        <w:pStyle w:val="Heading2"/>
        <w:spacing w:before="0" w:after="60"/>
      </w:pPr>
      <w:r>
        <w:rPr>
          <w:rFonts w:ascii="Arial" w:hAnsi="Arial" w:eastAsia="Arial"/>
          <w:b/>
          <w:color w:val="159C9C"/>
          <w:sz w:val="26"/>
        </w:rPr>
        <w:t>Question 14 (LPCC-WB02-PB-Q014)</w:t>
      </w:r>
    </w:p>
    <w:p>
      <w:pPr>
        <w:spacing w:before="100" w:after="40"/>
        <w:keepNext/>
      </w:pPr>
      <w:r>
        <w:rPr>
          <w:rFonts w:ascii="Arial" w:hAnsi="Arial" w:eastAsia="Arial"/>
          <w:b/>
          <w:color w:val="1F7A8C"/>
          <w:sz w:val="17"/>
        </w:rPr>
        <w:t>LPCC-WB02-PB-Q014 | Scenario-Based | Moderate | Primary concept: Professional wellbeing and impairment risk</w:t>
      </w:r>
    </w:p>
    <w:p>
      <w:pPr>
        <w:spacing w:after="60" w:line="250" w:lineRule="auto"/>
      </w:pPr>
      <w:r>
        <w:rPr>
          <w:rFonts w:ascii="Arial" w:hAnsi="Arial" w:eastAsia="Arial"/>
          <w:b/>
          <w:color w:val="1F2937"/>
          <w:sz w:val="20"/>
        </w:rPr>
        <w:t>Which fact MOST clearly shows that Leila’s wellbeing concerns may already be affecting professional functioning?</w:t>
      </w:r>
    </w:p>
    <w:p>
      <w:pPr>
        <w:spacing w:after="40"/>
        <w:ind w:left="230" w:hanging="230"/>
      </w:pPr>
      <w:r>
        <w:rPr>
          <w:rFonts w:ascii="Arial" w:hAnsi="Arial" w:eastAsia="Arial"/>
          <w:sz w:val="20"/>
        </w:rPr>
        <w:t>A. She feels empathy for clients with workplace injuries.</w:t>
      </w:r>
    </w:p>
    <w:p>
      <w:pPr>
        <w:spacing w:after="40"/>
        <w:ind w:left="230" w:hanging="230"/>
      </w:pPr>
      <w:r>
        <w:rPr>
          <w:rFonts w:ascii="Arial" w:hAnsi="Arial" w:eastAsia="Arial"/>
          <w:sz w:val="20"/>
        </w:rPr>
        <w:t>B. She wants clients to feel believed.</w:t>
      </w:r>
    </w:p>
    <w:p>
      <w:pPr>
        <w:spacing w:after="40"/>
        <w:ind w:left="230" w:hanging="230"/>
      </w:pPr>
      <w:r>
        <w:rPr>
          <w:rFonts w:ascii="Arial" w:hAnsi="Arial" w:eastAsia="Arial"/>
          <w:sz w:val="20"/>
        </w:rPr>
        <w:t>C. She missed supervision, delayed documentation, and forgot a safety follow-up.</w:t>
      </w:r>
    </w:p>
    <w:p>
      <w:pPr>
        <w:spacing w:after="40"/>
        <w:ind w:left="230" w:hanging="230"/>
      </w:pPr>
      <w:r>
        <w:rPr>
          <w:rFonts w:ascii="Arial" w:hAnsi="Arial" w:eastAsia="Arial"/>
          <w:sz w:val="20"/>
        </w:rPr>
        <w:t>D. She prefers one treatment approach over another.</w:t>
      </w:r>
    </w:p>
    <w:tbl>
      <w:tblPr>
        <w:tblW w:type="auto" w:w="0"/>
        <w:jc w:val="center"/>
        <w:tblLook w:firstColumn="1" w:firstRow="1" w:lastColumn="0" w:lastRow="0" w:noHBand="0" w:noVBand="1" w:val="04A0"/>
      </w:tblPr>
      <w:tblGrid>
        <w:gridCol w:w="10310"/>
      </w:tblGrid>
      <w:tr>
        <w:trPr>
          <w:cantSplit/>
          <w:tblHeader w:val="true"/>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C. She missed supervision, delayed documentation, and forgot a safety follow-up.</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Empathy alone is not evidence of impaired functioning.</w:t>
      </w:r>
    </w:p>
    <w:p>
      <w:pPr>
        <w:spacing w:after="60" w:line="250" w:lineRule="auto"/>
        <w:ind w:left="173" w:hanging="173"/>
      </w:pPr>
      <w:r>
        <w:rPr>
          <w:rFonts w:ascii="Arial" w:hAnsi="Arial" w:eastAsia="Arial"/>
          <w:b/>
          <w:color w:val="17365D"/>
          <w:sz w:val="20"/>
        </w:rPr>
        <w:t xml:space="preserve">B. </w:t>
      </w:r>
      <w:r>
        <w:rPr>
          <w:rFonts w:ascii="Arial" w:hAnsi="Arial" w:eastAsia="Arial"/>
          <w:b/>
          <w:color w:val="1F2937"/>
          <w:sz w:val="20"/>
        </w:rPr>
        <w:t xml:space="preserve">Incorrect. </w:t>
      </w:r>
      <w:r>
        <w:rPr>
          <w:rFonts w:ascii="Arial" w:hAnsi="Arial" w:eastAsia="Arial"/>
          <w:color w:val="1F2937"/>
          <w:sz w:val="20"/>
        </w:rPr>
        <w:t>A desire to validate clients can be clinically appropriate when regulated and balanced.</w:t>
      </w:r>
    </w:p>
    <w:p>
      <w:pPr>
        <w:spacing w:after="60" w:line="250" w:lineRule="auto"/>
        <w:ind w:left="173" w:hanging="173"/>
      </w:pPr>
      <w:r>
        <w:rPr>
          <w:rFonts w:ascii="Arial" w:hAnsi="Arial" w:eastAsia="Arial"/>
          <w:b/>
          <w:color w:val="1F7A8C"/>
          <w:sz w:val="20"/>
        </w:rPr>
        <w:t xml:space="preserve">C. </w:t>
      </w:r>
      <w:r>
        <w:rPr>
          <w:rFonts w:ascii="Arial" w:hAnsi="Arial" w:eastAsia="Arial"/>
          <w:b/>
          <w:color w:val="1F7A8C"/>
          <w:sz w:val="20"/>
        </w:rPr>
        <w:t xml:space="preserve">Correct. </w:t>
      </w:r>
      <w:r>
        <w:rPr>
          <w:rFonts w:ascii="Arial" w:hAnsi="Arial" w:eastAsia="Arial"/>
          <w:color w:val="1F2937"/>
          <w:sz w:val="20"/>
        </w:rPr>
        <w:t>These are concrete reliability and safety failures affecting supervision, records, and client follow-through.</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A treatment preference is not itself impairment; the concern is whether judgment and care are compromised.</w:t>
      </w:r>
    </w:p>
    <w:tbl>
      <w:tblPr>
        <w:tblW w:type="auto" w:w="0"/>
        <w:jc w:val="center"/>
        <w:tblLook w:firstColumn="1" w:firstRow="1" w:lastColumn="0" w:lastRow="0" w:noHBand="0" w:noVBand="1" w:val="04A0"/>
      </w:tblPr>
      <w:tblGrid>
        <w:gridCol w:w="10310"/>
      </w:tblGrid>
      <w:tr>
        <w:trPr>
          <w:cantSplit/>
          <w:tblHeader w:val="true"/>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Do not diagnose the counselor from feelings alone. Look for observable changes in reliability, judgment, boundaries, documentation, or client safety.</w:t>
            </w:r>
          </w:p>
        </w:tc>
      </w:tr>
    </w:tbl>
    <w:p>
      <w:pPr>
        <w:spacing w:after="0"/>
      </w:pPr>
    </w:p>
    <w:tbl>
      <w:tblPr>
        <w:tblW w:type="auto" w:w="0"/>
        <w:jc w:val="center"/>
        <w:tblLook w:firstColumn="1" w:firstRow="1" w:lastColumn="0" w:lastRow="0" w:noHBand="0" w:noVBand="1" w:val="04A0"/>
      </w:tblPr>
      <w:tblGrid>
        <w:gridCol w:w="10310"/>
      </w:tblGrid>
      <w:tr>
        <w:trPr>
          <w:cantSplit/>
          <w:tblHeader w:val="true"/>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W - Wellbeing / impairment. Prioritize concrete evidence that client care or professional functioning has been affected.</w:t>
            </w:r>
          </w:p>
        </w:tc>
      </w:tr>
    </w:tbl>
    <w:p>
      <w:pPr>
        <w:spacing w:after="0"/>
      </w:pPr>
    </w:p>
    <w:p>
      <w:r>
        <w:br w:type="page"/>
      </w:r>
    </w:p>
    <w:p>
      <w:pPr>
        <w:pStyle w:val="Heading2"/>
        <w:spacing w:before="0" w:after="60"/>
      </w:pPr>
      <w:r>
        <w:rPr>
          <w:rFonts w:ascii="Arial" w:hAnsi="Arial" w:eastAsia="Arial"/>
          <w:b/>
          <w:color w:val="159C9C"/>
          <w:sz w:val="26"/>
        </w:rPr>
        <w:t>Question 15 (LPCC-WB02-PB-Q015)</w:t>
      </w:r>
    </w:p>
    <w:p>
      <w:pPr>
        <w:spacing w:before="100" w:after="40"/>
        <w:keepNext/>
      </w:pPr>
      <w:r>
        <w:rPr>
          <w:rFonts w:ascii="Arial" w:hAnsi="Arial" w:eastAsia="Arial"/>
          <w:b/>
          <w:color w:val="1F7A8C"/>
          <w:sz w:val="17"/>
        </w:rPr>
        <w:t>LPCC-WB02-PB-Q015 | Integrated Clinical Reasoning | Difficult | Primary concept: Immediate protective response to impairment risk</w:t>
      </w:r>
    </w:p>
    <w:p>
      <w:pPr>
        <w:spacing w:after="60" w:line="250" w:lineRule="auto"/>
      </w:pPr>
      <w:r>
        <w:rPr>
          <w:rFonts w:ascii="Arial" w:hAnsi="Arial" w:eastAsia="Arial"/>
          <w:b/>
          <w:color w:val="1F2937"/>
          <w:sz w:val="20"/>
        </w:rPr>
        <w:t>What is Leila’s BEST immediate response?</w:t>
      </w:r>
    </w:p>
    <w:p>
      <w:pPr>
        <w:spacing w:after="40"/>
        <w:ind w:left="230" w:hanging="230"/>
      </w:pPr>
      <w:r>
        <w:rPr>
          <w:rFonts w:ascii="Arial" w:hAnsi="Arial" w:eastAsia="Arial"/>
          <w:sz w:val="20"/>
        </w:rPr>
        <w:t>A. Inform Dr. Nguyen fully, address the missed safety follow-up and delayed records, assess which clients need coverage or modified care, reduce or redistribute workload as needed, and obtain appropriate professional and personal support.</w:t>
      </w:r>
    </w:p>
    <w:p>
      <w:pPr>
        <w:spacing w:after="40"/>
        <w:ind w:left="230" w:hanging="230"/>
      </w:pPr>
      <w:r>
        <w:rPr>
          <w:rFonts w:ascii="Arial" w:hAnsi="Arial" w:eastAsia="Arial"/>
          <w:sz w:val="20"/>
        </w:rPr>
        <w:t>B. Continue the current caseload because positive client feedback proves competence.</w:t>
      </w:r>
    </w:p>
    <w:p>
      <w:pPr>
        <w:spacing w:after="40"/>
        <w:ind w:left="230" w:hanging="230"/>
      </w:pPr>
      <w:r>
        <w:rPr>
          <w:rFonts w:ascii="Arial" w:hAnsi="Arial" w:eastAsia="Arial"/>
          <w:sz w:val="20"/>
        </w:rPr>
        <w:t>C. Wait until vacation and use private self-care without changing practice.</w:t>
      </w:r>
    </w:p>
    <w:p>
      <w:pPr>
        <w:spacing w:after="40"/>
        <w:ind w:left="230" w:hanging="230"/>
      </w:pPr>
      <w:r>
        <w:rPr>
          <w:rFonts w:ascii="Arial" w:hAnsi="Arial" w:eastAsia="Arial"/>
          <w:sz w:val="20"/>
        </w:rPr>
        <w:t>D. Tell all clients about her stress so they understand any delays.</w:t>
      </w:r>
    </w:p>
    <w:tbl>
      <w:tblPr>
        <w:tblW w:type="auto" w:w="0"/>
        <w:jc w:val="center"/>
        <w:tblLook w:firstColumn="1" w:firstRow="1" w:lastColumn="0" w:lastRow="0" w:noHBand="0" w:noVBand="1" w:val="04A0"/>
      </w:tblPr>
      <w:tblGrid>
        <w:gridCol w:w="10310"/>
      </w:tblGrid>
      <w:tr>
        <w:trPr>
          <w:cantSplit/>
          <w:tblHeader w:val="true"/>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A. Inform Dr. Nguyen fully, address the missed safety follow-up and delayed records, assess which clients need coverage or modified care, reduce or redistribute workload as needed, and obtain appropriate professional and personal support.</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F7A8C"/>
          <w:sz w:val="20"/>
        </w:rPr>
        <w:t xml:space="preserve">A. </w:t>
      </w:r>
      <w:r>
        <w:rPr>
          <w:rFonts w:ascii="Arial" w:hAnsi="Arial" w:eastAsia="Arial"/>
          <w:b/>
          <w:color w:val="1F7A8C"/>
          <w:sz w:val="20"/>
        </w:rPr>
        <w:t xml:space="preserve">Correct. </w:t>
      </w:r>
      <w:r>
        <w:rPr>
          <w:rFonts w:ascii="Arial" w:hAnsi="Arial" w:eastAsia="Arial"/>
          <w:color w:val="1F2937"/>
          <w:sz w:val="20"/>
        </w:rPr>
        <w:t>This protects clients first, restores supervision and reliability, and links immediate practice changes with appropriate support.</w:t>
      </w:r>
    </w:p>
    <w:p>
      <w:pPr>
        <w:spacing w:after="60" w:line="250" w:lineRule="auto"/>
        <w:ind w:left="173" w:hanging="173"/>
      </w:pPr>
      <w:r>
        <w:rPr>
          <w:rFonts w:ascii="Arial" w:hAnsi="Arial" w:eastAsia="Arial"/>
          <w:b/>
          <w:color w:val="17365D"/>
          <w:sz w:val="20"/>
        </w:rPr>
        <w:t xml:space="preserve">B. </w:t>
      </w:r>
      <w:r>
        <w:rPr>
          <w:rFonts w:ascii="Arial" w:hAnsi="Arial" w:eastAsia="Arial"/>
          <w:b/>
          <w:color w:val="1F2937"/>
          <w:sz w:val="20"/>
        </w:rPr>
        <w:t xml:space="preserve">Incorrect. </w:t>
      </w:r>
      <w:r>
        <w:rPr>
          <w:rFonts w:ascii="Arial" w:hAnsi="Arial" w:eastAsia="Arial"/>
          <w:color w:val="1F2937"/>
          <w:sz w:val="20"/>
        </w:rPr>
        <w:t>Client liking does not negate missed safety tasks, documentation delays, or impaired judgment.</w:t>
      </w:r>
    </w:p>
    <w:p>
      <w:pPr>
        <w:spacing w:after="60" w:line="250" w:lineRule="auto"/>
        <w:ind w:left="173" w:hanging="173"/>
      </w:pPr>
      <w:r>
        <w:rPr>
          <w:rFonts w:ascii="Arial" w:hAnsi="Arial" w:eastAsia="Arial"/>
          <w:b/>
          <w:color w:val="17365D"/>
          <w:sz w:val="20"/>
        </w:rPr>
        <w:t xml:space="preserve">C. </w:t>
      </w:r>
      <w:r>
        <w:rPr>
          <w:rFonts w:ascii="Arial" w:hAnsi="Arial" w:eastAsia="Arial"/>
          <w:b/>
          <w:color w:val="1F2937"/>
          <w:sz w:val="20"/>
        </w:rPr>
        <w:t xml:space="preserve">Incorrect. </w:t>
      </w:r>
      <w:r>
        <w:rPr>
          <w:rFonts w:ascii="Arial" w:hAnsi="Arial" w:eastAsia="Arial"/>
          <w:color w:val="1F2937"/>
          <w:sz w:val="20"/>
        </w:rPr>
        <w:t>Self-care alone is insufficient when functioning and client safety may already be affected.</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Broad disclosure burdens clients and does not correct the operational risks.</w:t>
      </w:r>
    </w:p>
    <w:tbl>
      <w:tblPr>
        <w:tblW w:type="auto" w:w="0"/>
        <w:jc w:val="center"/>
        <w:tblLook w:firstColumn="1" w:firstRow="1" w:lastColumn="0" w:lastRow="0" w:noHBand="0" w:noVBand="1" w:val="04A0"/>
      </w:tblPr>
      <w:tblGrid>
        <w:gridCol w:w="10310"/>
      </w:tblGrid>
      <w:tr>
        <w:trPr>
          <w:cantSplit/>
          <w:tblHeader w:val="true"/>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When functioning is affected, move beyond wellness advice. Correct safety problems, involve supervision, modify practice, and obtain support.</w:t>
            </w:r>
          </w:p>
        </w:tc>
      </w:tr>
    </w:tbl>
    <w:p>
      <w:pPr>
        <w:spacing w:after="0"/>
      </w:pPr>
    </w:p>
    <w:tbl>
      <w:tblPr>
        <w:tblW w:type="auto" w:w="0"/>
        <w:jc w:val="center"/>
        <w:tblLook w:firstColumn="1" w:firstRow="1" w:lastColumn="0" w:lastRow="0" w:noHBand="0" w:noVBand="1" w:val="04A0"/>
      </w:tblPr>
      <w:tblGrid>
        <w:gridCol w:w="10310"/>
      </w:tblGrid>
      <w:tr>
        <w:trPr>
          <w:cantSplit/>
          <w:tblHeader w:val="true"/>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W - Wellbeing / impairment. Protect current clients and restore reliable practice before relying on long-term self-care plans.</w:t>
            </w:r>
          </w:p>
        </w:tc>
      </w:tr>
    </w:tbl>
    <w:p>
      <w:pPr>
        <w:spacing w:after="0"/>
      </w:pPr>
    </w:p>
    <w:p>
      <w:r>
        <w:br w:type="page"/>
      </w:r>
    </w:p>
    <w:p>
      <w:pPr>
        <w:pStyle w:val="Heading2"/>
        <w:spacing w:before="0" w:after="60"/>
      </w:pPr>
      <w:r>
        <w:rPr>
          <w:rFonts w:ascii="Arial" w:hAnsi="Arial" w:eastAsia="Arial"/>
          <w:b/>
          <w:color w:val="159C9C"/>
          <w:sz w:val="26"/>
        </w:rPr>
        <w:t>Question 16 (LPCC-WB02-PB-Q016)</w:t>
      </w:r>
    </w:p>
    <w:p>
      <w:pPr>
        <w:spacing w:before="100" w:after="40"/>
        <w:keepNext/>
      </w:pPr>
      <w:r>
        <w:rPr>
          <w:rFonts w:ascii="Arial" w:hAnsi="Arial" w:eastAsia="Arial"/>
          <w:b/>
          <w:color w:val="1F7A8C"/>
          <w:sz w:val="17"/>
        </w:rPr>
        <w:t>LPCC-WB02-PB-Q016 | Application | Easy | Primary concept: Collaborative reduction in treatment frequency</w:t>
      </w:r>
    </w:p>
    <w:p>
      <w:pPr>
        <w:spacing w:after="60" w:line="250" w:lineRule="auto"/>
      </w:pPr>
      <w:r>
        <w:rPr>
          <w:rFonts w:ascii="Arial" w:hAnsi="Arial" w:eastAsia="Arial"/>
          <w:b/>
          <w:color w:val="1F2937"/>
          <w:sz w:val="20"/>
        </w:rPr>
        <w:t>How should Leila and Dr. Nguyen approach Mateo’s request to move to biweekly sessions?</w:t>
      </w:r>
    </w:p>
    <w:p>
      <w:pPr>
        <w:spacing w:after="40"/>
        <w:ind w:left="230" w:hanging="230"/>
      </w:pPr>
      <w:r>
        <w:rPr>
          <w:rFonts w:ascii="Arial" w:hAnsi="Arial" w:eastAsia="Arial"/>
          <w:sz w:val="20"/>
        </w:rPr>
        <w:t>A. Refuse because clients should remain weekly until every symptom has resolved.</w:t>
      </w:r>
    </w:p>
    <w:p>
      <w:pPr>
        <w:spacing w:after="40"/>
        <w:ind w:left="230" w:hanging="230"/>
      </w:pPr>
      <w:r>
        <w:rPr>
          <w:rFonts w:ascii="Arial" w:hAnsi="Arial" w:eastAsia="Arial"/>
          <w:sz w:val="20"/>
        </w:rPr>
        <w:t>B. Agree automatically because the client requested it.</w:t>
      </w:r>
    </w:p>
    <w:p>
      <w:pPr>
        <w:spacing w:after="40"/>
        <w:ind w:left="230" w:hanging="230"/>
      </w:pPr>
      <w:r>
        <w:rPr>
          <w:rFonts w:ascii="Arial" w:hAnsi="Arial" w:eastAsia="Arial"/>
          <w:sz w:val="20"/>
        </w:rPr>
        <w:t>C. Delay the decision until Leila feels less stressed, without discussing it with Mateo.</w:t>
      </w:r>
    </w:p>
    <w:p>
      <w:pPr>
        <w:spacing w:after="40"/>
        <w:ind w:left="230" w:hanging="230"/>
      </w:pPr>
      <w:r>
        <w:rPr>
          <w:rFonts w:ascii="Arial" w:hAnsi="Arial" w:eastAsia="Arial"/>
          <w:sz w:val="20"/>
        </w:rPr>
        <w:t>D. Review Mateo’s progress, current risks, remaining goals, preferences, supports, and relapse plan, then collaborate on a clinically appropriate frequency and continuity plan.</w:t>
      </w:r>
    </w:p>
    <w:tbl>
      <w:tblPr>
        <w:tblW w:type="auto" w:w="0"/>
        <w:jc w:val="center"/>
        <w:tblLook w:firstColumn="1" w:firstRow="1" w:lastColumn="0" w:lastRow="0" w:noHBand="0" w:noVBand="1" w:val="04A0"/>
      </w:tblPr>
      <w:tblGrid>
        <w:gridCol w:w="10310"/>
      </w:tblGrid>
      <w:tr>
        <w:trPr>
          <w:cantSplit/>
          <w:tblHeader w:val="true"/>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D. Review Mateo’s progress, current risks, remaining goals, preferences, supports, and relapse plan, then collaborate on a clinically appropriate frequency and continuity plan.</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Complete symptom elimination is not a universal requirement for reducing frequency.</w:t>
      </w:r>
    </w:p>
    <w:p>
      <w:pPr>
        <w:spacing w:after="60" w:line="250" w:lineRule="auto"/>
        <w:ind w:left="173" w:hanging="173"/>
      </w:pPr>
      <w:r>
        <w:rPr>
          <w:rFonts w:ascii="Arial" w:hAnsi="Arial" w:eastAsia="Arial"/>
          <w:b/>
          <w:color w:val="17365D"/>
          <w:sz w:val="20"/>
        </w:rPr>
        <w:t xml:space="preserve">B. </w:t>
      </w:r>
      <w:r>
        <w:rPr>
          <w:rFonts w:ascii="Arial" w:hAnsi="Arial" w:eastAsia="Arial"/>
          <w:b/>
          <w:color w:val="1F2937"/>
          <w:sz w:val="20"/>
        </w:rPr>
        <w:t xml:space="preserve">Incorrect. </w:t>
      </w:r>
      <w:r>
        <w:rPr>
          <w:rFonts w:ascii="Arial" w:hAnsi="Arial" w:eastAsia="Arial"/>
          <w:color w:val="1F2937"/>
          <w:sz w:val="20"/>
        </w:rPr>
        <w:t>Client preference is important but should be integrated with risk, functioning, goals, and continuity.</w:t>
      </w:r>
    </w:p>
    <w:p>
      <w:pPr>
        <w:spacing w:after="60" w:line="250" w:lineRule="auto"/>
        <w:ind w:left="173" w:hanging="173"/>
      </w:pPr>
      <w:r>
        <w:rPr>
          <w:rFonts w:ascii="Arial" w:hAnsi="Arial" w:eastAsia="Arial"/>
          <w:b/>
          <w:color w:val="17365D"/>
          <w:sz w:val="20"/>
        </w:rPr>
        <w:t xml:space="preserve">C. </w:t>
      </w:r>
      <w:r>
        <w:rPr>
          <w:rFonts w:ascii="Arial" w:hAnsi="Arial" w:eastAsia="Arial"/>
          <w:b/>
          <w:color w:val="1F2937"/>
          <w:sz w:val="20"/>
        </w:rPr>
        <w:t xml:space="preserve">Incorrect. </w:t>
      </w:r>
      <w:r>
        <w:rPr>
          <w:rFonts w:ascii="Arial" w:hAnsi="Arial" w:eastAsia="Arial"/>
          <w:color w:val="1F2937"/>
          <w:sz w:val="20"/>
        </w:rPr>
        <w:t>The client should not be excluded from a treatment decision because of the counselor’s internal concerns.</w:t>
      </w:r>
    </w:p>
    <w:p>
      <w:pPr>
        <w:spacing w:after="60" w:line="250" w:lineRule="auto"/>
        <w:ind w:left="173" w:hanging="173"/>
      </w:pPr>
      <w:r>
        <w:rPr>
          <w:rFonts w:ascii="Arial" w:hAnsi="Arial" w:eastAsia="Arial"/>
          <w:b/>
          <w:color w:val="1F7A8C"/>
          <w:sz w:val="20"/>
        </w:rPr>
        <w:t xml:space="preserve">D. </w:t>
      </w:r>
      <w:r>
        <w:rPr>
          <w:rFonts w:ascii="Arial" w:hAnsi="Arial" w:eastAsia="Arial"/>
          <w:b/>
          <w:color w:val="1F7A8C"/>
          <w:sz w:val="20"/>
        </w:rPr>
        <w:t xml:space="preserve">Correct. </w:t>
      </w:r>
      <w:r>
        <w:rPr>
          <w:rFonts w:ascii="Arial" w:hAnsi="Arial" w:eastAsia="Arial"/>
          <w:color w:val="1F2937"/>
          <w:sz w:val="20"/>
        </w:rPr>
        <w:t>This is collaborative, evidence-informed, and attentive to both progress and ongoing needs.</w:t>
      </w:r>
    </w:p>
    <w:tbl>
      <w:tblPr>
        <w:tblW w:type="auto" w:w="0"/>
        <w:jc w:val="center"/>
        <w:tblLook w:firstColumn="1" w:firstRow="1" w:lastColumn="0" w:lastRow="0" w:noHBand="0" w:noVBand="1" w:val="04A0"/>
      </w:tblPr>
      <w:tblGrid>
        <w:gridCol w:w="10310"/>
      </w:tblGrid>
      <w:tr>
        <w:trPr>
          <w:cantSplit/>
          <w:tblHeader w:val="true"/>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Changes in frequency are treatment-planning decisions. Use progress, risk, goals, client preference, and continuity—not habit or avoidance.</w:t>
            </w:r>
          </w:p>
        </w:tc>
      </w:tr>
    </w:tbl>
    <w:p>
      <w:pPr>
        <w:spacing w:after="0"/>
      </w:pPr>
    </w:p>
    <w:tbl>
      <w:tblPr>
        <w:tblW w:type="auto" w:w="0"/>
        <w:jc w:val="center"/>
        <w:tblLook w:firstColumn="1" w:firstRow="1" w:lastColumn="0" w:lastRow="0" w:noHBand="0" w:noVBand="1" w:val="04A0"/>
      </w:tblPr>
      <w:tblGrid>
        <w:gridCol w:w="10310"/>
      </w:tblGrid>
      <w:tr>
        <w:trPr>
          <w:cantSplit/>
          <w:tblHeader w:val="true"/>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T - Timing / sequence. Reassess the current clinical picture and collaborate before changing treatment intensity.</w:t>
            </w:r>
          </w:p>
        </w:tc>
      </w:tr>
    </w:tbl>
    <w:p>
      <w:pPr>
        <w:spacing w:after="0"/>
      </w:pPr>
    </w:p>
    <w:p>
      <w:r>
        <w:br w:type="page"/>
      </w:r>
    </w:p>
    <w:p>
      <w:pPr>
        <w:pStyle w:val="Heading2"/>
        <w:spacing w:before="0" w:after="60"/>
      </w:pPr>
      <w:r>
        <w:rPr>
          <w:rFonts w:ascii="Arial" w:hAnsi="Arial" w:eastAsia="Arial"/>
          <w:b/>
          <w:color w:val="159C9C"/>
          <w:sz w:val="26"/>
        </w:rPr>
        <w:t>Question 17 (LPCC-WB02-PB-Q017)</w:t>
      </w:r>
    </w:p>
    <w:p>
      <w:pPr>
        <w:spacing w:before="100" w:after="40"/>
        <w:keepNext/>
      </w:pPr>
      <w:r>
        <w:rPr>
          <w:rFonts w:ascii="Arial" w:hAnsi="Arial" w:eastAsia="Arial"/>
          <w:b/>
          <w:color w:val="1F7A8C"/>
          <w:sz w:val="17"/>
        </w:rPr>
        <w:t>LPCC-WB02-PB-Q017 | Scenario-Based | Moderate | Primary concept: Longer-term professional development</w:t>
      </w:r>
    </w:p>
    <w:p>
      <w:pPr>
        <w:spacing w:after="60" w:line="250" w:lineRule="auto"/>
      </w:pPr>
      <w:r>
        <w:rPr>
          <w:rFonts w:ascii="Arial" w:hAnsi="Arial" w:eastAsia="Arial"/>
          <w:b/>
          <w:color w:val="1F2937"/>
          <w:sz w:val="20"/>
        </w:rPr>
        <w:t>After immediate client-protection steps are in place, which professional-development plan would BEST reduce recurrence?</w:t>
      </w:r>
    </w:p>
    <w:p>
      <w:pPr>
        <w:spacing w:after="40"/>
        <w:ind w:left="230" w:hanging="230"/>
      </w:pPr>
      <w:r>
        <w:rPr>
          <w:rFonts w:ascii="Arial" w:hAnsi="Arial" w:eastAsia="Arial"/>
          <w:sz w:val="20"/>
        </w:rPr>
        <w:t>A. Avoid all workplace-injury clients permanently without reviewing competence or fit.</w:t>
      </w:r>
    </w:p>
    <w:p>
      <w:pPr>
        <w:spacing w:after="40"/>
        <w:ind w:left="230" w:hanging="230"/>
      </w:pPr>
      <w:r>
        <w:rPr>
          <w:rFonts w:ascii="Arial" w:hAnsi="Arial" w:eastAsia="Arial"/>
          <w:sz w:val="20"/>
        </w:rPr>
        <w:t>B. Rely on positive feedback from clients to decide whether additional development is needed.</w:t>
      </w:r>
    </w:p>
    <w:p>
      <w:pPr>
        <w:spacing w:after="40"/>
        <w:ind w:left="230" w:hanging="230"/>
      </w:pPr>
      <w:r>
        <w:rPr>
          <w:rFonts w:ascii="Arial" w:hAnsi="Arial" w:eastAsia="Arial"/>
          <w:sz w:val="20"/>
        </w:rPr>
        <w:t>C. Create a targeted plan that includes training and consultation on workplace-injury and medical-collaboration issues, regular supervision of countertransference and boundaries, workload monitoring, and clear early-warning actions.</w:t>
      </w:r>
    </w:p>
    <w:p>
      <w:pPr>
        <w:spacing w:after="40"/>
        <w:ind w:left="230" w:hanging="230"/>
      </w:pPr>
      <w:r>
        <w:rPr>
          <w:rFonts w:ascii="Arial" w:hAnsi="Arial" w:eastAsia="Arial"/>
          <w:sz w:val="20"/>
        </w:rPr>
        <w:t>D. Complete one general wellness webinar and return to the same workload without monitoring.</w:t>
      </w:r>
    </w:p>
    <w:tbl>
      <w:tblPr>
        <w:tblW w:type="auto" w:w="0"/>
        <w:jc w:val="center"/>
        <w:tblLook w:firstColumn="1" w:firstRow="1" w:lastColumn="0" w:lastRow="0" w:noHBand="0" w:noVBand="1" w:val="04A0"/>
      </w:tblPr>
      <w:tblGrid>
        <w:gridCol w:w="10310"/>
      </w:tblGrid>
      <w:tr>
        <w:trPr>
          <w:cantSplit/>
          <w:tblHeader w:val="true"/>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C. Create a targeted plan that includes training and consultation on workplace-injury and medical-collaboration issues, regular supervision of countertransference and boundaries, workload monitoring, and clear early-warning actions.</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A blanket avoidance rule may be disproportionate and does not build competence or self-awareness.</w:t>
      </w:r>
    </w:p>
    <w:p>
      <w:pPr>
        <w:spacing w:after="60" w:line="250" w:lineRule="auto"/>
        <w:ind w:left="173" w:hanging="173"/>
      </w:pPr>
      <w:r>
        <w:rPr>
          <w:rFonts w:ascii="Arial" w:hAnsi="Arial" w:eastAsia="Arial"/>
          <w:b/>
          <w:color w:val="17365D"/>
          <w:sz w:val="20"/>
        </w:rPr>
        <w:t xml:space="preserve">B. </w:t>
      </w:r>
      <w:r>
        <w:rPr>
          <w:rFonts w:ascii="Arial" w:hAnsi="Arial" w:eastAsia="Arial"/>
          <w:b/>
          <w:color w:val="1F2937"/>
          <w:sz w:val="20"/>
        </w:rPr>
        <w:t xml:space="preserve">Incorrect. </w:t>
      </w:r>
      <w:r>
        <w:rPr>
          <w:rFonts w:ascii="Arial" w:hAnsi="Arial" w:eastAsia="Arial"/>
          <w:color w:val="1F2937"/>
          <w:sz w:val="20"/>
        </w:rPr>
        <w:t>Client approval is not an adequate measure of competence, reliability, or risk.</w:t>
      </w:r>
    </w:p>
    <w:p>
      <w:pPr>
        <w:spacing w:after="60" w:line="250" w:lineRule="auto"/>
        <w:ind w:left="173" w:hanging="173"/>
      </w:pPr>
      <w:r>
        <w:rPr>
          <w:rFonts w:ascii="Arial" w:hAnsi="Arial" w:eastAsia="Arial"/>
          <w:b/>
          <w:color w:val="1F7A8C"/>
          <w:sz w:val="20"/>
        </w:rPr>
        <w:t xml:space="preserve">C. </w:t>
      </w:r>
      <w:r>
        <w:rPr>
          <w:rFonts w:ascii="Arial" w:hAnsi="Arial" w:eastAsia="Arial"/>
          <w:b/>
          <w:color w:val="1F7A8C"/>
          <w:sz w:val="20"/>
        </w:rPr>
        <w:t xml:space="preserve">Correct. </w:t>
      </w:r>
      <w:r>
        <w:rPr>
          <w:rFonts w:ascii="Arial" w:hAnsi="Arial" w:eastAsia="Arial"/>
          <w:color w:val="1F2937"/>
          <w:sz w:val="20"/>
        </w:rPr>
        <w:t>This addresses knowledge, consultation, counselor reactions, workload, and measurable prevention steps.</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A single general activity without practice changes or monitoring is unlikely to address the demonstrated pattern.</w:t>
      </w:r>
    </w:p>
    <w:tbl>
      <w:tblPr>
        <w:tblW w:type="auto" w:w="0"/>
        <w:jc w:val="center"/>
        <w:tblLook w:firstColumn="1" w:firstRow="1" w:lastColumn="0" w:lastRow="0" w:noHBand="0" w:noVBand="1" w:val="04A0"/>
      </w:tblPr>
      <w:tblGrid>
        <w:gridCol w:w="10310"/>
      </w:tblGrid>
      <w:tr>
        <w:trPr>
          <w:cantSplit/>
          <w:tblHeader w:val="true"/>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Long-term development should be specific to the gap and include a way to observe whether practice actually improves.</w:t>
            </w:r>
          </w:p>
        </w:tc>
      </w:tr>
    </w:tbl>
    <w:p>
      <w:pPr>
        <w:spacing w:after="0"/>
      </w:pPr>
    </w:p>
    <w:tbl>
      <w:tblPr>
        <w:tblW w:type="auto" w:w="0"/>
        <w:jc w:val="center"/>
        <w:tblLook w:firstColumn="1" w:firstRow="1" w:lastColumn="0" w:lastRow="0" w:noHBand="0" w:noVBand="1" w:val="04A0"/>
      </w:tblPr>
      <w:tblGrid>
        <w:gridCol w:w="10310"/>
      </w:tblGrid>
      <w:tr>
        <w:trPr>
          <w:cantSplit/>
          <w:tblHeader w:val="true"/>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D - Development plan. Translate the identified risk pattern into targeted learning, consultation, monitoring, and early intervention.</w:t>
            </w:r>
          </w:p>
        </w:tc>
      </w:tr>
    </w:tbl>
    <w:p>
      <w:pPr>
        <w:spacing w:after="0"/>
      </w:pPr>
    </w:p>
    <w:p>
      <w:r>
        <w:br w:type="page"/>
      </w:r>
    </w:p>
    <w:p>
      <w:pPr>
        <w:pStyle w:val="Heading2"/>
        <w:spacing w:before="140" w:after="80"/>
        <w:keepNext/>
      </w:pPr>
      <w:r>
        <w:rPr>
          <w:rFonts w:ascii="Arial" w:hAnsi="Arial" w:eastAsia="Arial"/>
          <w:b/>
          <w:color w:val="159C9C"/>
          <w:sz w:val="26"/>
        </w:rPr>
        <w:t>Score and Remediation Summary</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4032"/>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Measure</w:t>
            </w:r>
          </w:p>
        </w:tc>
        <w:tc>
          <w:tcPr>
            <w:tcW w:type="dxa" w:w="6480"/>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Result</w:t>
            </w:r>
          </w:p>
        </w:tc>
      </w:tr>
      <w:tr>
        <w:trPr>
          <w:cantSplit/>
        </w:trPr>
        <w:tc>
          <w:tcPr>
            <w:tcW w:type="dxa" w:w="403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Total score</w:t>
            </w:r>
          </w:p>
        </w:tc>
        <w:tc>
          <w:tcPr>
            <w:tcW w:type="dxa" w:w="64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 / 17</w:t>
            </w:r>
          </w:p>
        </w:tc>
      </w:tr>
      <w:tr>
        <w:trPr>
          <w:cantSplit/>
        </w:trPr>
        <w:tc>
          <w:tcPr>
            <w:tcW w:type="dxa" w:w="403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Easy items</w:t>
            </w:r>
          </w:p>
        </w:tc>
        <w:tc>
          <w:tcPr>
            <w:tcW w:type="dxa" w:w="64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 / 5</w:t>
            </w:r>
          </w:p>
        </w:tc>
      </w:tr>
      <w:tr>
        <w:trPr>
          <w:cantSplit/>
        </w:trPr>
        <w:tc>
          <w:tcPr>
            <w:tcW w:type="dxa" w:w="403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Moderate items</w:t>
            </w:r>
          </w:p>
        </w:tc>
        <w:tc>
          <w:tcPr>
            <w:tcW w:type="dxa" w:w="64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 / 7</w:t>
            </w:r>
          </w:p>
        </w:tc>
      </w:tr>
      <w:tr>
        <w:trPr>
          <w:cantSplit/>
        </w:trPr>
        <w:tc>
          <w:tcPr>
            <w:tcW w:type="dxa" w:w="403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Difficult items</w:t>
            </w:r>
          </w:p>
        </w:tc>
        <w:tc>
          <w:tcPr>
            <w:tcW w:type="dxa" w:w="64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 / 5</w:t>
            </w:r>
          </w:p>
        </w:tc>
      </w:tr>
      <w:tr>
        <w:trPr>
          <w:cantSplit/>
        </w:trPr>
        <w:tc>
          <w:tcPr>
            <w:tcW w:type="dxa" w:w="403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Low-confidence correct answers</w:t>
            </w:r>
          </w:p>
        </w:tc>
        <w:tc>
          <w:tcPr>
            <w:tcW w:type="dxa" w:w="64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w:t>
            </w:r>
          </w:p>
        </w:tc>
      </w:tr>
      <w:tr>
        <w:trPr>
          <w:cantSplit/>
        </w:trPr>
        <w:tc>
          <w:tcPr>
            <w:tcW w:type="dxa" w:w="403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Most frequent error code</w:t>
            </w:r>
          </w:p>
        </w:tc>
        <w:tc>
          <w:tcPr>
            <w:tcW w:type="dxa" w:w="64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w:t>
            </w:r>
          </w:p>
        </w:tc>
      </w:tr>
      <w:tr>
        <w:trPr>
          <w:cantSplit/>
        </w:trPr>
        <w:tc>
          <w:tcPr>
            <w:tcW w:type="dxa" w:w="403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Time used</w:t>
            </w:r>
          </w:p>
        </w:tc>
        <w:tc>
          <w:tcPr>
            <w:tcW w:type="dxa" w:w="64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 minutes</w:t>
            </w:r>
          </w:p>
        </w:tc>
      </w:tr>
      <w:tr>
        <w:trPr>
          <w:cantSplit/>
        </w:trPr>
        <w:tc>
          <w:tcPr>
            <w:tcW w:type="dxa" w:w="403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One demonstrated strength</w:t>
            </w:r>
          </w:p>
        </w:tc>
        <w:tc>
          <w:tcPr>
            <w:tcW w:type="dxa" w:w="64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________________________________________</w:t>
            </w:r>
          </w:p>
        </w:tc>
      </w:tr>
      <w:tr>
        <w:trPr>
          <w:cantSplit/>
        </w:trPr>
        <w:tc>
          <w:tcPr>
            <w:tcW w:type="dxa" w:w="403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One priority for remediation</w:t>
            </w:r>
          </w:p>
        </w:tc>
        <w:tc>
          <w:tcPr>
            <w:tcW w:type="dxa" w:w="64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________________________________________</w:t>
            </w:r>
          </w:p>
        </w:tc>
      </w:tr>
    </w:tbl>
    <w:p>
      <w:pPr>
        <w:spacing w:after="0"/>
      </w:pPr>
    </w:p>
    <w:p>
      <w:pPr>
        <w:pStyle w:val="Heading2"/>
        <w:spacing w:before="140" w:after="80"/>
        <w:keepNext/>
      </w:pPr>
      <w:r>
        <w:rPr>
          <w:rFonts w:ascii="Arial" w:hAnsi="Arial" w:eastAsia="Arial"/>
          <w:b/>
          <w:color w:val="159C9C"/>
          <w:sz w:val="26"/>
        </w:rPr>
        <w:t>Correction-Rule Log</w:t>
      </w:r>
    </w:p>
    <w:tbl>
      <w:tblPr>
        <w:tblW w:type="auto" w:w="0"/>
        <w:jc w:val="center"/>
        <w:tblLayout w:type="fixed"/>
        <w:tblLook w:firstColumn="1" w:firstRow="1" w:lastColumn="0" w:lastRow="0" w:noHBand="0" w:noVBand="1" w:val="04A0"/>
      </w:tblPr>
      <w:tblGrid>
        <w:gridCol w:w="2577"/>
        <w:gridCol w:w="2577"/>
        <w:gridCol w:w="2577"/>
        <w:gridCol w:w="2577"/>
      </w:tblGrid>
      <w:tr>
        <w:trPr>
          <w:tblHeader w:val="true"/>
          <w:cantSplit/>
        </w:trPr>
        <w:tc>
          <w:tcPr>
            <w:tcW w:type="dxa" w:w="864"/>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Item</w:t>
            </w:r>
          </w:p>
        </w:tc>
        <w:tc>
          <w:tcPr>
            <w:tcW w:type="dxa" w:w="1296"/>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Error Code</w:t>
            </w:r>
          </w:p>
        </w:tc>
        <w:tc>
          <w:tcPr>
            <w:tcW w:type="dxa" w:w="6768"/>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My Transferable Correction Rule</w:t>
            </w:r>
          </w:p>
        </w:tc>
        <w:tc>
          <w:tcPr>
            <w:tcW w:type="dxa" w:w="1584"/>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New Practice Completed?</w:t>
            </w:r>
          </w:p>
        </w:tc>
      </w:tr>
      <w:tr>
        <w:trPr>
          <w:cantSplit/>
        </w:trPr>
        <w:tc>
          <w:tcPr>
            <w:tcW w:type="dxa" w:w="86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29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676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58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864"/>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29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676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584"/>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86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29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676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58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864"/>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29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676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584"/>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86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29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676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58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864"/>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29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676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584"/>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86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29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676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58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bl>
    <w:p>
      <w:pPr>
        <w:spacing w:after="0"/>
      </w:pPr>
    </w:p>
    <w:tbl>
      <w:tblPr>
        <w:tblW w:type="auto" w:w="0"/>
        <w:jc w:val="center"/>
        <w:tblLook w:firstColumn="1" w:firstRow="1" w:lastColumn="0" w:lastRow="0" w:noHBand="0" w:noVBand="1" w:val="04A0"/>
      </w:tblPr>
      <w:tblGrid>
        <w:gridCol w:w="10310"/>
      </w:tblGrid>
      <w:tr>
        <w:trPr>
          <w:cantSplit/>
          <w:tblHeader w:val="true"/>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READINESS STANDARD</w:t>
            </w:r>
          </w:p>
          <w:p>
            <w:pPr>
              <w:spacing w:after="20" w:line="250" w:lineRule="auto"/>
            </w:pPr>
            <w:r>
              <w:rPr>
                <w:rFonts w:ascii="Arial" w:hAnsi="Arial" w:eastAsia="Arial"/>
                <w:color w:val="1F2937"/>
                <w:sz w:val="20"/>
              </w:rPr>
              <w:t>Workbook 2 readiness requires more than knowing legal terms. The candidate must consistently separate role, scope, status, competence, fit, supervision, consultation, referral, boundaries, evidence quality, and counselor self-awareness in the correct sequence.</w:t>
            </w:r>
          </w:p>
        </w:tc>
      </w:tr>
    </w:tbl>
    <w:p>
      <w:pPr>
        <w:spacing w:after="0"/>
      </w:pPr>
    </w:p>
    <w:tbl>
      <w:tblPr>
        <w:tblW w:type="auto" w:w="0"/>
        <w:jc w:val="center"/>
        <w:tblLook w:firstColumn="1" w:firstRow="1" w:lastColumn="0" w:lastRow="0" w:noHBand="0" w:noVBand="1" w:val="04A0"/>
      </w:tblPr>
      <w:tblGrid>
        <w:gridCol w:w="10310"/>
      </w:tblGrid>
      <w:tr>
        <w:trPr>
          <w:cantSplit/>
          <w:tblHeader w:val="true"/>
        </w:trPr>
        <w:tc>
          <w:tcPr>
            <w:tcW w:type="dxa" w:w="10310"/>
            <w:shd w:fill="F2F4F7"/>
            <w:tcBorders>
              <w:top w:val="single" w:sz="10" w:color="4E5B6B"/>
              <w:left w:val="single" w:sz="10" w:color="4E5B6B"/>
              <w:bottom w:val="single" w:sz="10" w:color="4E5B6B"/>
              <w:right w:val="single" w:sz="10" w:color="4E5B6B"/>
            </w:tcBorders>
            <w:tcMar>
              <w:top w:w="110" w:type="dxa"/>
              <w:start w:w="140" w:type="dxa"/>
              <w:bottom w:w="110" w:type="dxa"/>
              <w:end w:w="140" w:type="dxa"/>
            </w:tcMar>
          </w:tcPr>
          <w:p>
            <w:pPr>
              <w:spacing w:after="60"/>
            </w:pPr>
            <w:r>
              <w:rPr>
                <w:rFonts w:ascii="Arial" w:hAnsi="Arial" w:eastAsia="Arial"/>
                <w:b/>
                <w:color w:val="17365D"/>
                <w:sz w:val="21"/>
              </w:rPr>
              <w:t>SOURCE AND VERSION CONTROL</w:t>
            </w:r>
          </w:p>
          <w:p>
            <w:pPr>
              <w:spacing w:after="20" w:line="250" w:lineRule="auto"/>
            </w:pPr>
            <w:r>
              <w:rPr>
                <w:rFonts w:ascii="Arial" w:hAnsi="Arial" w:eastAsia="Arial"/>
                <w:color w:val="1F2937"/>
                <w:sz w:val="19"/>
              </w:rPr>
              <w:t>Scope and associate-practice items were checked against California Business and Professions Code sections 4999.20 and 4999.46.1-4999.46.4 and current California BBS LPCC resources in July 2026. NCMHCE alignment was checked against current NBCC materials and the specifications effective July 1, 2027. Re-audit before publication after material legal or examination changes.</w:t>
            </w:r>
          </w:p>
        </w:tc>
      </w:tr>
    </w:tbl>
    <w:p>
      <w:pPr>
        <w:spacing w:after="0"/>
      </w:pPr>
    </w:p>
    <w:tbl>
      <w:tblPr>
        <w:tblW w:type="auto" w:w="0"/>
        <w:jc w:val="center"/>
        <w:tblLook w:firstColumn="1" w:firstRow="1" w:lastColumn="0" w:lastRow="0" w:noHBand="0" w:noVBand="1" w:val="04A0"/>
      </w:tblPr>
      <w:tblGrid>
        <w:gridCol w:w="10310"/>
      </w:tblGrid>
      <w:tr>
        <w:trPr>
          <w:cantSplit/>
          <w:tblHeader w:val="true"/>
        </w:trPr>
        <w:tc>
          <w:tcPr>
            <w:tcW w:type="dxa" w:w="10310"/>
            <w:shd w:fill="F2F4F7"/>
            <w:tcBorders>
              <w:top w:val="single" w:sz="10" w:color="4E5B6B"/>
              <w:left w:val="single" w:sz="10" w:color="4E5B6B"/>
              <w:bottom w:val="single" w:sz="10" w:color="4E5B6B"/>
              <w:right w:val="single" w:sz="10" w:color="4E5B6B"/>
            </w:tcBorders>
            <w:tcMar>
              <w:top w:w="110" w:type="dxa"/>
              <w:start w:w="140" w:type="dxa"/>
              <w:bottom w:w="110" w:type="dxa"/>
              <w:end w:w="140" w:type="dxa"/>
            </w:tcMar>
          </w:tcPr>
          <w:p>
            <w:pPr>
              <w:spacing w:after="60"/>
            </w:pPr>
            <w:r>
              <w:rPr>
                <w:rFonts w:ascii="Arial" w:hAnsi="Arial" w:eastAsia="Arial"/>
                <w:b/>
                <w:color w:val="17365D"/>
                <w:sz w:val="21"/>
              </w:rPr>
              <w:t>PUBLICATION CONTROL</w:t>
            </w:r>
          </w:p>
          <w:p>
            <w:pPr>
              <w:spacing w:after="20" w:line="250" w:lineRule="auto"/>
            </w:pPr>
            <w:r>
              <w:rPr>
                <w:rFonts w:ascii="Arial" w:hAnsi="Arial" w:eastAsia="Arial"/>
                <w:color w:val="1F2937"/>
                <w:sz w:val="19"/>
              </w:rPr>
              <w:t>This bank is aligned to CTA LPCC Workbook 2 and the LPCC Master Blueprint Crosswalk. Larger comprehensive simulations are developed separately and should not simply combine or repeat workbook-bank items.</w:t>
            </w:r>
          </w:p>
        </w:tc>
      </w:tr>
    </w:tbl>
    <w:p>
      <w:pPr>
        <w:spacing w:after="0"/>
      </w:pPr>
    </w:p>
    <w:sectPr w:rsidR="00FC693F" w:rsidRPr="0006063C" w:rsidSect="00034616">
      <w:headerReference w:type="default" r:id="rId9"/>
      <w:footerReference w:type="default" r:id="rId10"/>
      <w:headerReference w:type="first" r:id="rId12"/>
      <w:headerReference w:type="even" r:id="rId13"/>
      <w:footerReference w:type="first" r:id="rId14"/>
      <w:footerReference w:type="even" r:id="rId15"/>
      <w:pgSz w:w="12240" w:h="15840"/>
      <w:pgMar w:top="922" w:right="965" w:bottom="893" w:left="965" w:header="317"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eastAsia="Arial"/>
        <w:color w:val="4E5B6B"/>
        <w:sz w:val="16"/>
      </w:rPr>
      <w:t xml:space="preserve">Clinical Training Academy - LPCC WB2 Practice Bank Answer &amp; Rationales v1.0  |  Page </w:t>
    </w:r>
    <w:r>
      <w:rPr>
        <w:rFonts w:ascii="Arial" w:hAnsi="Arial" w:eastAsia="Arial"/>
        <w:color w:val="4E5B6B"/>
        <w:sz w:val="17"/>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5256"/>
      <w:gridCol w:w="5256"/>
    </w:tblGrid>
    <w:tr>
      <w:trPr>
        <w:tblHeader w:val="true"/>
      </w:trPr>
      <w:tc>
        <w:tcPr>
          <w:tcW w:type="dxa" w:w="2520"/>
          <w:tcMar>
            <w:top w:w="0" w:type="dxa"/>
            <w:start w:w="0" w:type="dxa"/>
            <w:bottom w:w="0" w:type="dxa"/>
            <w:end w:w="0" w:type="dxa"/>
          </w:tcMar>
        </w:tcPr>
        <w:p>
          <w:pPr>
            <w:spacing w:after="0"/>
          </w:pPr>
          <w:r>
            <w:drawing>
              <wp:inline xmlns:a="http://schemas.openxmlformats.org/drawingml/2006/main" xmlns:pic="http://schemas.openxmlformats.org/drawingml/2006/picture">
                <wp:extent cx="1417320" cy="320220"/>
                <wp:docPr id="1" name="CTA horizontal logo" descr="Clinical Training and Supervision Academy logo"/>
                <wp:cNvGraphicFramePr>
                  <a:graphicFrameLocks noChangeAspect="1"/>
                </wp:cNvGraphicFramePr>
                <a:graphic>
                  <a:graphicData uri="http://schemas.openxmlformats.org/drawingml/2006/picture">
                    <pic:pic>
                      <pic:nvPicPr>
                        <pic:cNvPr id="0" name="CTA_Horizontal_Logo.png"/>
                        <pic:cNvPicPr/>
                      </pic:nvPicPr>
                      <pic:blipFill>
                        <a:blip r:embed="rId1"/>
                        <a:stretch>
                          <a:fillRect/>
                        </a:stretch>
                      </pic:blipFill>
                      <pic:spPr>
                        <a:xfrm>
                          <a:off x="0" y="0"/>
                          <a:ext cx="1417320" cy="320220"/>
                        </a:xfrm>
                        <a:prstGeom prst="rect"/>
                      </pic:spPr>
                    </pic:pic>
                  </a:graphicData>
                </a:graphic>
              </wp:inline>
            </w:drawing>
          </w:r>
        </w:p>
      </w:tc>
      <w:tc>
        <w:tcPr>
          <w:tcW w:type="dxa" w:w="7992"/>
          <w:tcMar>
            <w:top w:w="0" w:type="dxa"/>
            <w:start w:w="0" w:type="dxa"/>
            <w:bottom w:w="0" w:type="dxa"/>
            <w:end w:w="0" w:type="dxa"/>
          </w:tcMar>
        </w:tcPr>
        <w:p>
          <w:pPr>
            <w:spacing w:after="0"/>
            <w:jc w:val="right"/>
          </w:pPr>
          <w:r>
            <w:rPr>
              <w:rFonts w:ascii="Arial" w:hAnsi="Arial" w:eastAsia="Arial"/>
              <w:b/>
              <w:color w:val="17365D"/>
              <w:sz w:val="16"/>
            </w:rPr>
            <w:t>CTA LPCC WB2 - 17-Question Practice Bank - Answer &amp; Rationales</w:t>
          </w:r>
        </w:p>
      </w:tc>
    </w:tr>
  </w:tbl>
  <w:p>
    <w:pPr>
      <w:spacing w:after="0"/>
      <w:pBdr>
        <w:bottom w:val="single" w:sz="5" w:space="1" w:color="159C9C"/>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eastAsia="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59C9C"/>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LPCC Workbook 2 17-Question Practice Bank - Answer &amp; Rationales</dc:title>
  <dc:subject>Professional identity, California scope, competence, and counselor self-awareness</dc:subject>
  <dc:creator>Clinical Training and Supervision Academy</dc:creator>
  <cp:keywords>LPCC, APCC, NCMHCE, scope, competence, supervision, boundaries, counselor self-awareness, practice bank</cp:keywords>
  <dc:description>generated by python-docx</dc:description>
  <cp:lastModifiedBy/>
  <cp:revision>1</cp:revision>
  <dcterms:created xsi:type="dcterms:W3CDTF">2013-12-23T23:15:00Z</dcterms:created>
  <dcterms:modified xsi:type="dcterms:W3CDTF">2013-12-23T23:15:00Z</dcterms:modified>
  <cp:category/>
</cp:coreProperties>
</file>