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jc w:val="center"/>
      </w:pPr>
      <w:r>
        <w:drawing>
          <wp:inline xmlns:a="http://schemas.openxmlformats.org/drawingml/2006/main" xmlns:pic="http://schemas.openxmlformats.org/drawingml/2006/picture">
            <wp:extent cx="2148840" cy="1553281"/>
            <wp:docPr id="1" name="CTA stacked logo" descr="Clinical Training and Supervision Academy logo"/>
            <wp:cNvGraphicFramePr>
              <a:graphicFrameLocks noChangeAspect="1"/>
            </wp:cNvGraphicFramePr>
            <a:graphic>
              <a:graphicData uri="http://schemas.openxmlformats.org/drawingml/2006/picture">
                <pic:pic>
                  <pic:nvPicPr>
                    <pic:cNvPr id="0" name="CTA_Stacked_Logo(3).png"/>
                    <pic:cNvPicPr/>
                  </pic:nvPicPr>
                  <pic:blipFill>
                    <a:blip r:embed="rId11"/>
                    <a:stretch>
                      <a:fillRect/>
                    </a:stretch>
                  </pic:blipFill>
                  <pic:spPr>
                    <a:xfrm>
                      <a:off x="0" y="0"/>
                      <a:ext cx="2148840" cy="1553281"/>
                    </a:xfrm>
                    <a:prstGeom prst="rect"/>
                  </pic:spPr>
                </pic:pic>
              </a:graphicData>
            </a:graphic>
          </wp:inline>
        </w:drawing>
      </w:r>
    </w:p>
    <w:p>
      <w:pPr>
        <w:spacing w:before="40" w:after="100" w:line="254" w:lineRule="auto"/>
        <w:jc w:val="center"/>
      </w:pPr>
      <w:r>
        <w:rPr>
          <w:rFonts w:ascii="Arial" w:hAnsi="Arial" w:eastAsia="Arial"/>
          <w:b/>
          <w:i w:val="0"/>
          <w:color w:val="1F7A8C"/>
          <w:sz w:val="25"/>
        </w:rPr>
        <w:t>LPCC NCMHCE EXAM PREPARATION PROGRAM</w:t>
      </w:r>
    </w:p>
    <w:p>
      <w:pPr>
        <w:spacing w:before="0" w:after="160" w:line="254" w:lineRule="auto"/>
        <w:jc w:val="center"/>
      </w:pPr>
      <w:r>
        <w:rPr>
          <w:rFonts w:ascii="Arial" w:hAnsi="Arial" w:eastAsia="Arial"/>
          <w:b/>
          <w:i w:val="0"/>
          <w:color w:val="C6922F"/>
          <w:sz w:val="31"/>
        </w:rPr>
        <w:t>Answer &amp; Rationales</w:t>
      </w:r>
    </w:p>
    <w:p>
      <w:pPr>
        <w:spacing w:before="0" w:after="60" w:line="240" w:lineRule="auto"/>
        <w:jc w:val="center"/>
        <w:pBdr>
          <w:bottom w:val="single" w:sz="12" w:space="1" w:color="159C9C"/>
        </w:pBdr>
      </w:pPr>
      <w:r>
        <w:rPr>
          <w:rFonts w:ascii="Arial" w:hAnsi="Arial" w:eastAsia="Arial"/>
          <w:b/>
          <w:i w:val="0"/>
          <w:color w:val="17365D"/>
          <w:sz w:val="44"/>
        </w:rPr>
        <w:t>Workbook 4: 17-Question Practice Bank</w:t>
      </w:r>
    </w:p>
    <w:p>
      <w:pPr>
        <w:spacing w:before="100" w:after="120" w:line="254" w:lineRule="auto"/>
        <w:jc w:val="center"/>
      </w:pPr>
      <w:r>
        <w:rPr>
          <w:rFonts w:ascii="Arial" w:hAnsi="Arial" w:eastAsia="Arial"/>
          <w:b/>
          <w:i w:val="0"/>
          <w:color w:val="17365D"/>
          <w:sz w:val="25"/>
        </w:rPr>
        <w:t>Crisis, Trauma, Abuse, Violence, and Level-of-Care Decisions</w:t>
      </w:r>
    </w:p>
    <w:p>
      <w:pPr>
        <w:spacing w:before="0" w:after="260" w:line="254" w:lineRule="auto"/>
        <w:jc w:val="center"/>
      </w:pPr>
      <w:r>
        <w:rPr>
          <w:rFonts w:ascii="Arial" w:hAnsi="Arial" w:eastAsia="Arial"/>
          <w:b w:val="0"/>
          <w:i/>
          <w:color w:val="4E5B6B"/>
          <w:sz w:val="23"/>
        </w:rPr>
        <w:t>Controlled review form - open only after completing the candidate form</w:t>
      </w:r>
    </w:p>
    <w:p>
      <w:pPr>
        <w:spacing w:before="0" w:after="240" w:line="254" w:lineRule="auto"/>
        <w:jc w:val="center"/>
      </w:pPr>
      <w:r>
        <w:rPr>
          <w:rFonts w:ascii="Arial" w:hAnsi="Arial" w:eastAsia="Arial"/>
          <w:b w:val="0"/>
          <w:i w:val="0"/>
          <w:color w:val="4E5B6B"/>
          <w:sz w:val="20"/>
        </w:rPr>
        <w:t>Version 1.0 - July 2026</w:t>
      </w:r>
    </w:p>
    <w:tbl>
      <w:tblPr>
        <w:tblW w:type="auto" w:w="0"/>
        <w:jc w:val="center"/>
        <w:tblLook w:firstColumn="1" w:firstRow="1" w:lastColumn="0" w:lastRow="0" w:noHBand="0" w:noVBand="1" w:val="04A0"/>
      </w:tblPr>
      <w:tblGrid>
        <w:gridCol w:w="10310"/>
      </w:tblGrid>
      <w:tr>
        <w:trPr>
          <w:cantSplit/>
        </w:trPr>
        <w:tc>
          <w:tcPr>
            <w:tcW w:type="dxa" w:w="10310"/>
            <w:shd w:fill="FFF3D6"/>
            <w:tcBorders>
              <w:top w:val="single" w:sz="10" w:color="C6922F"/>
              <w:left w:val="single" w:sz="10" w:color="C6922F"/>
              <w:bottom w:val="single" w:sz="10" w:color="C6922F"/>
              <w:right w:val="single" w:sz="10" w:color="C6922F"/>
            </w:tcBorders>
            <w:tcMar>
              <w:top w:w="110" w:type="dxa"/>
              <w:start w:w="140" w:type="dxa"/>
              <w:bottom w:w="110" w:type="dxa"/>
              <w:end w:w="140" w:type="dxa"/>
            </w:tcMar>
          </w:tcPr>
          <w:p>
            <w:pPr>
              <w:spacing w:after="60"/>
            </w:pPr>
            <w:r>
              <w:rPr>
                <w:rFonts w:ascii="Arial" w:hAnsi="Arial" w:eastAsia="Arial"/>
                <w:b/>
                <w:color w:val="17365D"/>
                <w:sz w:val="21"/>
              </w:rPr>
              <w:t>ORIGINAL CTA PRACTICE MATERIAL</w:t>
            </w:r>
          </w:p>
          <w:p>
            <w:pPr>
              <w:spacing w:after="20" w:line="250" w:lineRule="auto"/>
            </w:pPr>
            <w:r>
              <w:rPr>
                <w:rFonts w:ascii="Arial" w:hAnsi="Arial" w:eastAsia="Arial"/>
                <w:color w:val="1F2937"/>
                <w:sz w:val="20"/>
              </w:rPr>
              <w:t>Every question and case detail in this bank is an original CTA educational item. No item is an actual, recalled, reconstructed, or purported licensing-examination question.</w:t>
            </w:r>
          </w:p>
        </w:tc>
      </w:tr>
    </w:tbl>
    <w:p>
      <w:pPr>
        <w:spacing w:after="0"/>
      </w:pPr>
    </w:p>
    <w:p>
      <w:pPr>
        <w:spacing w:before="80" w:after="0" w:line="254" w:lineRule="auto"/>
        <w:jc w:val="center"/>
      </w:pPr>
      <w:r>
        <w:rPr>
          <w:rFonts w:ascii="Arial" w:hAnsi="Arial" w:eastAsia="Arial"/>
          <w:b/>
          <w:i w:val="0"/>
          <w:color w:val="17365D"/>
          <w:sz w:val="22"/>
        </w:rPr>
        <w:t>Clinical Training Academy</w:t>
      </w:r>
    </w:p>
    <w:p>
      <w:r>
        <w:br w:type="page"/>
      </w:r>
    </w:p>
    <w:p>
      <w:pPr>
        <w:pStyle w:val="Heading1"/>
      </w:pPr>
      <w:r>
        <w:rPr>
          <w:rFonts w:ascii="Arial" w:hAnsi="Arial" w:eastAsia="Arial"/>
          <w:b/>
          <w:color w:val="17365D"/>
          <w:sz w:val="34"/>
        </w:rPr>
        <w:t>How to Use the Rationales</w:t>
      </w:r>
    </w:p>
    <w:p>
      <w:pPr>
        <w:pStyle w:val="ListBullet"/>
        <w:spacing w:after="50" w:line="250" w:lineRule="auto"/>
        <w:keepLines/>
      </w:pPr>
      <w:r>
        <w:rPr>
          <w:rFonts w:ascii="Arial" w:hAnsi="Arial" w:eastAsia="Arial"/>
          <w:color w:val="1F2937"/>
          <w:sz w:val="20"/>
        </w:rPr>
        <w:t>Score the bank, but do not stop at the total. Mark every incorrect response and every correct response with confidence 1.</w:t>
      </w:r>
    </w:p>
    <w:p>
      <w:pPr>
        <w:pStyle w:val="ListBullet"/>
        <w:spacing w:after="50" w:line="250" w:lineRule="auto"/>
        <w:keepLines/>
      </w:pPr>
      <w:r>
        <w:rPr>
          <w:rFonts w:ascii="Arial" w:hAnsi="Arial" w:eastAsia="Arial"/>
          <w:color w:val="1F2937"/>
          <w:sz w:val="20"/>
        </w:rPr>
        <w:t>For each item, identify which Workbook 4 tool controlled the answer: STABLE, IDEA-M, DUTY, ACUTE, or SAFE PATH.</w:t>
      </w:r>
    </w:p>
    <w:p>
      <w:pPr>
        <w:pStyle w:val="ListBullet"/>
        <w:spacing w:after="50" w:line="250" w:lineRule="auto"/>
        <w:keepLines/>
      </w:pPr>
      <w:r>
        <w:rPr>
          <w:rFonts w:ascii="Arial" w:hAnsi="Arial" w:eastAsia="Arial"/>
          <w:color w:val="1F2937"/>
          <w:sz w:val="20"/>
        </w:rPr>
        <w:t>Explain why each distractor is weaker, especially when it delays emergency action, treats a screen as a disposition, demands proof before reporting, or overstates statutory authority.</w:t>
      </w:r>
    </w:p>
    <w:p>
      <w:pPr>
        <w:pStyle w:val="ListBullet"/>
        <w:spacing w:after="50" w:line="250" w:lineRule="auto"/>
        <w:keepLines/>
      </w:pPr>
      <w:r>
        <w:rPr>
          <w:rFonts w:ascii="Arial" w:hAnsi="Arial" w:eastAsia="Arial"/>
          <w:color w:val="1F2937"/>
          <w:sz w:val="20"/>
        </w:rPr>
        <w:t>Apply the listed CTA error code or select another Workbook 4 code that better describes your reasoning.</w:t>
      </w:r>
    </w:p>
    <w:p>
      <w:pPr>
        <w:pStyle w:val="ListBullet"/>
        <w:spacing w:after="50" w:line="250" w:lineRule="auto"/>
        <w:keepLines/>
      </w:pPr>
      <w:r>
        <w:rPr>
          <w:rFonts w:ascii="Arial" w:hAnsi="Arial" w:eastAsia="Arial"/>
          <w:color w:val="1F2937"/>
          <w:sz w:val="20"/>
        </w:rPr>
        <w:t>Write one transferable correction rule and complete a new application item after targeted review.</w:t>
      </w:r>
    </w:p>
    <w:p>
      <w:pPr>
        <w:pStyle w:val="ListBullet"/>
        <w:spacing w:after="50" w:line="250" w:lineRule="auto"/>
        <w:keepLines/>
      </w:pPr>
      <w:r>
        <w:rPr>
          <w:rFonts w:ascii="Arial" w:hAnsi="Arial" w:eastAsia="Arial"/>
          <w:color w:val="1F2937"/>
          <w:sz w:val="20"/>
        </w:rPr>
        <w:t>Do not treat this bank score as an official NCMHCE passing score or guarantee.</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DIFFICULTY CONTROL</w:t>
            </w:r>
          </w:p>
          <w:p>
            <w:pPr>
              <w:spacing w:after="20" w:line="250" w:lineRule="auto"/>
            </w:pPr>
            <w:r>
              <w:rPr>
                <w:rFonts w:ascii="Arial" w:hAnsi="Arial" w:eastAsia="Arial"/>
                <w:color w:val="1F2937"/>
                <w:sz w:val="20"/>
              </w:rPr>
              <w:t>5 Easy, 7 Moderate, and 5 Difficult items. The bank contains five targeted questions and one three-part, 12-question case.</w:t>
            </w:r>
          </w:p>
        </w:tc>
      </w:tr>
    </w:tbl>
    <w:p>
      <w:pPr>
        <w:spacing w:after="0"/>
      </w:pPr>
    </w:p>
    <w:p>
      <w:pPr>
        <w:pStyle w:val="Heading2"/>
        <w:spacing w:before="140" w:after="80"/>
        <w:keepNext/>
      </w:pPr>
      <w:r>
        <w:rPr>
          <w:rFonts w:ascii="Arial" w:hAnsi="Arial" w:eastAsia="Arial"/>
          <w:b/>
          <w:color w:val="159C9C"/>
          <w:sz w:val="26"/>
        </w:rPr>
        <w:t>Answer Key Overview</w:t>
      </w:r>
    </w:p>
    <w:tbl>
      <w:tblPr>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cantSplit/>
        </w:trPr>
        <w:tc>
          <w:tcPr>
            <w:tcW w:type="dxa" w:w="648"/>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w:t>
            </w:r>
          </w:p>
        </w:tc>
        <w:tc>
          <w:tcPr>
            <w:tcW w:type="dxa" w:w="72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Key</w:t>
            </w:r>
          </w:p>
        </w:tc>
        <w:tc>
          <w:tcPr>
            <w:tcW w:type="dxa" w:w="151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Difficulty</w:t>
            </w:r>
          </w:p>
        </w:tc>
        <w:tc>
          <w:tcPr>
            <w:tcW w:type="dxa" w:w="511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Primary Concept</w:t>
            </w:r>
          </w:p>
        </w:tc>
        <w:tc>
          <w:tcPr>
            <w:tcW w:type="dxa" w:w="252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Primary Error Code</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B</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Easy</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Active overdose and immediate response</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S - Safety / sequence</w:t>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2</w:t>
            </w:r>
          </w:p>
        </w:tc>
        <w:tc>
          <w:tcPr>
            <w:tcW w:type="dxa" w:w="7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w:t>
            </w:r>
          </w:p>
        </w:tc>
        <w:tc>
          <w:tcPr>
            <w:tcW w:type="dxa" w:w="15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Moderate</w:t>
            </w:r>
          </w:p>
        </w:tc>
        <w:tc>
          <w:tcPr>
            <w:tcW w:type="dxa" w:w="51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Suicide screening versus assessment</w:t>
            </w:r>
          </w:p>
        </w:tc>
        <w:tc>
          <w:tcPr>
            <w:tcW w:type="dxa" w:w="25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R - Risk formulation</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3</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A</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Easy</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California duty to protect</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L - Legal duty</w:t>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4</w:t>
            </w:r>
          </w:p>
        </w:tc>
        <w:tc>
          <w:tcPr>
            <w:tcW w:type="dxa" w:w="7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C</w:t>
            </w:r>
          </w:p>
        </w:tc>
        <w:tc>
          <w:tcPr>
            <w:tcW w:type="dxa" w:w="15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Moderate</w:t>
            </w:r>
          </w:p>
        </w:tc>
        <w:tc>
          <w:tcPr>
            <w:tcW w:type="dxa" w:w="51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Child abuse reporting threshold and timing</w:t>
            </w:r>
          </w:p>
        </w:tc>
        <w:tc>
          <w:tcPr>
            <w:tcW w:type="dxa" w:w="25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L - Legal duty</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5</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B</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Difficult</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Elder financial abuse, neglect, and safety</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L - Legal duty</w:t>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6</w:t>
            </w:r>
          </w:p>
        </w:tc>
        <w:tc>
          <w:tcPr>
            <w:tcW w:type="dxa" w:w="7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C</w:t>
            </w:r>
          </w:p>
        </w:tc>
        <w:tc>
          <w:tcPr>
            <w:tcW w:type="dxa" w:w="15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Easy</w:t>
            </w:r>
          </w:p>
        </w:tc>
        <w:tc>
          <w:tcPr>
            <w:tcW w:type="dxa" w:w="51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Focused suicide-risk assessment</w:t>
            </w:r>
          </w:p>
        </w:tc>
        <w:tc>
          <w:tcPr>
            <w:tcW w:type="dxa" w:w="25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R - Risk formulation</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7</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A</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Moderate</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Nonsuicidal self-injury versus suicidal behavior</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E - Evidence / certainty</w:t>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8</w:t>
            </w:r>
          </w:p>
        </w:tc>
        <w:tc>
          <w:tcPr>
            <w:tcW w:type="dxa" w:w="7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w:t>
            </w:r>
          </w:p>
        </w:tc>
        <w:tc>
          <w:tcPr>
            <w:tcW w:type="dxa" w:w="15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Moderate</w:t>
            </w:r>
          </w:p>
        </w:tc>
        <w:tc>
          <w:tcPr>
            <w:tcW w:type="dxa" w:w="51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Lethal-means safety</w:t>
            </w:r>
          </w:p>
        </w:tc>
        <w:tc>
          <w:tcPr>
            <w:tcW w:type="dxa" w:w="25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M - Means safety</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9</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C</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Difficult</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Crisis disposition and level of care</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P - Proportionality / level of care</w:t>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10</w:t>
            </w:r>
          </w:p>
        </w:tc>
        <w:tc>
          <w:tcPr>
            <w:tcW w:type="dxa" w:w="7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C</w:t>
            </w:r>
          </w:p>
        </w:tc>
        <w:tc>
          <w:tcPr>
            <w:tcW w:type="dxa" w:w="15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Easy</w:t>
            </w:r>
          </w:p>
        </w:tc>
        <w:tc>
          <w:tcPr>
            <w:tcW w:type="dxa" w:w="51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Child abuse mandated report</w:t>
            </w:r>
          </w:p>
        </w:tc>
        <w:tc>
          <w:tcPr>
            <w:tcW w:type="dxa" w:w="25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L - Legal duty</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11</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B</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Moderate</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Duty-to-protect actions</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L - Legal duty</w:t>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12</w:t>
            </w:r>
          </w:p>
        </w:tc>
        <w:tc>
          <w:tcPr>
            <w:tcW w:type="dxa" w:w="7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A</w:t>
            </w:r>
          </w:p>
        </w:tc>
        <w:tc>
          <w:tcPr>
            <w:tcW w:type="dxa" w:w="15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Difficult</w:t>
            </w:r>
          </w:p>
        </w:tc>
        <w:tc>
          <w:tcPr>
            <w:tcW w:type="dxa" w:w="51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Managing simultaneous crisis and reporting duties</w:t>
            </w:r>
          </w:p>
        </w:tc>
        <w:tc>
          <w:tcPr>
            <w:tcW w:type="dxa" w:w="25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S - Safety / sequence</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13</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Moderate</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Adult IPV and reporting distinctions</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L - Legal duty</w:t>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14</w:t>
            </w:r>
          </w:p>
        </w:tc>
        <w:tc>
          <w:tcPr>
            <w:tcW w:type="dxa" w:w="7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B</w:t>
            </w:r>
          </w:p>
        </w:tc>
        <w:tc>
          <w:tcPr>
            <w:tcW w:type="dxa" w:w="15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Easy</w:t>
            </w:r>
          </w:p>
        </w:tc>
        <w:tc>
          <w:tcPr>
            <w:tcW w:type="dxa" w:w="51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Medical and neurological emergency</w:t>
            </w:r>
          </w:p>
        </w:tc>
        <w:tc>
          <w:tcPr>
            <w:tcW w:type="dxa" w:w="25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D - Differential / medical urgency</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15</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A</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Moderate</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California 5150 authority and scope</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A - Authority / scope</w:t>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16</w:t>
            </w:r>
          </w:p>
        </w:tc>
        <w:tc>
          <w:tcPr>
            <w:tcW w:type="dxa" w:w="7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w:t>
            </w:r>
          </w:p>
        </w:tc>
        <w:tc>
          <w:tcPr>
            <w:tcW w:type="dxa" w:w="15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Difficult</w:t>
            </w:r>
          </w:p>
        </w:tc>
        <w:tc>
          <w:tcPr>
            <w:tcW w:type="dxa" w:w="51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Medical versus psychiatric level of care</w:t>
            </w:r>
          </w:p>
        </w:tc>
        <w:tc>
          <w:tcPr>
            <w:tcW w:type="dxa" w:w="25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P - Proportionality / level of care</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17</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C</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Difficult</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Handoff, documentation, and continuity</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C - Continuity / documentation</w:t>
            </w:r>
          </w:p>
        </w:tc>
      </w:tr>
    </w:tbl>
    <w:p>
      <w:pPr>
        <w:spacing w:after="0"/>
      </w:pPr>
    </w:p>
    <w:p>
      <w:pPr>
        <w:pStyle w:val="Heading2"/>
        <w:spacing w:before="140" w:after="80"/>
        <w:keepNext/>
      </w:pPr>
      <w:r>
        <w:rPr>
          <w:rFonts w:ascii="Arial" w:hAnsi="Arial" w:eastAsia="Arial"/>
          <w:b/>
          <w:color w:val="159C9C"/>
          <w:sz w:val="26"/>
        </w:rPr>
        <w:t>Case Evidence Ledger</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80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Section</w:t>
            </w:r>
          </w:p>
        </w:tc>
        <w:tc>
          <w:tcPr>
            <w:tcW w:type="dxa" w:w="5256"/>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Decision-Relevant Evidence</w:t>
            </w:r>
          </w:p>
        </w:tc>
        <w:tc>
          <w:tcPr>
            <w:tcW w:type="dxa" w:w="3456"/>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What Is Not Yet Established</w:t>
            </w:r>
          </w:p>
        </w:tc>
      </w:tr>
      <w:tr>
        <w:trPr>
          <w:cantSplit/>
        </w:trPr>
        <w:tc>
          <w:tcPr>
            <w:tcW w:type="dxa" w:w="180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Part 1 - Immediate safety</w:t>
            </w:r>
          </w:p>
        </w:tc>
        <w:tc>
          <w:tcPr>
            <w:tcW w:type="dxa" w:w="525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Leah reports hopelessness, alcohol use, recent self-injury without stated suicidal intent, firearm access, inability to promise she will avoid the gun, and an available but uninformed friend.</w:t>
            </w:r>
          </w:p>
        </w:tc>
        <w:tc>
          <w:tcPr>
            <w:tcW w:type="dxa" w:w="345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Complete suicide-risk formulation; ability to complete a means-safety plan; exact disposition; child-abuse disclosure; threat toward Daniel; medical deterioration.</w:t>
            </w:r>
          </w:p>
        </w:tc>
      </w:tr>
      <w:tr>
        <w:trPr>
          <w:cantSplit/>
        </w:trPr>
        <w:tc>
          <w:tcPr>
            <w:tcW w:type="dxa" w:w="180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Part 2 - Parallel duties</w:t>
            </w:r>
          </w:p>
        </w:tc>
        <w:tc>
          <w:tcPr>
            <w:tcW w:type="dxa" w:w="525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Leah reports suspected child abuse involving Mateo and communicates a serious, specific threat to shoot identifiable former partner Daniel; friend is present.</w:t>
            </w:r>
          </w:p>
        </w:tc>
        <w:tc>
          <w:tcPr>
            <w:tcW w:type="dxa" w:w="345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Whether emergency responders have arrived; medical or neurological condition; final disposition and handoff outcome.</w:t>
            </w:r>
          </w:p>
        </w:tc>
      </w:tr>
      <w:tr>
        <w:trPr>
          <w:cantSplit/>
        </w:trPr>
        <w:tc>
          <w:tcPr>
            <w:tcW w:type="dxa" w:w="180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Part 3 - Medical deterioration</w:t>
            </w:r>
          </w:p>
        </w:tc>
        <w:tc>
          <w:tcPr>
            <w:tcW w:type="dxa" w:w="525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Leah develops severe headache, slurred speech, confusion, unsteady gait, declining alertness, recent head injury, alcohol and sedative exposure; counselor is not county-designated for 5150 authority.</w:t>
            </w:r>
          </w:p>
        </w:tc>
        <w:tc>
          <w:tcPr>
            <w:tcW w:type="dxa" w:w="345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Medical diagnosis; hospital findings; long-term risk level; post-stabilization treatment plan.</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EVIDENCE-CONTROL REMINDER</w:t>
            </w:r>
          </w:p>
          <w:p>
            <w:pPr>
              <w:spacing w:after="20" w:line="250" w:lineRule="auto"/>
            </w:pPr>
            <w:r>
              <w:rPr>
                <w:rFonts w:ascii="Arial" w:hAnsi="Arial" w:eastAsia="Arial"/>
                <w:color w:val="1F2937"/>
                <w:sz w:val="20"/>
              </w:rPr>
              <w:t>Later facts can guide later questions, but they cannot retroactively become evidence for an earlier case section.</w:t>
            </w:r>
          </w:p>
        </w:tc>
      </w:tr>
    </w:tbl>
    <w:p>
      <w:pPr>
        <w:spacing w:after="0"/>
      </w:pPr>
    </w:p>
    <w:p>
      <w:r>
        <w:br w:type="page"/>
      </w:r>
    </w:p>
    <w:p>
      <w:pPr>
        <w:pStyle w:val="Heading2"/>
        <w:spacing w:before="0" w:after="60"/>
      </w:pPr>
      <w:r>
        <w:rPr>
          <w:rFonts w:ascii="Arial" w:hAnsi="Arial" w:eastAsia="Arial"/>
          <w:b/>
          <w:color w:val="159C9C"/>
          <w:sz w:val="26"/>
        </w:rPr>
        <w:t>Question 1 (LPCC-WB04-PB-Q001)</w:t>
      </w:r>
    </w:p>
    <w:p>
      <w:pPr>
        <w:spacing w:before="100" w:after="40"/>
        <w:keepNext/>
      </w:pPr>
      <w:r>
        <w:rPr>
          <w:rFonts w:ascii="Arial" w:hAnsi="Arial" w:eastAsia="Arial"/>
          <w:b/>
          <w:color w:val="1F7A8C"/>
          <w:sz w:val="17"/>
        </w:rPr>
        <w:t>LPCC-WB04-PB-Q001 | Application | Easy | Primary concept: Active overdose and immediate response</w:t>
      </w:r>
    </w:p>
    <w:p>
      <w:pPr>
        <w:spacing w:after="60" w:line="250" w:lineRule="auto"/>
      </w:pPr>
      <w:r>
        <w:rPr>
          <w:rFonts w:ascii="Arial" w:hAnsi="Arial" w:eastAsia="Arial"/>
          <w:b/>
          <w:color w:val="1F2937"/>
          <w:sz w:val="20"/>
        </w:rPr>
        <w:t>During a video session, a client states that they swallowed a bottle of prescription medication two minutes ago and is becoming drowsy. What should the counselor do FIRST?</w:t>
      </w:r>
    </w:p>
    <w:p>
      <w:pPr>
        <w:spacing w:after="40"/>
        <w:ind w:left="230" w:hanging="230"/>
      </w:pPr>
      <w:r>
        <w:rPr>
          <w:rFonts w:ascii="Arial" w:hAnsi="Arial" w:eastAsia="Arial"/>
          <w:sz w:val="20"/>
        </w:rPr>
        <w:t>A. Complete a full suicide-risk inventory before taking any other action.</w:t>
      </w:r>
    </w:p>
    <w:p>
      <w:pPr>
        <w:spacing w:after="40"/>
        <w:ind w:left="230" w:hanging="230"/>
      </w:pPr>
      <w:r>
        <w:rPr>
          <w:rFonts w:ascii="Arial" w:hAnsi="Arial" w:eastAsia="Arial"/>
          <w:sz w:val="20"/>
        </w:rPr>
        <w:t>B. Activate emergency medical response, keep the client connected if possible, verify location, and provide responders with the known overdose information.</w:t>
      </w:r>
    </w:p>
    <w:p>
      <w:pPr>
        <w:spacing w:after="40"/>
        <w:ind w:left="230" w:hanging="230"/>
      </w:pPr>
      <w:r>
        <w:rPr>
          <w:rFonts w:ascii="Arial" w:hAnsi="Arial" w:eastAsia="Arial"/>
          <w:sz w:val="20"/>
        </w:rPr>
        <w:t>C. Ask the client to promise not to take any additional medication and schedule a same-day follow-up.</w:t>
      </w:r>
    </w:p>
    <w:p>
      <w:pPr>
        <w:spacing w:after="40"/>
        <w:ind w:left="230" w:hanging="230"/>
      </w:pPr>
      <w:r>
        <w:rPr>
          <w:rFonts w:ascii="Arial" w:hAnsi="Arial" w:eastAsia="Arial"/>
          <w:sz w:val="20"/>
        </w:rPr>
        <w:t>D. Begin a collaborative outpatient safety plan and contact the prescriber tomorrow.</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B. Activate emergency medical response, keep the client connected if possible, verify location, and provide responders with the known overdose information.</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An active overdose is a medical emergency. A full interview must not delay emergency response.</w:t>
      </w:r>
    </w:p>
    <w:p>
      <w:pPr>
        <w:spacing w:after="60" w:line="250" w:lineRule="auto"/>
        <w:ind w:left="173" w:hanging="173"/>
      </w:pPr>
      <w:r>
        <w:rPr>
          <w:rFonts w:ascii="Arial" w:hAnsi="Arial" w:eastAsia="Arial"/>
          <w:b/>
          <w:color w:val="1F7A8C"/>
          <w:sz w:val="20"/>
        </w:rPr>
        <w:t xml:space="preserve">B. </w:t>
      </w:r>
      <w:r>
        <w:rPr>
          <w:rFonts w:ascii="Arial" w:hAnsi="Arial" w:eastAsia="Arial"/>
          <w:b/>
          <w:color w:val="1F7A8C"/>
          <w:sz w:val="20"/>
        </w:rPr>
        <w:t xml:space="preserve">Correct. </w:t>
      </w:r>
      <w:r>
        <w:rPr>
          <w:rFonts w:ascii="Arial" w:hAnsi="Arial" w:eastAsia="Arial"/>
          <w:color w:val="1F2937"/>
          <w:sz w:val="20"/>
        </w:rPr>
        <w:t>This addresses the immediately life-threatening condition while preserving connection and giving responders actionable information.</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A promise and follow-up appointment are not sufficient for a recent overdose with emerging sedation.</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Outpatient planning is premature until emergency medical assessment and stabilization occur.</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When a life-threatening act is already underway, emergency action precedes a complete counseling assessment.</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S - Safety / sequence. Respond to the active emergency first; gather only the information needed to support the immediate handoff.</w:t>
            </w:r>
          </w:p>
        </w:tc>
      </w:tr>
    </w:tbl>
    <w:p>
      <w:pPr>
        <w:spacing w:after="0"/>
      </w:pPr>
    </w:p>
    <w:p>
      <w:r>
        <w:br w:type="page"/>
      </w:r>
    </w:p>
    <w:p>
      <w:pPr>
        <w:pStyle w:val="Heading2"/>
        <w:spacing w:before="0" w:after="60"/>
      </w:pPr>
      <w:r>
        <w:rPr>
          <w:rFonts w:ascii="Arial" w:hAnsi="Arial" w:eastAsia="Arial"/>
          <w:b/>
          <w:color w:val="159C9C"/>
          <w:sz w:val="26"/>
        </w:rPr>
        <w:t>Question 2 (LPCC-WB04-PB-Q002)</w:t>
      </w:r>
    </w:p>
    <w:p>
      <w:pPr>
        <w:spacing w:before="100" w:after="40"/>
        <w:keepNext/>
      </w:pPr>
      <w:r>
        <w:rPr>
          <w:rFonts w:ascii="Arial" w:hAnsi="Arial" w:eastAsia="Arial"/>
          <w:b/>
          <w:color w:val="1F7A8C"/>
          <w:sz w:val="17"/>
        </w:rPr>
        <w:t>LPCC-WB04-PB-Q002 | Integrated Clinical Reasoning | Moderate | Primary concept: Suicide screening versus assessment</w:t>
      </w:r>
    </w:p>
    <w:p>
      <w:pPr>
        <w:spacing w:after="60" w:line="250" w:lineRule="auto"/>
      </w:pPr>
      <w:r>
        <w:rPr>
          <w:rFonts w:ascii="Arial" w:hAnsi="Arial" w:eastAsia="Arial"/>
          <w:b/>
          <w:color w:val="1F2937"/>
          <w:sz w:val="20"/>
        </w:rPr>
        <w:t>A client endorses suicidal thoughts on a brief screening measure. What is the counselor’s BEST next step?</w:t>
      </w:r>
    </w:p>
    <w:p>
      <w:pPr>
        <w:spacing w:after="40"/>
        <w:ind w:left="230" w:hanging="230"/>
      </w:pPr>
      <w:r>
        <w:rPr>
          <w:rFonts w:ascii="Arial" w:hAnsi="Arial" w:eastAsia="Arial"/>
          <w:sz w:val="20"/>
        </w:rPr>
        <w:t>A. Assign a permanent low-, moderate-, or high-risk label from the screening score.</w:t>
      </w:r>
    </w:p>
    <w:p>
      <w:pPr>
        <w:spacing w:after="40"/>
        <w:ind w:left="230" w:hanging="230"/>
      </w:pPr>
      <w:r>
        <w:rPr>
          <w:rFonts w:ascii="Arial" w:hAnsi="Arial" w:eastAsia="Arial"/>
          <w:sz w:val="20"/>
        </w:rPr>
        <w:t>B. Begin treatment for depression because a positive suicide screen confirms the diagnosis.</w:t>
      </w:r>
    </w:p>
    <w:p>
      <w:pPr>
        <w:spacing w:after="40"/>
        <w:ind w:left="230" w:hanging="230"/>
      </w:pPr>
      <w:r>
        <w:rPr>
          <w:rFonts w:ascii="Arial" w:hAnsi="Arial" w:eastAsia="Arial"/>
          <w:sz w:val="20"/>
        </w:rPr>
        <w:t>C. Ask the client to sign a no-harm contract and continue the planned session.</w:t>
      </w:r>
    </w:p>
    <w:p>
      <w:pPr>
        <w:spacing w:after="40"/>
        <w:ind w:left="230" w:hanging="230"/>
      </w:pPr>
      <w:r>
        <w:rPr>
          <w:rFonts w:ascii="Arial" w:hAnsi="Arial" w:eastAsia="Arial"/>
          <w:sz w:val="20"/>
        </w:rPr>
        <w:t>D. Conduct a focused suicide-risk assessment that clarifies ideation, intent, plan, preparation, behavior, access to means, modifiers, protective factors, and immediate safety needs.</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D. Conduct a focused suicide-risk assessment that clarifies ideation, intent, plan, preparation, behavior, access to means, modifiers, protective factors, and immediate safety needs.</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A screening score does not create a complete or permanent risk formulation.</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A positive suicide screen does not independently establish a diagnosis or treatment plan.</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A no-harm contract does not replace assessment, safety planning, or disposition decisions.</w:t>
      </w:r>
    </w:p>
    <w:p>
      <w:pPr>
        <w:spacing w:after="60" w:line="250" w:lineRule="auto"/>
        <w:ind w:left="173" w:hanging="173"/>
      </w:pPr>
      <w:r>
        <w:rPr>
          <w:rFonts w:ascii="Arial" w:hAnsi="Arial" w:eastAsia="Arial"/>
          <w:b/>
          <w:color w:val="1F7A8C"/>
          <w:sz w:val="20"/>
        </w:rPr>
        <w:t xml:space="preserve">D. </w:t>
      </w:r>
      <w:r>
        <w:rPr>
          <w:rFonts w:ascii="Arial" w:hAnsi="Arial" w:eastAsia="Arial"/>
          <w:b/>
          <w:color w:val="1F7A8C"/>
          <w:sz w:val="20"/>
        </w:rPr>
        <w:t xml:space="preserve">Correct. </w:t>
      </w:r>
      <w:r>
        <w:rPr>
          <w:rFonts w:ascii="Arial" w:hAnsi="Arial" w:eastAsia="Arial"/>
          <w:color w:val="1F2937"/>
          <w:sz w:val="20"/>
        </w:rPr>
        <w:t>This appropriately uses the positive screen to trigger a fuller assessment and next-step decision.</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A positive screen opens the assessment; it does not close the case or choose the disposition.</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R - Risk formulation. Use screening to identify the need for a comprehensive, evidence-based risk assessment.</w:t>
            </w:r>
          </w:p>
        </w:tc>
      </w:tr>
    </w:tbl>
    <w:p>
      <w:pPr>
        <w:spacing w:after="0"/>
      </w:pPr>
    </w:p>
    <w:p>
      <w:r>
        <w:br w:type="page"/>
      </w:r>
    </w:p>
    <w:p>
      <w:pPr>
        <w:pStyle w:val="Heading2"/>
        <w:spacing w:before="0" w:after="60"/>
      </w:pPr>
      <w:r>
        <w:rPr>
          <w:rFonts w:ascii="Arial" w:hAnsi="Arial" w:eastAsia="Arial"/>
          <w:b/>
          <w:color w:val="159C9C"/>
          <w:sz w:val="26"/>
        </w:rPr>
        <w:t>Question 3 (LPCC-WB04-PB-Q003)</w:t>
      </w:r>
    </w:p>
    <w:p>
      <w:pPr>
        <w:spacing w:before="100" w:after="40"/>
        <w:keepNext/>
      </w:pPr>
      <w:r>
        <w:rPr>
          <w:rFonts w:ascii="Arial" w:hAnsi="Arial" w:eastAsia="Arial"/>
          <w:b/>
          <w:color w:val="1F7A8C"/>
          <w:sz w:val="17"/>
        </w:rPr>
        <w:t>LPCC-WB04-PB-Q003 | Knowledge &amp; Application | Easy | Primary concept: California duty to protect</w:t>
      </w:r>
    </w:p>
    <w:p>
      <w:pPr>
        <w:spacing w:after="60" w:line="250" w:lineRule="auto"/>
      </w:pPr>
      <w:r>
        <w:rPr>
          <w:rFonts w:ascii="Arial" w:hAnsi="Arial" w:eastAsia="Arial"/>
          <w:b/>
          <w:color w:val="1F2937"/>
          <w:sz w:val="20"/>
        </w:rPr>
        <w:t>A client states, “I am going to shoot my former supervisor tonight,” provides the supervisor’s name and workplace, describes access to a firearm, and expresses intent. Which response is MOST consistent with California duty-to-protect principles?</w:t>
      </w:r>
    </w:p>
    <w:p>
      <w:pPr>
        <w:spacing w:after="40"/>
        <w:ind w:left="230" w:hanging="230"/>
      </w:pPr>
      <w:r>
        <w:rPr>
          <w:rFonts w:ascii="Arial" w:hAnsi="Arial" w:eastAsia="Arial"/>
          <w:sz w:val="20"/>
        </w:rPr>
        <w:t>A. Make reasonable efforts to communicate the threat to the identifiable victim and law enforcement while also arranging the crisis response required by the facts.</w:t>
      </w:r>
    </w:p>
    <w:p>
      <w:pPr>
        <w:spacing w:after="40"/>
        <w:ind w:left="230" w:hanging="230"/>
      </w:pPr>
      <w:r>
        <w:rPr>
          <w:rFonts w:ascii="Arial" w:hAnsi="Arial" w:eastAsia="Arial"/>
          <w:sz w:val="20"/>
        </w:rPr>
        <w:t>B. Maintain confidentiality because threats made in therapy are always privileged.</w:t>
      </w:r>
    </w:p>
    <w:p>
      <w:pPr>
        <w:spacing w:after="40"/>
        <w:ind w:left="230" w:hanging="230"/>
      </w:pPr>
      <w:r>
        <w:rPr>
          <w:rFonts w:ascii="Arial" w:hAnsi="Arial" w:eastAsia="Arial"/>
          <w:sz w:val="20"/>
        </w:rPr>
        <w:t>C. Wait until the client purchases ammunition before taking protective action.</w:t>
      </w:r>
    </w:p>
    <w:p>
      <w:pPr>
        <w:spacing w:after="40"/>
        <w:ind w:left="230" w:hanging="230"/>
      </w:pPr>
      <w:r>
        <w:rPr>
          <w:rFonts w:ascii="Arial" w:hAnsi="Arial" w:eastAsia="Arial"/>
          <w:sz w:val="20"/>
        </w:rPr>
        <w:t>D. Warn only the client’s family because they know the client best.</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A. Make reasonable efforts to communicate the threat to the identifiable victim and law enforcement while also arranging the crisis response required by the facts.</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F7A8C"/>
          <w:sz w:val="20"/>
        </w:rPr>
        <w:t xml:space="preserve">A. </w:t>
      </w:r>
      <w:r>
        <w:rPr>
          <w:rFonts w:ascii="Arial" w:hAnsi="Arial" w:eastAsia="Arial"/>
          <w:b/>
          <w:color w:val="1F7A8C"/>
          <w:sz w:val="20"/>
        </w:rPr>
        <w:t xml:space="preserve">Correct. </w:t>
      </w:r>
      <w:r>
        <w:rPr>
          <w:rFonts w:ascii="Arial" w:hAnsi="Arial" w:eastAsia="Arial"/>
          <w:color w:val="1F2937"/>
          <w:sz w:val="20"/>
        </w:rPr>
        <w:t>A serious communicated threat against a reasonably identifiable victim activates protective action, including reasonable efforts to communicate the threat to the victim and law enforcement.</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Confidentiality is not absolute when a serious threat and applicable protective duty are present.</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The counselor should not wait for additional preparation when the current facts already indicate a serious, specific threat.</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Family involvement may be clinically useful, but it does not substitute for the required protective communications.</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Separate vague anger from a serious communicated threat. Specific target, intent, means, and timing make protective action more urgent.</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L - Legal duty. When a serious threat targets an identifiable victim, protect promptly and document the actions taken.</w:t>
            </w:r>
          </w:p>
        </w:tc>
      </w:tr>
    </w:tbl>
    <w:p>
      <w:pPr>
        <w:spacing w:after="0"/>
      </w:pPr>
    </w:p>
    <w:p>
      <w:r>
        <w:br w:type="page"/>
      </w:r>
    </w:p>
    <w:p>
      <w:pPr>
        <w:pStyle w:val="Heading2"/>
        <w:spacing w:before="0" w:after="60"/>
      </w:pPr>
      <w:r>
        <w:rPr>
          <w:rFonts w:ascii="Arial" w:hAnsi="Arial" w:eastAsia="Arial"/>
          <w:b/>
          <w:color w:val="159C9C"/>
          <w:sz w:val="26"/>
        </w:rPr>
        <w:t>Question 4 (LPCC-WB04-PB-Q004)</w:t>
      </w:r>
    </w:p>
    <w:p>
      <w:pPr>
        <w:spacing w:before="100" w:after="40"/>
        <w:keepNext/>
      </w:pPr>
      <w:r>
        <w:rPr>
          <w:rFonts w:ascii="Arial" w:hAnsi="Arial" w:eastAsia="Arial"/>
          <w:b/>
          <w:color w:val="1F7A8C"/>
          <w:sz w:val="17"/>
        </w:rPr>
        <w:t>LPCC-WB04-PB-Q004 | Application | Moderate | Primary concept: Child abuse reporting threshold and timing</w:t>
      </w:r>
    </w:p>
    <w:p>
      <w:pPr>
        <w:spacing w:after="60" w:line="250" w:lineRule="auto"/>
      </w:pPr>
      <w:r>
        <w:rPr>
          <w:rFonts w:ascii="Arial" w:hAnsi="Arial" w:eastAsia="Arial"/>
          <w:b/>
          <w:color w:val="1F2937"/>
          <w:sz w:val="20"/>
        </w:rPr>
        <w:t>An eight-year-old client states that a caregiver struck them with an electrical cord yesterday, and the counselor observes parallel bruises. What should the counselor do?</w:t>
      </w:r>
    </w:p>
    <w:p>
      <w:pPr>
        <w:spacing w:after="40"/>
        <w:ind w:left="230" w:hanging="230"/>
      </w:pPr>
      <w:r>
        <w:rPr>
          <w:rFonts w:ascii="Arial" w:hAnsi="Arial" w:eastAsia="Arial"/>
          <w:sz w:val="20"/>
        </w:rPr>
        <w:t>A. Interview the caregiver first to determine whether the child’s report is accurate.</w:t>
      </w:r>
    </w:p>
    <w:p>
      <w:pPr>
        <w:spacing w:after="40"/>
        <w:ind w:left="230" w:hanging="230"/>
      </w:pPr>
      <w:r>
        <w:rPr>
          <w:rFonts w:ascii="Arial" w:hAnsi="Arial" w:eastAsia="Arial"/>
          <w:sz w:val="20"/>
        </w:rPr>
        <w:t>B. Wait for the next supervision meeting because a report should be made only after consultation.</w:t>
      </w:r>
    </w:p>
    <w:p>
      <w:pPr>
        <w:spacing w:after="40"/>
        <w:ind w:left="230" w:hanging="230"/>
      </w:pPr>
      <w:r>
        <w:rPr>
          <w:rFonts w:ascii="Arial" w:hAnsi="Arial" w:eastAsia="Arial"/>
          <w:sz w:val="20"/>
        </w:rPr>
        <w:t>C. Make the mandated report immediately or as soon as practicably possible and complete the written follow-up within the required timeframe, without investigating the allegation.</w:t>
      </w:r>
    </w:p>
    <w:p>
      <w:pPr>
        <w:spacing w:after="40"/>
        <w:ind w:left="230" w:hanging="230"/>
      </w:pPr>
      <w:r>
        <w:rPr>
          <w:rFonts w:ascii="Arial" w:hAnsi="Arial" w:eastAsia="Arial"/>
          <w:sz w:val="20"/>
        </w:rPr>
        <w:t>D. Ask the child to repeat the story in greater detail until the counselor is certain abuse occurred.</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C. Make the mandated report immediately or as soon as practicably possible and complete the written follow-up within the required timeframe, without investigating the allegation.</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Confronting or interviewing the alleged perpetrator may increase risk and is not required before reporting.</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Consultation may support practice, but it must not delay an individual reporting duty.</w:t>
      </w:r>
    </w:p>
    <w:p>
      <w:pPr>
        <w:spacing w:after="60" w:line="250" w:lineRule="auto"/>
        <w:ind w:left="173" w:hanging="173"/>
      </w:pPr>
      <w:r>
        <w:rPr>
          <w:rFonts w:ascii="Arial" w:hAnsi="Arial" w:eastAsia="Arial"/>
          <w:b/>
          <w:color w:val="1F7A8C"/>
          <w:sz w:val="20"/>
        </w:rPr>
        <w:t xml:space="preserve">C. </w:t>
      </w:r>
      <w:r>
        <w:rPr>
          <w:rFonts w:ascii="Arial" w:hAnsi="Arial" w:eastAsia="Arial"/>
          <w:b/>
          <w:color w:val="1F7A8C"/>
          <w:sz w:val="20"/>
        </w:rPr>
        <w:t xml:space="preserve">Correct. </w:t>
      </w:r>
      <w:r>
        <w:rPr>
          <w:rFonts w:ascii="Arial" w:hAnsi="Arial" w:eastAsia="Arial"/>
          <w:color w:val="1F2937"/>
          <w:sz w:val="20"/>
        </w:rPr>
        <w:t>The facts support reasonable suspicion, which is sufficient for reporting; certainty and investigation are not required.</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Repeated questioning can be unnecessary and potentially harmful, and certainty is not the legal threshold.</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The reporting threshold is reasonable suspicion, not proof. Report; do not investigate.</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L - Legal duty. Make the required report promptly when reasonable suspicion exists, then document and continue supportive care.</w:t>
            </w:r>
          </w:p>
        </w:tc>
      </w:tr>
    </w:tbl>
    <w:p>
      <w:pPr>
        <w:spacing w:after="0"/>
      </w:pPr>
    </w:p>
    <w:p>
      <w:r>
        <w:br w:type="page"/>
      </w:r>
    </w:p>
    <w:p>
      <w:pPr>
        <w:pStyle w:val="Heading2"/>
        <w:spacing w:before="0" w:after="60"/>
      </w:pPr>
      <w:r>
        <w:rPr>
          <w:rFonts w:ascii="Arial" w:hAnsi="Arial" w:eastAsia="Arial"/>
          <w:b/>
          <w:color w:val="159C9C"/>
          <w:sz w:val="26"/>
        </w:rPr>
        <w:t>Question 5 (LPCC-WB04-PB-Q005)</w:t>
      </w:r>
    </w:p>
    <w:p>
      <w:pPr>
        <w:spacing w:before="100" w:after="40"/>
        <w:keepNext/>
      </w:pPr>
      <w:r>
        <w:rPr>
          <w:rFonts w:ascii="Arial" w:hAnsi="Arial" w:eastAsia="Arial"/>
          <w:b/>
          <w:color w:val="1F7A8C"/>
          <w:sz w:val="17"/>
        </w:rPr>
        <w:t>LPCC-WB04-PB-Q005 | Integrated Clinical Reasoning | Difficult | Primary concept: Elder financial abuse, neglect, and safety</w:t>
      </w:r>
    </w:p>
    <w:p>
      <w:pPr>
        <w:spacing w:after="60" w:line="250" w:lineRule="auto"/>
      </w:pPr>
      <w:r>
        <w:rPr>
          <w:rFonts w:ascii="Arial" w:hAnsi="Arial" w:eastAsia="Arial"/>
          <w:b/>
          <w:color w:val="1F2937"/>
          <w:sz w:val="20"/>
        </w:rPr>
        <w:t>A 79-year-old client reports that an adult child controls the client’s bank account, withholds prescribed medication when the client questions purchases, and threatens placement in a facility. The client appears frightened but is not in immediate medical distress. What is the BEST response?</w:t>
      </w:r>
    </w:p>
    <w:p>
      <w:pPr>
        <w:spacing w:after="40"/>
        <w:ind w:left="230" w:hanging="230"/>
      </w:pPr>
      <w:r>
        <w:rPr>
          <w:rFonts w:ascii="Arial" w:hAnsi="Arial" w:eastAsia="Arial"/>
          <w:sz w:val="20"/>
        </w:rPr>
        <w:t>A. Delay action until bank statements prove financial exploitation.</w:t>
      </w:r>
    </w:p>
    <w:p>
      <w:pPr>
        <w:spacing w:after="40"/>
        <w:ind w:left="230" w:hanging="230"/>
      </w:pPr>
      <w:r>
        <w:rPr>
          <w:rFonts w:ascii="Arial" w:hAnsi="Arial" w:eastAsia="Arial"/>
          <w:sz w:val="20"/>
        </w:rPr>
        <w:t>B. Assess immediate safety and capacity, make the required elder-abuse report promptly to the appropriate agency based on the setting, document the facts, and continue safety and support planning.</w:t>
      </w:r>
    </w:p>
    <w:p>
      <w:pPr>
        <w:spacing w:after="40"/>
        <w:ind w:left="230" w:hanging="230"/>
      </w:pPr>
      <w:r>
        <w:rPr>
          <w:rFonts w:ascii="Arial" w:hAnsi="Arial" w:eastAsia="Arial"/>
          <w:sz w:val="20"/>
        </w:rPr>
        <w:t>C. Confront the adult child during a joint session before deciding whether to report.</w:t>
      </w:r>
    </w:p>
    <w:p>
      <w:pPr>
        <w:spacing w:after="40"/>
        <w:ind w:left="230" w:hanging="230"/>
      </w:pPr>
      <w:r>
        <w:rPr>
          <w:rFonts w:ascii="Arial" w:hAnsi="Arial" w:eastAsia="Arial"/>
          <w:sz w:val="20"/>
        </w:rPr>
        <w:t>D. Treat the issue only as a family conflict because the client is a competent adult.</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B. Assess immediate safety and capacity, make the required elder-abuse report promptly to the appropriate agency based on the setting, document the facts, and continue safety and support planning.</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A report does not require documentary proof when known, suspected, or alleged reportable abuse is present.</w:t>
      </w:r>
    </w:p>
    <w:p>
      <w:pPr>
        <w:spacing w:after="60" w:line="250" w:lineRule="auto"/>
        <w:ind w:left="173" w:hanging="173"/>
      </w:pPr>
      <w:r>
        <w:rPr>
          <w:rFonts w:ascii="Arial" w:hAnsi="Arial" w:eastAsia="Arial"/>
          <w:b/>
          <w:color w:val="1F7A8C"/>
          <w:sz w:val="20"/>
        </w:rPr>
        <w:t xml:space="preserve">B. </w:t>
      </w:r>
      <w:r>
        <w:rPr>
          <w:rFonts w:ascii="Arial" w:hAnsi="Arial" w:eastAsia="Arial"/>
          <w:b/>
          <w:color w:val="1F7A8C"/>
          <w:sz w:val="20"/>
        </w:rPr>
        <w:t xml:space="preserve">Correct. </w:t>
      </w:r>
      <w:r>
        <w:rPr>
          <w:rFonts w:ascii="Arial" w:hAnsi="Arial" w:eastAsia="Arial"/>
          <w:color w:val="1F2937"/>
          <w:sz w:val="20"/>
        </w:rPr>
        <w:t>This combines immediate safety assessment, timely reporting, documentation, and ongoing clinical support without unnecessary investigation.</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Confrontation may increase danger and is not a prerequisite to reporting.</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Possible financial abuse, neglect, and coercion involving an elder are not merely a routine family disagreement.</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For protected adults, distinguish reporting from investigation. Address safety and make the required report without demanding proof.</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L - Legal duty. Assess urgency, report the suspected abuse promptly, and continue a feasible safety plan.</w:t>
            </w:r>
          </w:p>
        </w:tc>
      </w:tr>
    </w:tbl>
    <w:p>
      <w:pPr>
        <w:spacing w:after="0"/>
      </w:pPr>
    </w:p>
    <w:p>
      <w:r>
        <w:br w:type="page"/>
      </w:r>
    </w:p>
    <w:p>
      <w:pPr>
        <w:pStyle w:val="Heading2"/>
        <w:spacing w:before="0" w:after="60"/>
      </w:pPr>
      <w:r>
        <w:rPr>
          <w:rFonts w:ascii="Arial" w:hAnsi="Arial" w:eastAsia="Arial"/>
          <w:b/>
          <w:color w:val="159C9C"/>
          <w:sz w:val="26"/>
        </w:rPr>
        <w:t>Question 6 (LPCC-WB04-PB-Q006)</w:t>
      </w:r>
    </w:p>
    <w:p>
      <w:pPr>
        <w:spacing w:before="100" w:after="40"/>
        <w:keepNext/>
      </w:pPr>
      <w:r>
        <w:rPr>
          <w:rFonts w:ascii="Arial" w:hAnsi="Arial" w:eastAsia="Arial"/>
          <w:b/>
          <w:color w:val="1F7A8C"/>
          <w:sz w:val="17"/>
        </w:rPr>
        <w:t>LPCC-WB04-PB-Q006 | Application | Easy | Primary concept: Focused suicide-risk assessment</w:t>
      </w:r>
    </w:p>
    <w:p>
      <w:pPr>
        <w:spacing w:after="60" w:line="250" w:lineRule="auto"/>
      </w:pPr>
      <w:r>
        <w:rPr>
          <w:rFonts w:ascii="Arial" w:hAnsi="Arial" w:eastAsia="Arial"/>
          <w:b/>
          <w:color w:val="1F2937"/>
          <w:sz w:val="20"/>
        </w:rPr>
        <w:t>What should the counselor clarify FIRST after establishing Leah’s exact location and ability to remain connected?</w:t>
      </w:r>
    </w:p>
    <w:p>
      <w:pPr>
        <w:spacing w:after="40"/>
        <w:ind w:left="230" w:hanging="230"/>
      </w:pPr>
      <w:r>
        <w:rPr>
          <w:rFonts w:ascii="Arial" w:hAnsi="Arial" w:eastAsia="Arial"/>
          <w:sz w:val="20"/>
        </w:rPr>
        <w:t>A. The full history of Leah’s relationship with Daniel from the beginning.</w:t>
      </w:r>
    </w:p>
    <w:p>
      <w:pPr>
        <w:spacing w:after="40"/>
        <w:ind w:left="230" w:hanging="230"/>
      </w:pPr>
      <w:r>
        <w:rPr>
          <w:rFonts w:ascii="Arial" w:hAnsi="Arial" w:eastAsia="Arial"/>
          <w:sz w:val="20"/>
        </w:rPr>
        <w:t>B. Whether Leah meets every diagnostic criterion for a depressive disorder.</w:t>
      </w:r>
    </w:p>
    <w:p>
      <w:pPr>
        <w:spacing w:after="40"/>
        <w:ind w:left="230" w:hanging="230"/>
      </w:pPr>
      <w:r>
        <w:rPr>
          <w:rFonts w:ascii="Arial" w:hAnsi="Arial" w:eastAsia="Arial"/>
          <w:sz w:val="20"/>
        </w:rPr>
        <w:t>C. Current suicidal ideation, intent, plan, preparation, access to the handgun, recent behavior, alcohol effects, protective factors, support availability, and ability to collaborate with immediate safety steps.</w:t>
      </w:r>
    </w:p>
    <w:p>
      <w:pPr>
        <w:spacing w:after="40"/>
        <w:ind w:left="230" w:hanging="230"/>
      </w:pPr>
      <w:r>
        <w:rPr>
          <w:rFonts w:ascii="Arial" w:hAnsi="Arial" w:eastAsia="Arial"/>
          <w:sz w:val="20"/>
        </w:rPr>
        <w:t>D. Whether Leah would prefer weekly or twice-weekly counseling after the crisis resolves.</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C. Current suicidal ideation, intent, plan, preparation, access to the handgun, recent behavior, alcohol effects, protective factors, support availability, and ability to collaborate with immediate safety steps.</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Relationship history may matter later, but it does not address the immediate safety decision.</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Diagnosis is not the first task when current suicide risk and firearm access may be present.</w:t>
      </w:r>
    </w:p>
    <w:p>
      <w:pPr>
        <w:spacing w:after="60" w:line="250" w:lineRule="auto"/>
        <w:ind w:left="173" w:hanging="173"/>
      </w:pPr>
      <w:r>
        <w:rPr>
          <w:rFonts w:ascii="Arial" w:hAnsi="Arial" w:eastAsia="Arial"/>
          <w:b/>
          <w:color w:val="1F7A8C"/>
          <w:sz w:val="20"/>
        </w:rPr>
        <w:t xml:space="preserve">C. </w:t>
      </w:r>
      <w:r>
        <w:rPr>
          <w:rFonts w:ascii="Arial" w:hAnsi="Arial" w:eastAsia="Arial"/>
          <w:b/>
          <w:color w:val="1F7A8C"/>
          <w:sz w:val="20"/>
        </w:rPr>
        <w:t xml:space="preserve">Correct. </w:t>
      </w:r>
      <w:r>
        <w:rPr>
          <w:rFonts w:ascii="Arial" w:hAnsi="Arial" w:eastAsia="Arial"/>
          <w:color w:val="1F2937"/>
          <w:sz w:val="20"/>
        </w:rPr>
        <w:t>This gathers the discriminating facts needed for risk formulation and disposition.</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Routine scheduling is premature until immediate safety is established.</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In a crisis, ask the questions that change the next action before expanding the broader history.</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R - Risk formulation. Clarify current intent, preparation, means, modifiers, supports, and collaboration before routine assessment.</w:t>
            </w:r>
          </w:p>
        </w:tc>
      </w:tr>
    </w:tbl>
    <w:p>
      <w:pPr>
        <w:spacing w:after="0"/>
      </w:pPr>
    </w:p>
    <w:p>
      <w:r>
        <w:br w:type="page"/>
      </w:r>
    </w:p>
    <w:p>
      <w:pPr>
        <w:pStyle w:val="Heading2"/>
        <w:spacing w:before="0" w:after="60"/>
      </w:pPr>
      <w:r>
        <w:rPr>
          <w:rFonts w:ascii="Arial" w:hAnsi="Arial" w:eastAsia="Arial"/>
          <w:b/>
          <w:color w:val="159C9C"/>
          <w:sz w:val="26"/>
        </w:rPr>
        <w:t>Question 7 (LPCC-WB04-PB-Q007)</w:t>
      </w:r>
    </w:p>
    <w:p>
      <w:pPr>
        <w:spacing w:before="100" w:after="40"/>
        <w:keepNext/>
      </w:pPr>
      <w:r>
        <w:rPr>
          <w:rFonts w:ascii="Arial" w:hAnsi="Arial" w:eastAsia="Arial"/>
          <w:b/>
          <w:color w:val="1F7A8C"/>
          <w:sz w:val="17"/>
        </w:rPr>
        <w:t>LPCC-WB04-PB-Q007 | Knowledge &amp; Application | Moderate | Primary concept: Nonsuicidal self-injury versus suicidal behavior</w:t>
      </w:r>
    </w:p>
    <w:p>
      <w:pPr>
        <w:spacing w:after="60" w:line="250" w:lineRule="auto"/>
      </w:pPr>
      <w:r>
        <w:rPr>
          <w:rFonts w:ascii="Arial" w:hAnsi="Arial" w:eastAsia="Arial"/>
          <w:b/>
          <w:color w:val="1F2937"/>
          <w:sz w:val="20"/>
        </w:rPr>
        <w:t>Which interpretation of Leah’s recent cutting is MOST accurate?</w:t>
      </w:r>
    </w:p>
    <w:p>
      <w:pPr>
        <w:spacing w:after="40"/>
        <w:ind w:left="230" w:hanging="230"/>
      </w:pPr>
      <w:r>
        <w:rPr>
          <w:rFonts w:ascii="Arial" w:hAnsi="Arial" w:eastAsia="Arial"/>
          <w:sz w:val="20"/>
        </w:rPr>
        <w:t>A. The cutting may have served a nonsuicidal function, but the counselor must still assess medical severity, frequency, escalation, suicidal intent, co-occurring suicidal thoughts, and current risk.</w:t>
      </w:r>
    </w:p>
    <w:p>
      <w:pPr>
        <w:spacing w:after="40"/>
        <w:ind w:left="230" w:hanging="230"/>
      </w:pPr>
      <w:r>
        <w:rPr>
          <w:rFonts w:ascii="Arial" w:hAnsi="Arial" w:eastAsia="Arial"/>
          <w:sz w:val="20"/>
        </w:rPr>
        <w:t>B. Because Leah denies suicidal intent for the cutting, it has no relevance to current suicide risk.</w:t>
      </w:r>
    </w:p>
    <w:p>
      <w:pPr>
        <w:spacing w:after="40"/>
        <w:ind w:left="230" w:hanging="230"/>
      </w:pPr>
      <w:r>
        <w:rPr>
          <w:rFonts w:ascii="Arial" w:hAnsi="Arial" w:eastAsia="Arial"/>
          <w:sz w:val="20"/>
        </w:rPr>
        <w:t>C. Any self-inflicted injury is automatically a suicide attempt.</w:t>
      </w:r>
    </w:p>
    <w:p>
      <w:pPr>
        <w:spacing w:after="40"/>
        <w:ind w:left="230" w:hanging="230"/>
      </w:pPr>
      <w:r>
        <w:rPr>
          <w:rFonts w:ascii="Arial" w:hAnsi="Arial" w:eastAsia="Arial"/>
          <w:sz w:val="20"/>
        </w:rPr>
        <w:t>D. The cutting proves that Leah has a personality disorder.</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A. The cutting may have served a nonsuicidal function, but the counselor must still assess medical severity, frequency, escalation, suicidal intent, co-occurring suicidal thoughts, and current risk.</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F7A8C"/>
          <w:sz w:val="20"/>
        </w:rPr>
        <w:t xml:space="preserve">A. </w:t>
      </w:r>
      <w:r>
        <w:rPr>
          <w:rFonts w:ascii="Arial" w:hAnsi="Arial" w:eastAsia="Arial"/>
          <w:b/>
          <w:color w:val="1F7A8C"/>
          <w:sz w:val="20"/>
        </w:rPr>
        <w:t xml:space="preserve">Correct. </w:t>
      </w:r>
      <w:r>
        <w:rPr>
          <w:rFonts w:ascii="Arial" w:hAnsi="Arial" w:eastAsia="Arial"/>
          <w:color w:val="1F2937"/>
          <w:sz w:val="20"/>
        </w:rPr>
        <w:t>This distinguishes possible function from suicide intent while recognizing that NSSI remains clinically significant and can coexist with suicidal risk.</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NSSI can be associated with elevated risk and must not be dismissed.</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Intent matters; not every self-injury is a suicide attempt.</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One behavior does not establish a personality-disorder diagnosis.</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Do not collapse NSSI and suicide attempts into one category, and do not treat them as unrelated.</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E - Evidence / certainty. Assess the function and intent of self-injury while integrating it into the broader risk pattern.</w:t>
            </w:r>
          </w:p>
        </w:tc>
      </w:tr>
    </w:tbl>
    <w:p>
      <w:pPr>
        <w:spacing w:after="0"/>
      </w:pPr>
    </w:p>
    <w:p>
      <w:r>
        <w:br w:type="page"/>
      </w:r>
    </w:p>
    <w:p>
      <w:pPr>
        <w:pStyle w:val="Heading2"/>
        <w:spacing w:before="0" w:after="60"/>
      </w:pPr>
      <w:r>
        <w:rPr>
          <w:rFonts w:ascii="Arial" w:hAnsi="Arial" w:eastAsia="Arial"/>
          <w:b/>
          <w:color w:val="159C9C"/>
          <w:sz w:val="26"/>
        </w:rPr>
        <w:t>Question 8 (LPCC-WB04-PB-Q008)</w:t>
      </w:r>
    </w:p>
    <w:p>
      <w:pPr>
        <w:spacing w:before="100" w:after="40"/>
        <w:keepNext/>
      </w:pPr>
      <w:r>
        <w:rPr>
          <w:rFonts w:ascii="Arial" w:hAnsi="Arial" w:eastAsia="Arial"/>
          <w:b/>
          <w:color w:val="1F7A8C"/>
          <w:sz w:val="17"/>
        </w:rPr>
        <w:t>LPCC-WB04-PB-Q008 | Application | Moderate | Primary concept: Lethal-means safety</w:t>
      </w:r>
    </w:p>
    <w:p>
      <w:pPr>
        <w:spacing w:after="60" w:line="250" w:lineRule="auto"/>
      </w:pPr>
      <w:r>
        <w:rPr>
          <w:rFonts w:ascii="Arial" w:hAnsi="Arial" w:eastAsia="Arial"/>
          <w:b/>
          <w:color w:val="1F2937"/>
          <w:sz w:val="20"/>
        </w:rPr>
        <w:t>Which lethal-means intervention is BEST supported by the current facts?</w:t>
      </w:r>
    </w:p>
    <w:p>
      <w:pPr>
        <w:spacing w:after="40"/>
        <w:ind w:left="230" w:hanging="230"/>
      </w:pPr>
      <w:r>
        <w:rPr>
          <w:rFonts w:ascii="Arial" w:hAnsi="Arial" w:eastAsia="Arial"/>
          <w:sz w:val="20"/>
        </w:rPr>
        <w:t>A. Ask Leah to promise she will not touch the handgun and leave the arrangement unchanged.</w:t>
      </w:r>
    </w:p>
    <w:p>
      <w:pPr>
        <w:spacing w:after="40"/>
        <w:ind w:left="230" w:hanging="230"/>
      </w:pPr>
      <w:r>
        <w:rPr>
          <w:rFonts w:ascii="Arial" w:hAnsi="Arial" w:eastAsia="Arial"/>
          <w:sz w:val="20"/>
        </w:rPr>
        <w:t>B. Tell Leah to return home alone and place the handgun on a higher shelf.</w:t>
      </w:r>
    </w:p>
    <w:p>
      <w:pPr>
        <w:spacing w:after="40"/>
        <w:ind w:left="230" w:hanging="230"/>
      </w:pPr>
      <w:r>
        <w:rPr>
          <w:rFonts w:ascii="Arial" w:hAnsi="Arial" w:eastAsia="Arial"/>
          <w:sz w:val="20"/>
        </w:rPr>
        <w:t>C. Avoid discussing the firearm because doing so may increase suicidal thoughts.</w:t>
      </w:r>
    </w:p>
    <w:p>
      <w:pPr>
        <w:spacing w:after="40"/>
        <w:ind w:left="230" w:hanging="230"/>
      </w:pPr>
      <w:r>
        <w:rPr>
          <w:rFonts w:ascii="Arial" w:hAnsi="Arial" w:eastAsia="Arial"/>
          <w:sz w:val="20"/>
        </w:rPr>
        <w:t>D. Collaboratively arrange a concrete, lawful, and verifiable plan that prevents Leah from accessing the handgun during the crisis, involves a willing support or emergency responder as appropriate, and includes a backup if the plan cannot be completed.</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D. Collaboratively arrange a concrete, lawful, and verifiable plan that prevents Leah from accessing the handgun during the crisis, involves a willing support or emergency responder as appropriate, and includes a backup if the plan cannot be completed.</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A promise is not a concrete means-safety intervention.</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Returning home alone increases access and does not adequately reduce risk.</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Direct, calm discussion of lethal means is an appropriate part of safety planning.</w:t>
      </w:r>
    </w:p>
    <w:p>
      <w:pPr>
        <w:spacing w:after="60" w:line="250" w:lineRule="auto"/>
        <w:ind w:left="173" w:hanging="173"/>
      </w:pPr>
      <w:r>
        <w:rPr>
          <w:rFonts w:ascii="Arial" w:hAnsi="Arial" w:eastAsia="Arial"/>
          <w:b/>
          <w:color w:val="1F7A8C"/>
          <w:sz w:val="20"/>
        </w:rPr>
        <w:t xml:space="preserve">D. </w:t>
      </w:r>
      <w:r>
        <w:rPr>
          <w:rFonts w:ascii="Arial" w:hAnsi="Arial" w:eastAsia="Arial"/>
          <w:b/>
          <w:color w:val="1F7A8C"/>
          <w:sz w:val="20"/>
        </w:rPr>
        <w:t xml:space="preserve">Correct. </w:t>
      </w:r>
      <w:r>
        <w:rPr>
          <w:rFonts w:ascii="Arial" w:hAnsi="Arial" w:eastAsia="Arial"/>
          <w:color w:val="1F2937"/>
          <w:sz w:val="20"/>
        </w:rPr>
        <w:t>This specifies who will act, what access will change, how the plan will be verified, and what happens if it fails.</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A strong means-safety plan is specific, feasible, temporary when appropriate, lawful, and verified.</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M - Means safety. Reduce access concretely; do not rely on vague promises or unverified plans.</w:t>
            </w:r>
          </w:p>
        </w:tc>
      </w:tr>
    </w:tbl>
    <w:p>
      <w:pPr>
        <w:spacing w:after="0"/>
      </w:pPr>
    </w:p>
    <w:p>
      <w:r>
        <w:br w:type="page"/>
      </w:r>
    </w:p>
    <w:p>
      <w:pPr>
        <w:pStyle w:val="Heading2"/>
        <w:spacing w:before="0" w:after="60"/>
      </w:pPr>
      <w:r>
        <w:rPr>
          <w:rFonts w:ascii="Arial" w:hAnsi="Arial" w:eastAsia="Arial"/>
          <w:b/>
          <w:color w:val="159C9C"/>
          <w:sz w:val="26"/>
        </w:rPr>
        <w:t>Question 9 (LPCC-WB04-PB-Q009)</w:t>
      </w:r>
    </w:p>
    <w:p>
      <w:pPr>
        <w:spacing w:before="100" w:after="40"/>
        <w:keepNext/>
      </w:pPr>
      <w:r>
        <w:rPr>
          <w:rFonts w:ascii="Arial" w:hAnsi="Arial" w:eastAsia="Arial"/>
          <w:b/>
          <w:color w:val="1F7A8C"/>
          <w:sz w:val="17"/>
        </w:rPr>
        <w:t>LPCC-WB04-PB-Q009 | Integrated Clinical Reasoning | Difficult | Primary concept: Crisis disposition and level of care</w:t>
      </w:r>
    </w:p>
    <w:p>
      <w:pPr>
        <w:spacing w:after="60" w:line="250" w:lineRule="auto"/>
      </w:pPr>
      <w:r>
        <w:rPr>
          <w:rFonts w:ascii="Arial" w:hAnsi="Arial" w:eastAsia="Arial"/>
          <w:b/>
          <w:color w:val="1F2937"/>
          <w:sz w:val="20"/>
        </w:rPr>
        <w:t>Leah continues to state that she may go home and use the handgun, is affected by alcohol, and cannot commit to remaining with her friend or following a means-safety plan. What is the BEST next step?</w:t>
      </w:r>
    </w:p>
    <w:p>
      <w:pPr>
        <w:spacing w:after="40"/>
        <w:ind w:left="230" w:hanging="230"/>
      </w:pPr>
      <w:r>
        <w:rPr>
          <w:rFonts w:ascii="Arial" w:hAnsi="Arial" w:eastAsia="Arial"/>
          <w:sz w:val="20"/>
        </w:rPr>
        <w:t>A. End the session and ask Leah to call back if the thoughts worsen.</w:t>
      </w:r>
    </w:p>
    <w:p>
      <w:pPr>
        <w:spacing w:after="40"/>
        <w:ind w:left="230" w:hanging="230"/>
      </w:pPr>
      <w:r>
        <w:rPr>
          <w:rFonts w:ascii="Arial" w:hAnsi="Arial" w:eastAsia="Arial"/>
          <w:sz w:val="20"/>
        </w:rPr>
        <w:t>B. Continue routine outpatient counseling because Leah denies a specific suicide plan.</w:t>
      </w:r>
    </w:p>
    <w:p>
      <w:pPr>
        <w:spacing w:after="40"/>
        <w:ind w:left="230" w:hanging="230"/>
      </w:pPr>
      <w:r>
        <w:rPr>
          <w:rFonts w:ascii="Arial" w:hAnsi="Arial" w:eastAsia="Arial"/>
          <w:sz w:val="20"/>
        </w:rPr>
        <w:t>C. Arrange an urgent emergency evaluation using the available crisis or emergency system, keep Leah connected when feasible, involve the friend or responders within lawful limits, and provide a direct handoff.</w:t>
      </w:r>
    </w:p>
    <w:p>
      <w:pPr>
        <w:spacing w:after="40"/>
        <w:ind w:left="230" w:hanging="230"/>
      </w:pPr>
      <w:r>
        <w:rPr>
          <w:rFonts w:ascii="Arial" w:hAnsi="Arial" w:eastAsia="Arial"/>
          <w:sz w:val="20"/>
        </w:rPr>
        <w:t>D. Schedule a medication evaluation within the next two weeks.</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C. Arrange an urgent emergency evaluation using the available crisis or emergency system, keep Leah connected when feasible, involve the friend or responders within lawful limits, and provide a direct handoff.</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Ending contact without a crisis response leaves a foreseeable and unresolved risk pattern.</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Absence of a fully specified plan does not outweigh firearm access, alcohol, inability to collaborate, and stated potential intent.</w:t>
      </w:r>
    </w:p>
    <w:p>
      <w:pPr>
        <w:spacing w:after="60" w:line="250" w:lineRule="auto"/>
        <w:ind w:left="173" w:hanging="173"/>
      </w:pPr>
      <w:r>
        <w:rPr>
          <w:rFonts w:ascii="Arial" w:hAnsi="Arial" w:eastAsia="Arial"/>
          <w:b/>
          <w:color w:val="1F7A8C"/>
          <w:sz w:val="20"/>
        </w:rPr>
        <w:t xml:space="preserve">C. </w:t>
      </w:r>
      <w:r>
        <w:rPr>
          <w:rFonts w:ascii="Arial" w:hAnsi="Arial" w:eastAsia="Arial"/>
          <w:b/>
          <w:color w:val="1F7A8C"/>
          <w:sz w:val="20"/>
        </w:rPr>
        <w:t xml:space="preserve">Correct. </w:t>
      </w:r>
      <w:r>
        <w:rPr>
          <w:rFonts w:ascii="Arial" w:hAnsi="Arial" w:eastAsia="Arial"/>
          <w:color w:val="1F2937"/>
          <w:sz w:val="20"/>
        </w:rPr>
        <w:t>This matches the level of response to the acute risk and emphasizes continuity through handoff.</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A future appointment does not address the immediate danger.</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Disposition follows the whole pattern, not one reassuring fact. Ask whether outpatient conditions are actually sufficient for safety.</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P - Proportionality / level of care. Escalate when acute risk cannot be managed reliably in the current setting.</w:t>
            </w:r>
          </w:p>
        </w:tc>
      </w:tr>
    </w:tbl>
    <w:p>
      <w:pPr>
        <w:spacing w:after="0"/>
      </w:pPr>
    </w:p>
    <w:p>
      <w:r>
        <w:br w:type="page"/>
      </w:r>
    </w:p>
    <w:p>
      <w:pPr>
        <w:pStyle w:val="Heading2"/>
        <w:spacing w:before="0" w:after="60"/>
      </w:pPr>
      <w:r>
        <w:rPr>
          <w:rFonts w:ascii="Arial" w:hAnsi="Arial" w:eastAsia="Arial"/>
          <w:b/>
          <w:color w:val="159C9C"/>
          <w:sz w:val="26"/>
        </w:rPr>
        <w:t>Question 10 (LPCC-WB04-PB-Q010)</w:t>
      </w:r>
    </w:p>
    <w:p>
      <w:pPr>
        <w:spacing w:before="100" w:after="40"/>
        <w:keepNext/>
      </w:pPr>
      <w:r>
        <w:rPr>
          <w:rFonts w:ascii="Arial" w:hAnsi="Arial" w:eastAsia="Arial"/>
          <w:b/>
          <w:color w:val="1F7A8C"/>
          <w:sz w:val="17"/>
        </w:rPr>
        <w:t>LPCC-WB04-PB-Q010 | Knowledge &amp; Application | Easy | Primary concept: Child abuse mandated report</w:t>
      </w:r>
    </w:p>
    <w:p>
      <w:pPr>
        <w:spacing w:after="60" w:line="250" w:lineRule="auto"/>
      </w:pPr>
      <w:r>
        <w:rPr>
          <w:rFonts w:ascii="Arial" w:hAnsi="Arial" w:eastAsia="Arial"/>
          <w:b/>
          <w:color w:val="1F2937"/>
          <w:sz w:val="20"/>
        </w:rPr>
        <w:t>What duty is MOST clearly activated by Leah’s report about Mateo?</w:t>
      </w:r>
    </w:p>
    <w:p>
      <w:pPr>
        <w:spacing w:after="40"/>
        <w:ind w:left="230" w:hanging="230"/>
      </w:pPr>
      <w:r>
        <w:rPr>
          <w:rFonts w:ascii="Arial" w:hAnsi="Arial" w:eastAsia="Arial"/>
          <w:sz w:val="20"/>
        </w:rPr>
        <w:t>A. The counselor must first obtain Mateo’s statement directly before making any report.</w:t>
      </w:r>
    </w:p>
    <w:p>
      <w:pPr>
        <w:spacing w:after="40"/>
        <w:ind w:left="230" w:hanging="230"/>
      </w:pPr>
      <w:r>
        <w:rPr>
          <w:rFonts w:ascii="Arial" w:hAnsi="Arial" w:eastAsia="Arial"/>
          <w:sz w:val="20"/>
        </w:rPr>
        <w:t>B. The counselor should ask Daniel whether the discipline occurred.</w:t>
      </w:r>
    </w:p>
    <w:p>
      <w:pPr>
        <w:spacing w:after="40"/>
        <w:ind w:left="230" w:hanging="230"/>
      </w:pPr>
      <w:r>
        <w:rPr>
          <w:rFonts w:ascii="Arial" w:hAnsi="Arial" w:eastAsia="Arial"/>
          <w:sz w:val="20"/>
        </w:rPr>
        <w:t>C. The counselor has reasonable suspicion of child abuse or neglect and should make the mandated report immediately or as soon as practicably possible, followed by the required written report.</w:t>
      </w:r>
    </w:p>
    <w:p>
      <w:pPr>
        <w:spacing w:after="40"/>
        <w:ind w:left="230" w:hanging="230"/>
      </w:pPr>
      <w:r>
        <w:rPr>
          <w:rFonts w:ascii="Arial" w:hAnsi="Arial" w:eastAsia="Arial"/>
          <w:sz w:val="20"/>
        </w:rPr>
        <w:t>D. The counselor should wait for law enforcement to evaluate Leah’s threat before addressing the child disclosure.</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C. The counselor has reasonable suspicion of child abuse or neglect and should make the mandated report immediately or as soon as practicably possible, followed by the required written report.</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A direct interview with the child is not required before reporting and could delay protection.</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Contacting the alleged perpetrator is not required and may increase danger.</w:t>
      </w:r>
    </w:p>
    <w:p>
      <w:pPr>
        <w:spacing w:after="60" w:line="250" w:lineRule="auto"/>
        <w:ind w:left="173" w:hanging="173"/>
      </w:pPr>
      <w:r>
        <w:rPr>
          <w:rFonts w:ascii="Arial" w:hAnsi="Arial" w:eastAsia="Arial"/>
          <w:b/>
          <w:color w:val="1F7A8C"/>
          <w:sz w:val="20"/>
        </w:rPr>
        <w:t xml:space="preserve">C. </w:t>
      </w:r>
      <w:r>
        <w:rPr>
          <w:rFonts w:ascii="Arial" w:hAnsi="Arial" w:eastAsia="Arial"/>
          <w:b/>
          <w:color w:val="1F7A8C"/>
          <w:sz w:val="20"/>
        </w:rPr>
        <w:t xml:space="preserve">Correct. </w:t>
      </w:r>
      <w:r>
        <w:rPr>
          <w:rFonts w:ascii="Arial" w:hAnsi="Arial" w:eastAsia="Arial"/>
          <w:color w:val="1F2937"/>
          <w:sz w:val="20"/>
        </w:rPr>
        <w:t>The report supplies sufficient facts for reasonable suspicion and requires timely reporting.</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The child-protection duty should be addressed alongside the other urgent duties, not postponed unnecessarily.</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Parallel duties may arise in one case. Identify each duty and act without waiting for one system to resolve another.</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L - Legal duty. Report suspected child abuse promptly; do not investigate or wait for certainty.</w:t>
            </w:r>
          </w:p>
        </w:tc>
      </w:tr>
    </w:tbl>
    <w:p>
      <w:pPr>
        <w:spacing w:after="0"/>
      </w:pPr>
    </w:p>
    <w:p>
      <w:r>
        <w:br w:type="page"/>
      </w:r>
    </w:p>
    <w:p>
      <w:pPr>
        <w:pStyle w:val="Heading2"/>
        <w:spacing w:before="0" w:after="60"/>
      </w:pPr>
      <w:r>
        <w:rPr>
          <w:rFonts w:ascii="Arial" w:hAnsi="Arial" w:eastAsia="Arial"/>
          <w:b/>
          <w:color w:val="159C9C"/>
          <w:sz w:val="26"/>
        </w:rPr>
        <w:t>Question 11 (LPCC-WB04-PB-Q011)</w:t>
      </w:r>
    </w:p>
    <w:p>
      <w:pPr>
        <w:spacing w:before="100" w:after="40"/>
        <w:keepNext/>
      </w:pPr>
      <w:r>
        <w:rPr>
          <w:rFonts w:ascii="Arial" w:hAnsi="Arial" w:eastAsia="Arial"/>
          <w:b/>
          <w:color w:val="1F7A8C"/>
          <w:sz w:val="17"/>
        </w:rPr>
        <w:t>LPCC-WB04-PB-Q011 | Application | Moderate | Primary concept: Duty-to-protect actions</w:t>
      </w:r>
    </w:p>
    <w:p>
      <w:pPr>
        <w:spacing w:after="60" w:line="250" w:lineRule="auto"/>
      </w:pPr>
      <w:r>
        <w:rPr>
          <w:rFonts w:ascii="Arial" w:hAnsi="Arial" w:eastAsia="Arial"/>
          <w:b/>
          <w:color w:val="1F2937"/>
          <w:sz w:val="20"/>
        </w:rPr>
        <w:t>What should the counselor do regarding Leah’s threat toward Daniel?</w:t>
      </w:r>
    </w:p>
    <w:p>
      <w:pPr>
        <w:spacing w:after="40"/>
        <w:ind w:left="230" w:hanging="230"/>
      </w:pPr>
      <w:r>
        <w:rPr>
          <w:rFonts w:ascii="Arial" w:hAnsi="Arial" w:eastAsia="Arial"/>
          <w:sz w:val="20"/>
        </w:rPr>
        <w:t>A. Document the threat but maintain confidentiality unless Leah actually leaves the car.</w:t>
      </w:r>
    </w:p>
    <w:p>
      <w:pPr>
        <w:spacing w:after="40"/>
        <w:ind w:left="230" w:hanging="230"/>
      </w:pPr>
      <w:r>
        <w:rPr>
          <w:rFonts w:ascii="Arial" w:hAnsi="Arial" w:eastAsia="Arial"/>
          <w:sz w:val="20"/>
        </w:rPr>
        <w:t>B. Make reasonable efforts to communicate the threat to Daniel and law enforcement, while continuing crisis intervention and arranging emergency evaluation based on the acute facts.</w:t>
      </w:r>
    </w:p>
    <w:p>
      <w:pPr>
        <w:spacing w:after="40"/>
        <w:ind w:left="230" w:hanging="230"/>
      </w:pPr>
      <w:r>
        <w:rPr>
          <w:rFonts w:ascii="Arial" w:hAnsi="Arial" w:eastAsia="Arial"/>
          <w:sz w:val="20"/>
        </w:rPr>
        <w:t>C. Warn only Leah’s friend and ask the friend to monitor her overnight.</w:t>
      </w:r>
    </w:p>
    <w:p>
      <w:pPr>
        <w:spacing w:after="40"/>
        <w:ind w:left="230" w:hanging="230"/>
      </w:pPr>
      <w:r>
        <w:rPr>
          <w:rFonts w:ascii="Arial" w:hAnsi="Arial" w:eastAsia="Arial"/>
          <w:sz w:val="20"/>
        </w:rPr>
        <w:t>D. Ask Leah to sign a statement withdrawing the threat.</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B. Make reasonable efforts to communicate the threat to Daniel and law enforcement, while continuing crisis intervention and arranging emergency evaluation based on the acute facts.</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The serious, specific threat against an identifiable victim warrants prompt protective action before an assault occurs.</w:t>
      </w:r>
    </w:p>
    <w:p>
      <w:pPr>
        <w:spacing w:after="60" w:line="250" w:lineRule="auto"/>
        <w:ind w:left="173" w:hanging="173"/>
      </w:pPr>
      <w:r>
        <w:rPr>
          <w:rFonts w:ascii="Arial" w:hAnsi="Arial" w:eastAsia="Arial"/>
          <w:b/>
          <w:color w:val="1F7A8C"/>
          <w:sz w:val="20"/>
        </w:rPr>
        <w:t xml:space="preserve">B. </w:t>
      </w:r>
      <w:r>
        <w:rPr>
          <w:rFonts w:ascii="Arial" w:hAnsi="Arial" w:eastAsia="Arial"/>
          <w:b/>
          <w:color w:val="1F7A8C"/>
          <w:sz w:val="20"/>
        </w:rPr>
        <w:t xml:space="preserve">Correct. </w:t>
      </w:r>
      <w:r>
        <w:rPr>
          <w:rFonts w:ascii="Arial" w:hAnsi="Arial" w:eastAsia="Arial"/>
          <w:color w:val="1F2937"/>
          <w:sz w:val="20"/>
        </w:rPr>
        <w:t>This addresses the California protective communications and the broader acute crisis response.</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The friend may help with immediate support, but warning the friend alone does not discharge the protective duty.</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A written withdrawal does not erase the threat or replace risk assessment and protective action.</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When a serious threat is specific and actionable, protective communication and crisis management occur together.</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L - Legal duty. Protect the identifiable victim and activate the crisis response without relying on informal monitoring alone.</w:t>
            </w:r>
          </w:p>
        </w:tc>
      </w:tr>
    </w:tbl>
    <w:p>
      <w:pPr>
        <w:spacing w:after="0"/>
      </w:pPr>
    </w:p>
    <w:p>
      <w:r>
        <w:br w:type="page"/>
      </w:r>
    </w:p>
    <w:p>
      <w:pPr>
        <w:pStyle w:val="Heading2"/>
        <w:spacing w:before="0" w:after="60"/>
      </w:pPr>
      <w:r>
        <w:rPr>
          <w:rFonts w:ascii="Arial" w:hAnsi="Arial" w:eastAsia="Arial"/>
          <w:b/>
          <w:color w:val="159C9C"/>
          <w:sz w:val="26"/>
        </w:rPr>
        <w:t>Question 12 (LPCC-WB04-PB-Q012)</w:t>
      </w:r>
    </w:p>
    <w:p>
      <w:pPr>
        <w:spacing w:before="100" w:after="40"/>
        <w:keepNext/>
      </w:pPr>
      <w:r>
        <w:rPr>
          <w:rFonts w:ascii="Arial" w:hAnsi="Arial" w:eastAsia="Arial"/>
          <w:b/>
          <w:color w:val="1F7A8C"/>
          <w:sz w:val="17"/>
        </w:rPr>
        <w:t>LPCC-WB04-PB-Q012 | Integrated Clinical Reasoning | Difficult | Primary concept: Managing simultaneous crisis and reporting duties</w:t>
      </w:r>
    </w:p>
    <w:p>
      <w:pPr>
        <w:spacing w:after="60" w:line="250" w:lineRule="auto"/>
      </w:pPr>
      <w:r>
        <w:rPr>
          <w:rFonts w:ascii="Arial" w:hAnsi="Arial" w:eastAsia="Arial"/>
          <w:b/>
          <w:color w:val="1F2937"/>
          <w:sz w:val="20"/>
        </w:rPr>
        <w:t>Which plan BEST organizes the counselor’s response to the combined facts?</w:t>
      </w:r>
    </w:p>
    <w:p>
      <w:pPr>
        <w:spacing w:after="40"/>
        <w:ind w:left="230" w:hanging="230"/>
      </w:pPr>
      <w:r>
        <w:rPr>
          <w:rFonts w:ascii="Arial" w:hAnsi="Arial" w:eastAsia="Arial"/>
          <w:sz w:val="20"/>
        </w:rPr>
        <w:t>A. Keep Leah engaged, activate emergency response, communicate the serious threat to Daniel and law enforcement, make the child-abuse report, share only information necessary for each duty, document the sequence and rationale, and confirm handoffs.</w:t>
      </w:r>
    </w:p>
    <w:p>
      <w:pPr>
        <w:spacing w:after="40"/>
        <w:ind w:left="230" w:hanging="230"/>
      </w:pPr>
      <w:r>
        <w:rPr>
          <w:rFonts w:ascii="Arial" w:hAnsi="Arial" w:eastAsia="Arial"/>
          <w:sz w:val="20"/>
        </w:rPr>
        <w:t>B. Focus only on Leah’s suicide risk because the counselor should address one duty at a time.</w:t>
      </w:r>
    </w:p>
    <w:p>
      <w:pPr>
        <w:spacing w:after="40"/>
        <w:ind w:left="230" w:hanging="230"/>
      </w:pPr>
      <w:r>
        <w:rPr>
          <w:rFonts w:ascii="Arial" w:hAnsi="Arial" w:eastAsia="Arial"/>
          <w:sz w:val="20"/>
        </w:rPr>
        <w:t>C. Complete the child-abuse written report before initiating any emergency response.</w:t>
      </w:r>
    </w:p>
    <w:p>
      <w:pPr>
        <w:spacing w:after="40"/>
        <w:ind w:left="230" w:hanging="230"/>
      </w:pPr>
      <w:r>
        <w:rPr>
          <w:rFonts w:ascii="Arial" w:hAnsi="Arial" w:eastAsia="Arial"/>
          <w:sz w:val="20"/>
        </w:rPr>
        <w:t>D. End the call after notifying the clinic supervisor and allow the supervisor to decide what to do.</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A. Keep Leah engaged, activate emergency response, communicate the serious threat to Daniel and law enforcement, make the child-abuse report, share only information necessary for each duty, document the sequence and rationale, and confirm handoffs.</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F7A8C"/>
          <w:sz w:val="20"/>
        </w:rPr>
        <w:t xml:space="preserve">A. </w:t>
      </w:r>
      <w:r>
        <w:rPr>
          <w:rFonts w:ascii="Arial" w:hAnsi="Arial" w:eastAsia="Arial"/>
          <w:b/>
          <w:color w:val="1F7A8C"/>
          <w:sz w:val="20"/>
        </w:rPr>
        <w:t xml:space="preserve">Correct. </w:t>
      </w:r>
      <w:r>
        <w:rPr>
          <w:rFonts w:ascii="Arial" w:hAnsi="Arial" w:eastAsia="Arial"/>
          <w:color w:val="1F2937"/>
          <w:sz w:val="20"/>
        </w:rPr>
        <w:t>This sequences immediate safety, duty to protect, mandated reporting, minimum necessary disclosure, documentation, and confirmed handoff without unnecessary delay.</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The threat and child-safety facts create parallel obligations that cannot be ignored.</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Administrative paperwork must not delay emergency action or the initial required reports.</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Consultation may support care, but it does not transfer the counselor’s immediate duties.</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Complex crisis items often require parallel action. Choose the option that addresses every activated duty in a safe sequence.</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S - Safety / sequence. Handle simultaneous duties in parallel while preserving engagement, minimum necessary disclosure, and confirmed handoff.</w:t>
            </w:r>
          </w:p>
        </w:tc>
      </w:tr>
    </w:tbl>
    <w:p>
      <w:pPr>
        <w:spacing w:after="0"/>
      </w:pPr>
    </w:p>
    <w:p>
      <w:r>
        <w:br w:type="page"/>
      </w:r>
    </w:p>
    <w:p>
      <w:pPr>
        <w:pStyle w:val="Heading2"/>
        <w:spacing w:before="0" w:after="60"/>
      </w:pPr>
      <w:r>
        <w:rPr>
          <w:rFonts w:ascii="Arial" w:hAnsi="Arial" w:eastAsia="Arial"/>
          <w:b/>
          <w:color w:val="159C9C"/>
          <w:sz w:val="26"/>
        </w:rPr>
        <w:t>Question 13 (LPCC-WB04-PB-Q013)</w:t>
      </w:r>
    </w:p>
    <w:p>
      <w:pPr>
        <w:spacing w:before="100" w:after="40"/>
        <w:keepNext/>
      </w:pPr>
      <w:r>
        <w:rPr>
          <w:rFonts w:ascii="Arial" w:hAnsi="Arial" w:eastAsia="Arial"/>
          <w:b/>
          <w:color w:val="1F7A8C"/>
          <w:sz w:val="17"/>
        </w:rPr>
        <w:t>LPCC-WB04-PB-Q013 | Application | Moderate | Primary concept: Adult IPV and reporting distinctions</w:t>
      </w:r>
    </w:p>
    <w:p>
      <w:pPr>
        <w:spacing w:after="60" w:line="250" w:lineRule="auto"/>
      </w:pPr>
      <w:r>
        <w:rPr>
          <w:rFonts w:ascii="Arial" w:hAnsi="Arial" w:eastAsia="Arial"/>
          <w:b/>
          <w:color w:val="1F2937"/>
          <w:sz w:val="20"/>
        </w:rPr>
        <w:t>Leah also reports that Daniel struck her yesterday. Which statement is MOST accurate?</w:t>
      </w:r>
    </w:p>
    <w:p>
      <w:pPr>
        <w:spacing w:after="40"/>
        <w:ind w:left="230" w:hanging="230"/>
      </w:pPr>
      <w:r>
        <w:rPr>
          <w:rFonts w:ascii="Arial" w:hAnsi="Arial" w:eastAsia="Arial"/>
          <w:sz w:val="20"/>
        </w:rPr>
        <w:t>A. Every disclosure of intimate-partner violence by a competent adult creates the same mandated-reporting duty as child abuse.</w:t>
      </w:r>
    </w:p>
    <w:p>
      <w:pPr>
        <w:spacing w:after="40"/>
        <w:ind w:left="230" w:hanging="230"/>
      </w:pPr>
      <w:r>
        <w:rPr>
          <w:rFonts w:ascii="Arial" w:hAnsi="Arial" w:eastAsia="Arial"/>
          <w:sz w:val="20"/>
        </w:rPr>
        <w:t>B. The counselor should disclose Leah’s entire treatment record to law enforcement because violence occurred.</w:t>
      </w:r>
    </w:p>
    <w:p>
      <w:pPr>
        <w:spacing w:after="40"/>
        <w:ind w:left="230" w:hanging="230"/>
      </w:pPr>
      <w:r>
        <w:rPr>
          <w:rFonts w:ascii="Arial" w:hAnsi="Arial" w:eastAsia="Arial"/>
          <w:sz w:val="20"/>
        </w:rPr>
        <w:t>C. The counselor should avoid asking about the assault because the duty-to-protect response already addresses all safety issues.</w:t>
      </w:r>
    </w:p>
    <w:p>
      <w:pPr>
        <w:spacing w:after="40"/>
        <w:ind w:left="230" w:hanging="230"/>
      </w:pPr>
      <w:r>
        <w:rPr>
          <w:rFonts w:ascii="Arial" w:hAnsi="Arial" w:eastAsia="Arial"/>
          <w:sz w:val="20"/>
        </w:rPr>
        <w:t>D. The counselor should assess injuries, immediate danger, coercion, stalking or technology risk, Mateo’s exposure, medical needs, and Leah’s choices, while applying any specific reporting or protective duties actually triggered by the facts.</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D. The counselor should assess injuries, immediate danger, coercion, stalking or technology risk, Mateo’s exposure, medical needs, and Leah’s choices, while applying any specific reporting or protective duties actually triggered by the facts.</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Adult IPV does not automatically create the same reporting framework as child abuse in every counseling situation.</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Disclosure should be limited to what is authorized or legally required, not the entire record.</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The assault may create additional medical, safety, child-exposure, and planning needs that require assessment.</w:t>
      </w:r>
    </w:p>
    <w:p>
      <w:pPr>
        <w:spacing w:after="60" w:line="250" w:lineRule="auto"/>
        <w:ind w:left="173" w:hanging="173"/>
      </w:pPr>
      <w:r>
        <w:rPr>
          <w:rFonts w:ascii="Arial" w:hAnsi="Arial" w:eastAsia="Arial"/>
          <w:b/>
          <w:color w:val="1F7A8C"/>
          <w:sz w:val="20"/>
        </w:rPr>
        <w:t xml:space="preserve">D. </w:t>
      </w:r>
      <w:r>
        <w:rPr>
          <w:rFonts w:ascii="Arial" w:hAnsi="Arial" w:eastAsia="Arial"/>
          <w:b/>
          <w:color w:val="1F7A8C"/>
          <w:sz w:val="20"/>
        </w:rPr>
        <w:t xml:space="preserve">Correct. </w:t>
      </w:r>
      <w:r>
        <w:rPr>
          <w:rFonts w:ascii="Arial" w:hAnsi="Arial" w:eastAsia="Arial"/>
          <w:color w:val="1F2937"/>
          <w:sz w:val="20"/>
        </w:rPr>
        <w:t>This preserves autonomy while identifying any separate legal duty, immediate danger, and practical safety needs.</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Do not assume that all violence disclosures activate identical laws. Identify the protected category, facts, and specific duty.</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L - Legal duty. Assess adult IPV comprehensively and apply only the reporting or protective duties actually supported by the facts.</w:t>
            </w:r>
          </w:p>
        </w:tc>
      </w:tr>
    </w:tbl>
    <w:p>
      <w:pPr>
        <w:spacing w:after="0"/>
      </w:pPr>
    </w:p>
    <w:p>
      <w:r>
        <w:br w:type="page"/>
      </w:r>
    </w:p>
    <w:p>
      <w:pPr>
        <w:pStyle w:val="Heading2"/>
        <w:spacing w:before="0" w:after="60"/>
      </w:pPr>
      <w:r>
        <w:rPr>
          <w:rFonts w:ascii="Arial" w:hAnsi="Arial" w:eastAsia="Arial"/>
          <w:b/>
          <w:color w:val="159C9C"/>
          <w:sz w:val="26"/>
        </w:rPr>
        <w:t>Question 14 (LPCC-WB04-PB-Q014)</w:t>
      </w:r>
    </w:p>
    <w:p>
      <w:pPr>
        <w:spacing w:before="100" w:after="40"/>
        <w:keepNext/>
      </w:pPr>
      <w:r>
        <w:rPr>
          <w:rFonts w:ascii="Arial" w:hAnsi="Arial" w:eastAsia="Arial"/>
          <w:b/>
          <w:color w:val="1F7A8C"/>
          <w:sz w:val="17"/>
        </w:rPr>
        <w:t>LPCC-WB04-PB-Q014 | Application | Easy | Primary concept: Medical and neurological emergency</w:t>
      </w:r>
    </w:p>
    <w:p>
      <w:pPr>
        <w:spacing w:after="60" w:line="250" w:lineRule="auto"/>
      </w:pPr>
      <w:r>
        <w:rPr>
          <w:rFonts w:ascii="Arial" w:hAnsi="Arial" w:eastAsia="Arial"/>
          <w:b/>
          <w:color w:val="1F2937"/>
          <w:sz w:val="20"/>
        </w:rPr>
        <w:t>What should the counselor do FIRST in response to the new symptoms?</w:t>
      </w:r>
    </w:p>
    <w:p>
      <w:pPr>
        <w:spacing w:after="40"/>
        <w:ind w:left="230" w:hanging="230"/>
      </w:pPr>
      <w:r>
        <w:rPr>
          <w:rFonts w:ascii="Arial" w:hAnsi="Arial" w:eastAsia="Arial"/>
          <w:sz w:val="20"/>
        </w:rPr>
        <w:t>A. Continue the psychiatric interview until the mobile crisis team arrives.</w:t>
      </w:r>
    </w:p>
    <w:p>
      <w:pPr>
        <w:spacing w:after="40"/>
        <w:ind w:left="230" w:hanging="230"/>
      </w:pPr>
      <w:r>
        <w:rPr>
          <w:rFonts w:ascii="Arial" w:hAnsi="Arial" w:eastAsia="Arial"/>
          <w:sz w:val="20"/>
        </w:rPr>
        <w:t>B. Activate emergency medical response immediately, provide the location and known head-injury, alcohol, and medication information, and keep Leah supervised and connected if feasible.</w:t>
      </w:r>
    </w:p>
    <w:p>
      <w:pPr>
        <w:spacing w:after="40"/>
        <w:ind w:left="230" w:hanging="230"/>
      </w:pPr>
      <w:r>
        <w:rPr>
          <w:rFonts w:ascii="Arial" w:hAnsi="Arial" w:eastAsia="Arial"/>
          <w:sz w:val="20"/>
        </w:rPr>
        <w:t>C. Ask Leah to sleep at the friend’s apartment and reassess in the morning.</w:t>
      </w:r>
    </w:p>
    <w:p>
      <w:pPr>
        <w:spacing w:after="40"/>
        <w:ind w:left="230" w:hanging="230"/>
      </w:pPr>
      <w:r>
        <w:rPr>
          <w:rFonts w:ascii="Arial" w:hAnsi="Arial" w:eastAsia="Arial"/>
          <w:sz w:val="20"/>
        </w:rPr>
        <w:t>D. Interpret the symptoms as trauma-related dissociation and begin grounding exercises only.</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B. Activate emergency medical response immediately, provide the location and known head-injury, alcohol, and medication information, and keep Leah supervised and connected if feasible.</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The new symptoms indicate possible medical or neurological compromise and should not wait for a routine psychiatric interview.</w:t>
      </w:r>
    </w:p>
    <w:p>
      <w:pPr>
        <w:spacing w:after="60" w:line="250" w:lineRule="auto"/>
        <w:ind w:left="173" w:hanging="173"/>
      </w:pPr>
      <w:r>
        <w:rPr>
          <w:rFonts w:ascii="Arial" w:hAnsi="Arial" w:eastAsia="Arial"/>
          <w:b/>
          <w:color w:val="1F7A8C"/>
          <w:sz w:val="20"/>
        </w:rPr>
        <w:t xml:space="preserve">B. </w:t>
      </w:r>
      <w:r>
        <w:rPr>
          <w:rFonts w:ascii="Arial" w:hAnsi="Arial" w:eastAsia="Arial"/>
          <w:b/>
          <w:color w:val="1F7A8C"/>
          <w:sz w:val="20"/>
        </w:rPr>
        <w:t xml:space="preserve">Correct. </w:t>
      </w:r>
      <w:r>
        <w:rPr>
          <w:rFonts w:ascii="Arial" w:hAnsi="Arial" w:eastAsia="Arial"/>
          <w:color w:val="1F2937"/>
          <w:sz w:val="20"/>
        </w:rPr>
        <w:t>This prioritizes urgent medical assessment while preserving supervision and a useful handoff.</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Allowing sleep without assessment could be dangerous after head injury, sedative use, alcohol, and altered mental status.</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Grounding may be supportive, but it cannot substitute for emergency medical evaluation of these red flags.</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When altered mental status and neurological signs appear, do not force a psychiatric explanation onto a possible medical emergency.</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D - Differential / medical urgency. Activate medical evaluation when neurological signs, head injury, substances, or declining consciousness are present.</w:t>
            </w:r>
          </w:p>
        </w:tc>
      </w:tr>
    </w:tbl>
    <w:p>
      <w:pPr>
        <w:spacing w:after="0"/>
      </w:pPr>
    </w:p>
    <w:p>
      <w:r>
        <w:br w:type="page"/>
      </w:r>
    </w:p>
    <w:p>
      <w:pPr>
        <w:pStyle w:val="Heading2"/>
        <w:spacing w:before="0" w:after="60"/>
      </w:pPr>
      <w:r>
        <w:rPr>
          <w:rFonts w:ascii="Arial" w:hAnsi="Arial" w:eastAsia="Arial"/>
          <w:b/>
          <w:color w:val="159C9C"/>
          <w:sz w:val="26"/>
        </w:rPr>
        <w:t>Question 15 (LPCC-WB04-PB-Q015)</w:t>
      </w:r>
    </w:p>
    <w:p>
      <w:pPr>
        <w:spacing w:before="100" w:after="40"/>
        <w:keepNext/>
      </w:pPr>
      <w:r>
        <w:rPr>
          <w:rFonts w:ascii="Arial" w:hAnsi="Arial" w:eastAsia="Arial"/>
          <w:b/>
          <w:color w:val="1F7A8C"/>
          <w:sz w:val="17"/>
        </w:rPr>
        <w:t>LPCC-WB04-PB-Q015 | Knowledge &amp; Application | Moderate | Primary concept: California 5150 authority and scope</w:t>
      </w:r>
    </w:p>
    <w:p>
      <w:pPr>
        <w:spacing w:after="60" w:line="250" w:lineRule="auto"/>
      </w:pPr>
      <w:r>
        <w:rPr>
          <w:rFonts w:ascii="Arial" w:hAnsi="Arial" w:eastAsia="Arial"/>
          <w:b/>
          <w:color w:val="1F2937"/>
          <w:sz w:val="20"/>
        </w:rPr>
        <w:t>Which statement BEST reflects the counselor’s role regarding a possible 72-hour detention?</w:t>
      </w:r>
    </w:p>
    <w:p>
      <w:pPr>
        <w:spacing w:after="40"/>
        <w:ind w:left="230" w:hanging="230"/>
      </w:pPr>
      <w:r>
        <w:rPr>
          <w:rFonts w:ascii="Arial" w:hAnsi="Arial" w:eastAsia="Arial"/>
          <w:sz w:val="20"/>
        </w:rPr>
        <w:t>A. The counselor should arrange evaluation through an authorized peace officer, designated crisis professional, or designated facility process rather than claiming detention authority the counselor does not possess.</w:t>
      </w:r>
    </w:p>
    <w:p>
      <w:pPr>
        <w:spacing w:after="40"/>
        <w:ind w:left="230" w:hanging="230"/>
      </w:pPr>
      <w:r>
        <w:rPr>
          <w:rFonts w:ascii="Arial" w:hAnsi="Arial" w:eastAsia="Arial"/>
          <w:sz w:val="20"/>
        </w:rPr>
        <w:t>B. Every California LPCC may initiate a 5150 detention solely because the LPCC is licensed.</w:t>
      </w:r>
    </w:p>
    <w:p>
      <w:pPr>
        <w:spacing w:after="40"/>
        <w:ind w:left="230" w:hanging="230"/>
      </w:pPr>
      <w:r>
        <w:rPr>
          <w:rFonts w:ascii="Arial" w:hAnsi="Arial" w:eastAsia="Arial"/>
          <w:sz w:val="20"/>
        </w:rPr>
        <w:t>C. The counselor must avoid contacting any crisis system unless the client first signs a written release.</w:t>
      </w:r>
    </w:p>
    <w:p>
      <w:pPr>
        <w:spacing w:after="40"/>
        <w:ind w:left="230" w:hanging="230"/>
      </w:pPr>
      <w:r>
        <w:rPr>
          <w:rFonts w:ascii="Arial" w:hAnsi="Arial" w:eastAsia="Arial"/>
          <w:sz w:val="20"/>
        </w:rPr>
        <w:t>D. Only a psychiatrist may participate in any decision about emergency evaluation.</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A. The counselor should arrange evaluation through an authorized peace officer, designated crisis professional, or designated facility process rather than claiming detention authority the counselor does not possess.</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F7A8C"/>
          <w:sz w:val="20"/>
        </w:rPr>
        <w:t xml:space="preserve">A. </w:t>
      </w:r>
      <w:r>
        <w:rPr>
          <w:rFonts w:ascii="Arial" w:hAnsi="Arial" w:eastAsia="Arial"/>
          <w:b/>
          <w:color w:val="1F7A8C"/>
          <w:sz w:val="20"/>
        </w:rPr>
        <w:t xml:space="preserve">Correct. </w:t>
      </w:r>
      <w:r>
        <w:rPr>
          <w:rFonts w:ascii="Arial" w:hAnsi="Arial" w:eastAsia="Arial"/>
          <w:color w:val="1F2937"/>
          <w:sz w:val="20"/>
        </w:rPr>
        <w:t>California identifies specified authorized persons and county-designated professionals. The counselor should use the available authorized pathway within role and setting.</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LPCC licensure alone does not automatically confer county detention authority.</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Emergency and protective disclosures may be permitted or required without a routine release when legal conditions are met.</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Several authorized roles may initiate or support the process; it is not limited to psychiatrists.</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Know the difference between recognizing the need for emergency evaluation and personally possessing statutory detention authority.</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A - Authority / scope. Use the authorized local crisis pathway; do not overstate or abandon your role.</w:t>
            </w:r>
          </w:p>
        </w:tc>
      </w:tr>
    </w:tbl>
    <w:p>
      <w:pPr>
        <w:spacing w:after="0"/>
      </w:pPr>
    </w:p>
    <w:p>
      <w:r>
        <w:br w:type="page"/>
      </w:r>
    </w:p>
    <w:p>
      <w:pPr>
        <w:pStyle w:val="Heading2"/>
        <w:spacing w:before="0" w:after="60"/>
      </w:pPr>
      <w:r>
        <w:rPr>
          <w:rFonts w:ascii="Arial" w:hAnsi="Arial" w:eastAsia="Arial"/>
          <w:b/>
          <w:color w:val="159C9C"/>
          <w:sz w:val="26"/>
        </w:rPr>
        <w:t>Question 16 (LPCC-WB04-PB-Q016)</w:t>
      </w:r>
    </w:p>
    <w:p>
      <w:pPr>
        <w:spacing w:before="100" w:after="40"/>
        <w:keepNext/>
      </w:pPr>
      <w:r>
        <w:rPr>
          <w:rFonts w:ascii="Arial" w:hAnsi="Arial" w:eastAsia="Arial"/>
          <w:b/>
          <w:color w:val="1F7A8C"/>
          <w:sz w:val="17"/>
        </w:rPr>
        <w:t>LPCC-WB04-PB-Q016 | Integrated Clinical Reasoning | Difficult | Primary concept: Medical versus psychiatric level of care</w:t>
      </w:r>
    </w:p>
    <w:p>
      <w:pPr>
        <w:spacing w:after="60" w:line="250" w:lineRule="auto"/>
      </w:pPr>
      <w:r>
        <w:rPr>
          <w:rFonts w:ascii="Arial" w:hAnsi="Arial" w:eastAsia="Arial"/>
          <w:b/>
          <w:color w:val="1F2937"/>
          <w:sz w:val="20"/>
        </w:rPr>
        <w:t>Which disposition is MOST appropriate at this point?</w:t>
      </w:r>
    </w:p>
    <w:p>
      <w:pPr>
        <w:spacing w:after="40"/>
        <w:ind w:left="230" w:hanging="230"/>
      </w:pPr>
      <w:r>
        <w:rPr>
          <w:rFonts w:ascii="Arial" w:hAnsi="Arial" w:eastAsia="Arial"/>
          <w:sz w:val="20"/>
        </w:rPr>
        <w:t>A. Routine outpatient follow-up because the friend is present.</w:t>
      </w:r>
    </w:p>
    <w:p>
      <w:pPr>
        <w:spacing w:after="40"/>
        <w:ind w:left="230" w:hanging="230"/>
      </w:pPr>
      <w:r>
        <w:rPr>
          <w:rFonts w:ascii="Arial" w:hAnsi="Arial" w:eastAsia="Arial"/>
          <w:sz w:val="20"/>
        </w:rPr>
        <w:t>B. A counseling-only crisis appointment after Leah becomes less intoxicated.</w:t>
      </w:r>
    </w:p>
    <w:p>
      <w:pPr>
        <w:spacing w:after="40"/>
        <w:ind w:left="230" w:hanging="230"/>
      </w:pPr>
      <w:r>
        <w:rPr>
          <w:rFonts w:ascii="Arial" w:hAnsi="Arial" w:eastAsia="Arial"/>
          <w:sz w:val="20"/>
        </w:rPr>
        <w:t>C. Direct transport only to a nonmedical counseling center because the primary problem is relationship stress.</w:t>
      </w:r>
    </w:p>
    <w:p>
      <w:pPr>
        <w:spacing w:after="40"/>
        <w:ind w:left="230" w:hanging="230"/>
      </w:pPr>
      <w:r>
        <w:rPr>
          <w:rFonts w:ascii="Arial" w:hAnsi="Arial" w:eastAsia="Arial"/>
          <w:sz w:val="20"/>
        </w:rPr>
        <w:t>D. Emergency medical evaluation with concurrent communication of the suicide, violence, and child-safety concerns so that psychiatric and protective needs are not lost during the medical handoff.</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D. Emergency medical evaluation with concurrent communication of the suicide, violence, and child-safety concerns so that psychiatric and protective needs are not lost during the medical handoff.</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Friend presence does not resolve altered mental status, possible head injury, sedative-alcohol interaction, and acute behavioral risk.</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Waiting for symptoms to improve without medical evaluation is unsafe.</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A nonmedical setting may be unable to evaluate the neurological and substance-related emergency.</w:t>
      </w:r>
    </w:p>
    <w:p>
      <w:pPr>
        <w:spacing w:after="60" w:line="250" w:lineRule="auto"/>
        <w:ind w:left="173" w:hanging="173"/>
      </w:pPr>
      <w:r>
        <w:rPr>
          <w:rFonts w:ascii="Arial" w:hAnsi="Arial" w:eastAsia="Arial"/>
          <w:b/>
          <w:color w:val="1F7A8C"/>
          <w:sz w:val="20"/>
        </w:rPr>
        <w:t xml:space="preserve">D. </w:t>
      </w:r>
      <w:r>
        <w:rPr>
          <w:rFonts w:ascii="Arial" w:hAnsi="Arial" w:eastAsia="Arial"/>
          <w:b/>
          <w:color w:val="1F7A8C"/>
          <w:sz w:val="20"/>
        </w:rPr>
        <w:t xml:space="preserve">Correct. </w:t>
      </w:r>
      <w:r>
        <w:rPr>
          <w:rFonts w:ascii="Arial" w:hAnsi="Arial" w:eastAsia="Arial"/>
          <w:color w:val="1F2937"/>
          <w:sz w:val="20"/>
        </w:rPr>
        <w:t>This prioritizes the most urgent medical need while preserving the psychiatric and protective information required for safe continuity.</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Level-of-care decisions should follow the most urgent condition without dropping the other active risks during transfer.</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P - Proportionality / level of care. Choose a setting capable of addressing the immediate medical danger and communicate the concurrent psychiatric and protective risks.</w:t>
            </w:r>
          </w:p>
        </w:tc>
      </w:tr>
    </w:tbl>
    <w:p>
      <w:pPr>
        <w:spacing w:after="0"/>
      </w:pPr>
    </w:p>
    <w:p>
      <w:r>
        <w:br w:type="page"/>
      </w:r>
    </w:p>
    <w:p>
      <w:pPr>
        <w:pStyle w:val="Heading2"/>
        <w:spacing w:before="0" w:after="60"/>
      </w:pPr>
      <w:r>
        <w:rPr>
          <w:rFonts w:ascii="Arial" w:hAnsi="Arial" w:eastAsia="Arial"/>
          <w:b/>
          <w:color w:val="159C9C"/>
          <w:sz w:val="26"/>
        </w:rPr>
        <w:t>Question 17 (LPCC-WB04-PB-Q017)</w:t>
      </w:r>
    </w:p>
    <w:p>
      <w:pPr>
        <w:spacing w:before="100" w:after="40"/>
        <w:keepNext/>
      </w:pPr>
      <w:r>
        <w:rPr>
          <w:rFonts w:ascii="Arial" w:hAnsi="Arial" w:eastAsia="Arial"/>
          <w:b/>
          <w:color w:val="1F7A8C"/>
          <w:sz w:val="17"/>
        </w:rPr>
        <w:t>LPCC-WB04-PB-Q017 | Integrated Clinical Reasoning | Difficult | Primary concept: Handoff, documentation, and continuity</w:t>
      </w:r>
    </w:p>
    <w:p>
      <w:pPr>
        <w:spacing w:after="60" w:line="250" w:lineRule="auto"/>
      </w:pPr>
      <w:r>
        <w:rPr>
          <w:rFonts w:ascii="Arial" w:hAnsi="Arial" w:eastAsia="Arial"/>
          <w:b/>
          <w:color w:val="1F2937"/>
          <w:sz w:val="20"/>
        </w:rPr>
        <w:t>After emergency transport is confirmed, what should the counselor do NEXT?</w:t>
      </w:r>
    </w:p>
    <w:p>
      <w:pPr>
        <w:spacing w:after="40"/>
        <w:ind w:left="230" w:hanging="230"/>
      </w:pPr>
      <w:r>
        <w:rPr>
          <w:rFonts w:ascii="Arial" w:hAnsi="Arial" w:eastAsia="Arial"/>
          <w:sz w:val="20"/>
        </w:rPr>
        <w:t>A. Delete the session notes because emergency responders now control the case.</w:t>
      </w:r>
    </w:p>
    <w:p>
      <w:pPr>
        <w:spacing w:after="40"/>
        <w:ind w:left="230" w:hanging="230"/>
      </w:pPr>
      <w:r>
        <w:rPr>
          <w:rFonts w:ascii="Arial" w:hAnsi="Arial" w:eastAsia="Arial"/>
          <w:sz w:val="20"/>
        </w:rPr>
        <w:t>B. Assume the hospital will obtain all needed information from Leah and end all follow-up.</w:t>
      </w:r>
    </w:p>
    <w:p>
      <w:pPr>
        <w:spacing w:after="40"/>
        <w:ind w:left="230" w:hanging="230"/>
      </w:pPr>
      <w:r>
        <w:rPr>
          <w:rFonts w:ascii="Arial" w:hAnsi="Arial" w:eastAsia="Arial"/>
          <w:sz w:val="20"/>
        </w:rPr>
        <w:t>C. Document the observed and reported facts, risk formulation, consultations, disclosures, reports, responders contacted, handoff confirmation, and planned follow-up; then coordinate and reassess within authorization or lawful authority after stabilization.</w:t>
      </w:r>
    </w:p>
    <w:p>
      <w:pPr>
        <w:spacing w:after="40"/>
        <w:ind w:left="230" w:hanging="230"/>
      </w:pPr>
      <w:r>
        <w:rPr>
          <w:rFonts w:ascii="Arial" w:hAnsi="Arial" w:eastAsia="Arial"/>
          <w:sz w:val="20"/>
        </w:rPr>
        <w:t>D. Resume the original treatment plan at the next visit without considering the emergency findings.</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C. Document the observed and reported facts, risk formulation, consultations, disclosures, reports, responders contacted, handoff confirmation, and planned follow-up; then coordinate and reassess within authorization or lawful authority after stabilization.</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The counselor remains responsible for accurate documentation and continuity of care.</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A transfer does not eliminate the need for a confirmed handoff, lawful coordination, and follow-up planning.</w:t>
      </w:r>
    </w:p>
    <w:p>
      <w:pPr>
        <w:spacing w:after="60" w:line="250" w:lineRule="auto"/>
        <w:ind w:left="173" w:hanging="173"/>
      </w:pPr>
      <w:r>
        <w:rPr>
          <w:rFonts w:ascii="Arial" w:hAnsi="Arial" w:eastAsia="Arial"/>
          <w:b/>
          <w:color w:val="1F7A8C"/>
          <w:sz w:val="20"/>
        </w:rPr>
        <w:t xml:space="preserve">C. </w:t>
      </w:r>
      <w:r>
        <w:rPr>
          <w:rFonts w:ascii="Arial" w:hAnsi="Arial" w:eastAsia="Arial"/>
          <w:b/>
          <w:color w:val="1F7A8C"/>
          <w:sz w:val="20"/>
        </w:rPr>
        <w:t xml:space="preserve">Correct. </w:t>
      </w:r>
      <w:r>
        <w:rPr>
          <w:rFonts w:ascii="Arial" w:hAnsi="Arial" w:eastAsia="Arial"/>
          <w:color w:val="1F2937"/>
          <w:sz w:val="20"/>
        </w:rPr>
        <w:t>This creates a defensible record, supports continuity, and allows new medical and crisis information to update the plan.</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The emergency may materially change diagnosis, risk, level of care, modality, and treatment priorities.</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A crisis response is incomplete until the handoff, documentation, and follow-up plan are confirmed.</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C - Continuity / documentation. Record the decision pathway and reassess after stabilization rather than assuming either closure or an unchanged plan.</w:t>
            </w:r>
          </w:p>
        </w:tc>
      </w:tr>
    </w:tbl>
    <w:p>
      <w:pPr>
        <w:spacing w:after="0"/>
      </w:pPr>
    </w:p>
    <w:p>
      <w:r>
        <w:br w:type="page"/>
      </w:r>
    </w:p>
    <w:p>
      <w:pPr>
        <w:pStyle w:val="Heading2"/>
        <w:spacing w:before="140" w:after="80"/>
        <w:keepNext/>
      </w:pPr>
      <w:r>
        <w:rPr>
          <w:rFonts w:ascii="Arial" w:hAnsi="Arial" w:eastAsia="Arial"/>
          <w:b/>
          <w:color w:val="159C9C"/>
          <w:sz w:val="26"/>
        </w:rPr>
        <w:t>Score and Remediation Summary</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403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Measure</w:t>
            </w:r>
          </w:p>
        </w:tc>
        <w:tc>
          <w:tcPr>
            <w:tcW w:type="dxa" w:w="648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Result</w:t>
            </w:r>
          </w:p>
        </w:tc>
      </w:tr>
      <w:tr>
        <w:trPr>
          <w:cantSplit/>
        </w:trPr>
        <w:tc>
          <w:tcPr>
            <w:tcW w:type="dxa" w:w="403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Total score</w:t>
            </w:r>
          </w:p>
        </w:tc>
        <w:tc>
          <w:tcPr>
            <w:tcW w:type="dxa" w:w="64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 / 17</w:t>
            </w:r>
          </w:p>
        </w:tc>
      </w:tr>
      <w:tr>
        <w:trPr>
          <w:cantSplit/>
        </w:trPr>
        <w:tc>
          <w:tcPr>
            <w:tcW w:type="dxa" w:w="403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Easy items</w:t>
            </w:r>
          </w:p>
        </w:tc>
        <w:tc>
          <w:tcPr>
            <w:tcW w:type="dxa" w:w="64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 / 5</w:t>
            </w:r>
          </w:p>
        </w:tc>
      </w:tr>
      <w:tr>
        <w:trPr>
          <w:cantSplit/>
        </w:trPr>
        <w:tc>
          <w:tcPr>
            <w:tcW w:type="dxa" w:w="403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Moderate items</w:t>
            </w:r>
          </w:p>
        </w:tc>
        <w:tc>
          <w:tcPr>
            <w:tcW w:type="dxa" w:w="64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 / 7</w:t>
            </w:r>
          </w:p>
        </w:tc>
      </w:tr>
      <w:tr>
        <w:trPr>
          <w:cantSplit/>
        </w:trPr>
        <w:tc>
          <w:tcPr>
            <w:tcW w:type="dxa" w:w="403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Difficult items</w:t>
            </w:r>
          </w:p>
        </w:tc>
        <w:tc>
          <w:tcPr>
            <w:tcW w:type="dxa" w:w="64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 / 5</w:t>
            </w:r>
          </w:p>
        </w:tc>
      </w:tr>
      <w:tr>
        <w:trPr>
          <w:cantSplit/>
        </w:trPr>
        <w:tc>
          <w:tcPr>
            <w:tcW w:type="dxa" w:w="403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Low-confidence correct answers</w:t>
            </w:r>
          </w:p>
        </w:tc>
        <w:tc>
          <w:tcPr>
            <w:tcW w:type="dxa" w:w="64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w:t>
            </w:r>
          </w:p>
        </w:tc>
      </w:tr>
      <w:tr>
        <w:trPr>
          <w:cantSplit/>
        </w:trPr>
        <w:tc>
          <w:tcPr>
            <w:tcW w:type="dxa" w:w="403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Most frequent error code</w:t>
            </w:r>
          </w:p>
        </w:tc>
        <w:tc>
          <w:tcPr>
            <w:tcW w:type="dxa" w:w="64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w:t>
            </w:r>
          </w:p>
        </w:tc>
      </w:tr>
      <w:tr>
        <w:trPr>
          <w:cantSplit/>
        </w:trPr>
        <w:tc>
          <w:tcPr>
            <w:tcW w:type="dxa" w:w="403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Time used</w:t>
            </w:r>
          </w:p>
        </w:tc>
        <w:tc>
          <w:tcPr>
            <w:tcW w:type="dxa" w:w="64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 minutes</w:t>
            </w:r>
          </w:p>
        </w:tc>
      </w:tr>
      <w:tr>
        <w:trPr>
          <w:cantSplit/>
        </w:trPr>
        <w:tc>
          <w:tcPr>
            <w:tcW w:type="dxa" w:w="403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One demonstrated strength</w:t>
            </w:r>
          </w:p>
        </w:tc>
        <w:tc>
          <w:tcPr>
            <w:tcW w:type="dxa" w:w="64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________________________________________</w:t>
            </w:r>
          </w:p>
        </w:tc>
      </w:tr>
      <w:tr>
        <w:trPr>
          <w:cantSplit/>
        </w:trPr>
        <w:tc>
          <w:tcPr>
            <w:tcW w:type="dxa" w:w="403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One priority for remediation</w:t>
            </w:r>
          </w:p>
        </w:tc>
        <w:tc>
          <w:tcPr>
            <w:tcW w:type="dxa" w:w="64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________________________________________</w:t>
            </w:r>
          </w:p>
        </w:tc>
      </w:tr>
    </w:tbl>
    <w:p>
      <w:pPr>
        <w:spacing w:after="0"/>
      </w:pPr>
    </w:p>
    <w:p>
      <w:pPr>
        <w:pStyle w:val="Heading2"/>
        <w:spacing w:before="140" w:after="80"/>
        <w:keepNext/>
      </w:pPr>
      <w:r>
        <w:rPr>
          <w:rFonts w:ascii="Arial" w:hAnsi="Arial" w:eastAsia="Arial"/>
          <w:b/>
          <w:color w:val="159C9C"/>
          <w:sz w:val="26"/>
        </w:rPr>
        <w:t>Correction-Rule Log</w:t>
      </w:r>
    </w:p>
    <w:tbl>
      <w:tblPr>
        <w:tblW w:type="auto" w:w="0"/>
        <w:jc w:val="center"/>
        <w:tblLayout w:type="fixed"/>
        <w:tblLook w:firstColumn="1" w:firstRow="1" w:lastColumn="0" w:lastRow="0" w:noHBand="0" w:noVBand="1" w:val="04A0"/>
      </w:tblPr>
      <w:tblGrid>
        <w:gridCol w:w="2577"/>
        <w:gridCol w:w="2577"/>
        <w:gridCol w:w="2577"/>
        <w:gridCol w:w="2577"/>
      </w:tblGrid>
      <w:tr>
        <w:trPr>
          <w:tblHeader w:val="true"/>
          <w:cantSplit/>
        </w:trPr>
        <w:tc>
          <w:tcPr>
            <w:tcW w:type="dxa" w:w="864"/>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Item</w:t>
            </w:r>
          </w:p>
        </w:tc>
        <w:tc>
          <w:tcPr>
            <w:tcW w:type="dxa" w:w="1296"/>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Error Code</w:t>
            </w:r>
          </w:p>
        </w:tc>
        <w:tc>
          <w:tcPr>
            <w:tcW w:type="dxa" w:w="6768"/>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My Transferable Correction Rule</w:t>
            </w:r>
          </w:p>
        </w:tc>
        <w:tc>
          <w:tcPr>
            <w:tcW w:type="dxa" w:w="1584"/>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New Practice Completed?</w:t>
            </w:r>
          </w:p>
        </w:tc>
      </w:tr>
      <w:tr>
        <w:trPr>
          <w:cantSplit/>
        </w:trPr>
        <w:tc>
          <w:tcPr>
            <w:tcW w:type="dxa" w:w="86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29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676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58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86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29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676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58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86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29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676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58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86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29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676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58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86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29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676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58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86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29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676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58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86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29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676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58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READINESS STANDARD</w:t>
            </w:r>
          </w:p>
          <w:p>
            <w:pPr>
              <w:spacing w:after="20" w:line="250" w:lineRule="auto"/>
            </w:pPr>
            <w:r>
              <w:rPr>
                <w:rFonts w:ascii="Arial" w:hAnsi="Arial" w:eastAsia="Arial"/>
                <w:color w:val="1F2937"/>
                <w:sz w:val="20"/>
              </w:rPr>
              <w:t>Workbook 4 readiness requires disciplined crisis sequencing, direct suicide and violence assessment, timely mandated and protective action, medical differential awareness, proportionate level-of-care decisions, and confirmed handoff and documentation.</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F2F4F7"/>
            <w:tcBorders>
              <w:top w:val="single" w:sz="10" w:color="4E5B6B"/>
              <w:left w:val="single" w:sz="10" w:color="4E5B6B"/>
              <w:bottom w:val="single" w:sz="10" w:color="4E5B6B"/>
              <w:right w:val="single" w:sz="10" w:color="4E5B6B"/>
            </w:tcBorders>
            <w:tcMar>
              <w:top w:w="110" w:type="dxa"/>
              <w:start w:w="140" w:type="dxa"/>
              <w:bottom w:w="110" w:type="dxa"/>
              <w:end w:w="140" w:type="dxa"/>
            </w:tcMar>
          </w:tcPr>
          <w:p>
            <w:pPr>
              <w:spacing w:after="60"/>
            </w:pPr>
            <w:r>
              <w:rPr>
                <w:rFonts w:ascii="Arial" w:hAnsi="Arial" w:eastAsia="Arial"/>
                <w:b/>
                <w:color w:val="17365D"/>
                <w:sz w:val="21"/>
              </w:rPr>
              <w:t>SOURCE AND VERSION CONTROL</w:t>
            </w:r>
          </w:p>
          <w:p>
            <w:pPr>
              <w:spacing w:after="20" w:line="250" w:lineRule="auto"/>
            </w:pPr>
            <w:r>
              <w:rPr>
                <w:rFonts w:ascii="Arial" w:hAnsi="Arial" w:eastAsia="Arial"/>
                <w:color w:val="1F2937"/>
                <w:sz w:val="19"/>
              </w:rPr>
              <w:t>This bank was developed from CTA LPCC Workbook 4 and its verified July 2026 source set, including California Civil Code section 43.92, Penal Code section 11166, Welfare and Institutions Code sections 15630 and 5150, current NCMHCE materials, and the specifications effective July 1, 2027. Re-audit before publication after material legal or examination changes.</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F2F4F7"/>
            <w:tcBorders>
              <w:top w:val="single" w:sz="10" w:color="4E5B6B"/>
              <w:left w:val="single" w:sz="10" w:color="4E5B6B"/>
              <w:bottom w:val="single" w:sz="10" w:color="4E5B6B"/>
              <w:right w:val="single" w:sz="10" w:color="4E5B6B"/>
            </w:tcBorders>
            <w:tcMar>
              <w:top w:w="110" w:type="dxa"/>
              <w:start w:w="140" w:type="dxa"/>
              <w:bottom w:w="110" w:type="dxa"/>
              <w:end w:w="140" w:type="dxa"/>
            </w:tcMar>
          </w:tcPr>
          <w:p>
            <w:pPr>
              <w:spacing w:after="60"/>
            </w:pPr>
            <w:r>
              <w:rPr>
                <w:rFonts w:ascii="Arial" w:hAnsi="Arial" w:eastAsia="Arial"/>
                <w:b/>
                <w:color w:val="17365D"/>
                <w:sz w:val="21"/>
              </w:rPr>
              <w:t>PUBLICATION CONTROL</w:t>
            </w:r>
          </w:p>
          <w:p>
            <w:pPr>
              <w:spacing w:after="20" w:line="250" w:lineRule="auto"/>
            </w:pPr>
            <w:r>
              <w:rPr>
                <w:rFonts w:ascii="Arial" w:hAnsi="Arial" w:eastAsia="Arial"/>
                <w:color w:val="1F2937"/>
                <w:sz w:val="19"/>
              </w:rPr>
              <w:t>This bank is aligned to CTA LPCC Workbook 4 and the LPCC Master Blueprint Crosswalk. Larger comprehensive simulations are developed separately and should not simply combine or repeat workbook-bank items.</w:t>
            </w:r>
          </w:p>
        </w:tc>
      </w:tr>
    </w:tbl>
    <w:p>
      <w:pPr>
        <w:spacing w:after="0"/>
      </w:pPr>
    </w:p>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922" w:right="965" w:bottom="893" w:left="965"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4E5B6B"/>
        <w:sz w:val="16"/>
      </w:rPr>
      <w:t xml:space="preserve">Clinical Training Academy - LPCC WB4 Practice Bank Answer &amp; Rationales v1.0  |  Page </w:t>
    </w:r>
    <w:r>
      <w:rPr>
        <w:rFonts w:ascii="Arial" w:hAnsi="Arial" w:eastAsia="Arial"/>
        <w:color w:val="4E5B6B"/>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56"/>
      <w:gridCol w:w="5256"/>
    </w:tblGrid>
    <w:tr>
      <w:trPr>
        <w:tblHeader w:val="true"/>
      </w:trPr>
      <w:tc>
        <w:tcPr>
          <w:tcW w:type="dxa" w:w="2520"/>
          <w:tcMar>
            <w:top w:w="0" w:type="dxa"/>
            <w:start w:w="0" w:type="dxa"/>
            <w:bottom w:w="0" w:type="dxa"/>
            <w:end w:w="0" w:type="dxa"/>
          </w:tcMar>
        </w:tcPr>
        <w:p>
          <w:pPr>
            <w:spacing w:after="0"/>
          </w:pPr>
          <w:r>
            <w:drawing>
              <wp:inline xmlns:a="http://schemas.openxmlformats.org/drawingml/2006/main" xmlns:pic="http://schemas.openxmlformats.org/drawingml/2006/picture">
                <wp:extent cx="1417320" cy="320220"/>
                <wp:docPr id="1" name="CTA horizontal logo" descr="Clinical Training and Supervision Academy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417320" cy="320220"/>
                        </a:xfrm>
                        <a:prstGeom prst="rect"/>
                      </pic:spPr>
                    </pic:pic>
                  </a:graphicData>
                </a:graphic>
              </wp:inline>
            </w:drawing>
          </w:r>
        </w:p>
      </w:tc>
      <w:tc>
        <w:tcPr>
          <w:tcW w:type="dxa" w:w="7992"/>
          <w:tcMar>
            <w:top w:w="0" w:type="dxa"/>
            <w:start w:w="0" w:type="dxa"/>
            <w:bottom w:w="0" w:type="dxa"/>
            <w:end w:w="0" w:type="dxa"/>
          </w:tcMar>
        </w:tcPr>
        <w:p>
          <w:pPr>
            <w:spacing w:after="0"/>
            <w:jc w:val="right"/>
          </w:pPr>
          <w:r>
            <w:rPr>
              <w:rFonts w:ascii="Arial" w:hAnsi="Arial" w:eastAsia="Arial"/>
              <w:b/>
              <w:color w:val="17365D"/>
              <w:sz w:val="16"/>
            </w:rPr>
            <w:t>CTA LPCC WB4 - 17-Question Practice Bank - Answer &amp; Rationales</w:t>
          </w:r>
        </w:p>
      </w:tc>
    </w:tr>
  </w:tbl>
  <w:p>
    <w:pPr>
      <w:spacing w:after="0"/>
      <w:pBdr>
        <w:bottom w:val="single" w:sz="5" w:space="1" w:color="159C9C"/>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Workbook 4 17-Question Practice Bank - Answer &amp; Rationales</dc:title>
  <dc:subject>Crisis, trauma, abuse, violence, suicide risk, mandated duties, and level-of-care decisions</dc:subject>
  <dc:creator>Clinical Training and Supervision Academy</dc:creator>
  <cp:keywords>LPCC, APCC, NCMHCE, crisis, suicide, violence, child abuse, duty to protect, 5150, level of care, practice bank</cp:keywords>
  <dc:description>generated by python-docx</dc:description>
  <cp:lastModifiedBy/>
  <cp:revision>1</cp:revision>
  <dcterms:created xsi:type="dcterms:W3CDTF">2013-12-23T23:15:00Z</dcterms:created>
  <dcterms:modified xsi:type="dcterms:W3CDTF">2013-12-23T23:15:00Z</dcterms:modified>
  <cp:category/>
</cp:coreProperties>
</file>