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5" w:lineRule="auto"/>
        <w:jc w:val="center"/>
      </w:pPr>
      <w:r>
        <w:drawing>
          <wp:inline xmlns:a="http://schemas.openxmlformats.org/drawingml/2006/main" xmlns:pic="http://schemas.openxmlformats.org/drawingml/2006/picture">
            <wp:extent cx="1143000" cy="826213"/>
            <wp:docPr id="1" name="Picture 1" descr="Image: image2.png"/>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143000" cy="826213"/>
                    </a:xfrm>
                    <a:prstGeom prst="rect"/>
                  </pic:spPr>
                </pic:pic>
              </a:graphicData>
            </a:graphic>
          </wp:inline>
        </w:drawing>
      </w:r>
    </w:p>
    <w:p>
      <w:pPr>
        <w:spacing w:before="0" w:after="20" w:line="245" w:lineRule="auto"/>
        <w:jc w:val="center"/>
      </w:pPr>
      <w:r>
        <w:rPr>
          <w:rFonts w:ascii="Arial" w:hAnsi="Arial" w:eastAsia="Arial"/>
          <w:b/>
          <w:i w:val="0"/>
          <w:color w:val="159C9C"/>
          <w:sz w:val="19"/>
        </w:rPr>
        <w:t>LPCC NCMHCE EXAM PREPARATION PROGRAM</w:t>
      </w:r>
    </w:p>
    <w:p>
      <w:pPr>
        <w:spacing w:before="0" w:after="120" w:line="245" w:lineRule="auto"/>
        <w:jc w:val="center"/>
      </w:pPr>
      <w:r>
        <w:rPr>
          <w:rFonts w:ascii="Arial" w:hAnsi="Arial" w:eastAsia="Arial"/>
          <w:b/>
          <w:i w:val="0"/>
          <w:color w:val="17365D"/>
          <w:sz w:val="23"/>
        </w:rPr>
        <w:t>Answer &amp; Rationales</w:t>
      </w:r>
    </w:p>
    <w:p>
      <w:pPr>
        <w:spacing w:before="0" w:after="60" w:line="245" w:lineRule="auto"/>
        <w:jc w:val="center"/>
      </w:pPr>
      <w:r>
        <w:rPr>
          <w:rFonts w:ascii="Arial" w:hAnsi="Arial" w:eastAsia="Arial"/>
          <w:b/>
          <w:i w:val="0"/>
          <w:color w:val="17365D"/>
          <w:sz w:val="36"/>
        </w:rPr>
        <w:t>Workbook 9: 17-Question Practice Bank</w:t>
      </w:r>
    </w:p>
    <w:p>
      <w:pPr>
        <w:spacing w:before="0" w:after="40" w:line="245" w:lineRule="auto"/>
        <w:jc w:val="center"/>
      </w:pPr>
      <w:r>
        <w:rPr>
          <w:rFonts w:ascii="Arial" w:hAnsi="Arial" w:eastAsia="Arial"/>
          <w:b w:val="0"/>
          <w:i w:val="0"/>
          <w:color w:val="1F2937"/>
          <w:sz w:val="22"/>
        </w:rPr>
        <w:t>Evidence-Based and Evidence-Informed Interventions Across Common Presenting Concerns</w:t>
      </w:r>
    </w:p>
    <w:p>
      <w:pPr>
        <w:spacing w:before="0" w:after="80" w:line="245" w:lineRule="auto"/>
        <w:jc w:val="center"/>
      </w:pPr>
      <w:r>
        <w:rPr>
          <w:rFonts w:ascii="Arial" w:hAnsi="Arial" w:eastAsia="Arial"/>
          <w:b w:val="0"/>
          <w:i/>
          <w:color w:val="4B5563"/>
          <w:sz w:val="17"/>
        </w:rPr>
        <w:t>Controlled review form - open only after completing the candidate form</w:t>
      </w:r>
    </w:p>
    <w:p>
      <w:pPr>
        <w:spacing w:before="0" w:after="160" w:line="245" w:lineRule="auto"/>
        <w:jc w:val="center"/>
      </w:pPr>
      <w:r>
        <w:rPr>
          <w:rFonts w:ascii="Arial" w:hAnsi="Arial" w:eastAsia="Arial"/>
          <w:b w:val="0"/>
          <w:i w:val="0"/>
          <w:color w:val="17365D"/>
          <w:sz w:val="17"/>
        </w:rPr>
        <w:t>Version 1.0 - July 2026</w:t>
      </w:r>
    </w:p>
    <w:tbl>
      <w:tblPr>
        <w:tblW w:type="auto" w:w="0"/>
        <w:jc w:val="center"/>
        <w:tblLayout w:type="fixed"/>
        <w:tblLook w:firstColumn="1" w:firstRow="1" w:lastColumn="0" w:lastRow="0" w:noHBand="0" w:noVBand="1" w:val="04A0"/>
      </w:tblPr>
      <w:tblGrid>
        <w:gridCol w:w="10080"/>
      </w:tblGrid>
      <w:tr>
        <w:tc>
          <w:tcPr>
            <w:tcW w:type="dxa" w:w="10310"/>
            <w:shd w:fill="FFF7D6"/>
            <w:tcMar>
              <w:top w:w="70" w:type="dxa"/>
              <w:start w:w="95" w:type="dxa"/>
              <w:bottom w:w="70" w:type="dxa"/>
              <w:end w:w="95" w:type="dxa"/>
            </w:tcMar>
            <w:tcBorders>
              <w:top w:val="single" w:sz="7" w:color="D6B656"/>
              <w:left w:val="single" w:sz="7" w:color="D6B656"/>
              <w:bottom w:val="single" w:sz="7" w:color="D6B656"/>
              <w:right w:val="single" w:sz="7" w:color="D6B656"/>
              <w:insideH w:val="single" w:sz="7" w:color="D6B656"/>
              <w:insideV w:val="single" w:sz="7" w:color="D6B656"/>
            </w:tcBorders>
          </w:tcPr>
          <w:p>
            <w:pPr>
              <w:spacing w:before="0" w:after="20" w:line="245" w:lineRule="auto"/>
            </w:pPr>
            <w:r>
              <w:rPr>
                <w:rFonts w:ascii="Arial" w:hAnsi="Arial" w:eastAsia="Arial"/>
                <w:b/>
                <w:color w:val="17365D"/>
                <w:sz w:val="17"/>
              </w:rPr>
              <w:t>ORIGINAL CTA PRACTICE MATERIAL</w:t>
            </w:r>
          </w:p>
          <w:p>
            <w:pPr>
              <w:spacing w:before="0" w:after="0" w:line="240" w:lineRule="auto"/>
            </w:pPr>
            <w:r>
              <w:rPr>
                <w:rFonts w:ascii="Arial" w:hAnsi="Arial" w:eastAsia="Arial"/>
                <w:color w:val="1F2937"/>
                <w:sz w:val="16"/>
              </w:rPr>
              <w:t>Every question and case detail in this bank is an original CTA educational item. No item is an actual, recalled, reconstructed, or purported licensing-examination question.</w:t>
            </w:r>
          </w:p>
        </w:tc>
      </w:tr>
    </w:tbl>
    <w:p>
      <w:pPr>
        <w:spacing w:before="0" w:after="0" w:line="245" w:lineRule="auto"/>
        <w:jc w:val="center"/>
      </w:pPr>
      <w:r>
        <w:rPr>
          <w:rFonts w:ascii="Arial" w:hAnsi="Arial" w:eastAsia="Arial"/>
          <w:b/>
          <w:i w:val="0"/>
          <w:color w:val="17365D"/>
          <w:sz w:val="16"/>
        </w:rPr>
        <w:t>Clinical Training Academy</w:t>
      </w:r>
    </w:p>
    <w:p>
      <w:r>
        <w:br w:type="page"/>
      </w:r>
    </w:p>
    <w:p>
      <w:pPr>
        <w:pStyle w:val="Heading1"/>
        <w:spacing w:before="0" w:after="60" w:line="245" w:lineRule="auto"/>
        <w:keepNext/>
      </w:pPr>
      <w:r>
        <w:rPr>
          <w:rFonts w:ascii="Arial" w:hAnsi="Arial" w:eastAsia="Arial"/>
          <w:b/>
          <w:color w:val="159C9C"/>
          <w:sz w:val="28"/>
        </w:rPr>
        <w:t>How to Use the Rationales</w:t>
      </w:r>
    </w:p>
    <w:p>
      <w:pPr>
        <w:pStyle w:val="ListBullet"/>
        <w:spacing w:before="0" w:after="20" w:line="245" w:lineRule="auto"/>
      </w:pPr>
      <w:r>
        <w:rPr>
          <w:rFonts w:ascii="Arial" w:hAnsi="Arial" w:eastAsia="Arial"/>
          <w:sz w:val="17"/>
        </w:rPr>
        <w:t>Score the bank, but do not stop at the total. Mark every incorrect response and every correct response with confidence 1.</w:t>
      </w:r>
    </w:p>
    <w:p>
      <w:pPr>
        <w:pStyle w:val="ListBullet"/>
        <w:spacing w:before="0" w:after="20" w:line="245" w:lineRule="auto"/>
      </w:pPr>
      <w:r>
        <w:rPr>
          <w:rFonts w:ascii="Arial" w:hAnsi="Arial" w:eastAsia="Arial"/>
          <w:sz w:val="17"/>
        </w:rPr>
        <w:t>For each item, identify which Workbook 9 tool controlled the answer: EVIDENCE, DOSE, PHASE, CHANGE, or PIVOT.</w:t>
      </w:r>
    </w:p>
    <w:p>
      <w:pPr>
        <w:pStyle w:val="ListBullet"/>
        <w:spacing w:before="0" w:after="20" w:line="245" w:lineRule="auto"/>
      </w:pPr>
      <w:r>
        <w:rPr>
          <w:rFonts w:ascii="Arial" w:hAnsi="Arial" w:eastAsia="Arial"/>
          <w:sz w:val="17"/>
        </w:rPr>
        <w:t>Explain why each distractor is weaker, especially when it treats research as a command, ignores the maintaining mechanism, forces intensity, uses reassurance, removes an active ingredient, or labels the client instead of reviewing fit.</w:t>
      </w:r>
    </w:p>
    <w:p>
      <w:pPr>
        <w:pStyle w:val="ListBullet"/>
        <w:spacing w:before="0" w:after="20" w:line="245" w:lineRule="auto"/>
      </w:pPr>
      <w:r>
        <w:rPr>
          <w:rFonts w:ascii="Arial" w:hAnsi="Arial" w:eastAsia="Arial"/>
          <w:sz w:val="17"/>
        </w:rPr>
        <w:t>Apply the listed CTA error code or select another Workbook 9 code that better describes your reasoning.</w:t>
      </w:r>
    </w:p>
    <w:p>
      <w:pPr>
        <w:pStyle w:val="ListBullet"/>
        <w:spacing w:before="0" w:after="20" w:line="245" w:lineRule="auto"/>
      </w:pPr>
      <w:r>
        <w:rPr>
          <w:rFonts w:ascii="Arial" w:hAnsi="Arial" w:eastAsia="Arial"/>
          <w:sz w:val="17"/>
        </w:rPr>
        <w:t>Write one transferable correction rule and complete a new application item after targeted review.</w:t>
      </w:r>
    </w:p>
    <w:p>
      <w:pPr>
        <w:pStyle w:val="ListBullet"/>
        <w:spacing w:before="0" w:after="20" w:line="245" w:lineRule="auto"/>
      </w:pPr>
      <w:r>
        <w:rPr>
          <w:rFonts w:ascii="Arial" w:hAnsi="Arial" w:eastAsia="Arial"/>
          <w:sz w:val="17"/>
        </w:rPr>
        <w:t>Do not treat this bank score as an official NCMHCE passing score or guarantee.</w:t>
      </w:r>
    </w:p>
    <w:p>
      <w:pPr>
        <w:pStyle w:val="Heading2"/>
        <w:spacing w:before="0" w:after="60" w:line="245" w:lineRule="auto"/>
        <w:keepNext/>
      </w:pPr>
      <w:r>
        <w:rPr>
          <w:rFonts w:ascii="Arial" w:hAnsi="Arial" w:eastAsia="Arial"/>
          <w:b/>
          <w:color w:val="17365D"/>
          <w:sz w:val="21"/>
        </w:rPr>
        <w:t>Answer Key Overview</w:t>
      </w:r>
    </w:p>
    <w:tbl>
      <w:tblPr>
        <w:tblW w:type="auto" w:w="0"/>
        <w:jc w:val="center"/>
        <w:tblLayout w:type="fixed"/>
        <w:tblLook w:firstColumn="1" w:firstRow="1" w:lastColumn="0" w:lastRow="0" w:noHBand="0" w:noVBand="1" w:val="04A0"/>
      </w:tblPr>
      <w:tblGrid>
        <w:gridCol w:w="2062"/>
        <w:gridCol w:w="2062"/>
        <w:gridCol w:w="2062"/>
        <w:gridCol w:w="2062"/>
        <w:gridCol w:w="2062"/>
      </w:tblGrid>
      <w:tr>
        <w:trPr>
          <w:tblHeader w:val="true"/>
        </w:trPr>
        <w:tc>
          <w:tcPr>
            <w:tcW w:type="dxa" w:w="504"/>
            <w:shd w:fill="17365D"/>
            <w:tcMar>
              <w:top w:w="35" w:type="dxa"/>
              <w:start w:w="45" w:type="dxa"/>
              <w:bottom w:w="35" w:type="dxa"/>
              <w:end w:w="45" w:type="dxa"/>
            </w:tcMar>
            <w:tcBorders>
              <w:top w:val="single" w:sz="3" w:color="FFFFFF"/>
              <w:left w:val="single" w:sz="3" w:color="FFFFFF"/>
              <w:bottom w:val="single" w:sz="3" w:color="FFFFFF"/>
              <w:right w:val="single" w:sz="3" w:color="FFFFFF"/>
              <w:insideH w:val="single" w:sz="3" w:color="FFFFFF"/>
              <w:insideV w:val="single" w:sz="3" w:color="FFFFFF"/>
            </w:tcBorders>
          </w:tcPr>
          <w:p>
            <w:pPr>
              <w:spacing w:before="0" w:after="0" w:line="240" w:lineRule="auto"/>
            </w:pPr>
            <w:r>
              <w:rPr>
                <w:rFonts w:ascii="Arial" w:hAnsi="Arial" w:eastAsia="Arial"/>
                <w:b/>
                <w:color w:val="FFFFFF"/>
                <w:sz w:val="15"/>
              </w:rPr>
              <w:t>#</w:t>
            </w:r>
          </w:p>
        </w:tc>
        <w:tc>
          <w:tcPr>
            <w:tcW w:type="dxa" w:w="605"/>
            <w:shd w:fill="17365D"/>
            <w:tcMar>
              <w:top w:w="35" w:type="dxa"/>
              <w:start w:w="45" w:type="dxa"/>
              <w:bottom w:w="35" w:type="dxa"/>
              <w:end w:w="45" w:type="dxa"/>
            </w:tcMar>
            <w:tcBorders>
              <w:top w:val="single" w:sz="3" w:color="FFFFFF"/>
              <w:left w:val="single" w:sz="3" w:color="FFFFFF"/>
              <w:bottom w:val="single" w:sz="3" w:color="FFFFFF"/>
              <w:right w:val="single" w:sz="3" w:color="FFFFFF"/>
              <w:insideH w:val="single" w:sz="3" w:color="FFFFFF"/>
              <w:insideV w:val="single" w:sz="3" w:color="FFFFFF"/>
            </w:tcBorders>
          </w:tcPr>
          <w:p>
            <w:pPr>
              <w:spacing w:before="0" w:after="0" w:line="240" w:lineRule="auto"/>
            </w:pPr>
            <w:r>
              <w:rPr>
                <w:rFonts w:ascii="Arial" w:hAnsi="Arial" w:eastAsia="Arial"/>
                <w:b/>
                <w:color w:val="FFFFFF"/>
                <w:sz w:val="15"/>
              </w:rPr>
              <w:t>Key</w:t>
            </w:r>
          </w:p>
        </w:tc>
        <w:tc>
          <w:tcPr>
            <w:tcW w:type="dxa" w:w="1080"/>
            <w:shd w:fill="17365D"/>
            <w:tcMar>
              <w:top w:w="35" w:type="dxa"/>
              <w:start w:w="45" w:type="dxa"/>
              <w:bottom w:w="35" w:type="dxa"/>
              <w:end w:w="45" w:type="dxa"/>
            </w:tcMar>
            <w:tcBorders>
              <w:top w:val="single" w:sz="3" w:color="FFFFFF"/>
              <w:left w:val="single" w:sz="3" w:color="FFFFFF"/>
              <w:bottom w:val="single" w:sz="3" w:color="FFFFFF"/>
              <w:right w:val="single" w:sz="3" w:color="FFFFFF"/>
              <w:insideH w:val="single" w:sz="3" w:color="FFFFFF"/>
              <w:insideV w:val="single" w:sz="3" w:color="FFFFFF"/>
            </w:tcBorders>
          </w:tcPr>
          <w:p>
            <w:pPr>
              <w:spacing w:before="0" w:after="0" w:line="240" w:lineRule="auto"/>
            </w:pPr>
            <w:r>
              <w:rPr>
                <w:rFonts w:ascii="Arial" w:hAnsi="Arial" w:eastAsia="Arial"/>
                <w:b/>
                <w:color w:val="FFFFFF"/>
                <w:sz w:val="15"/>
              </w:rPr>
              <w:t>Difficulty</w:t>
            </w:r>
          </w:p>
        </w:tc>
        <w:tc>
          <w:tcPr>
            <w:tcW w:type="dxa" w:w="4608"/>
            <w:shd w:fill="17365D"/>
            <w:tcMar>
              <w:top w:w="35" w:type="dxa"/>
              <w:start w:w="45" w:type="dxa"/>
              <w:bottom w:w="35" w:type="dxa"/>
              <w:end w:w="45" w:type="dxa"/>
            </w:tcMar>
            <w:tcBorders>
              <w:top w:val="single" w:sz="3" w:color="FFFFFF"/>
              <w:left w:val="single" w:sz="3" w:color="FFFFFF"/>
              <w:bottom w:val="single" w:sz="3" w:color="FFFFFF"/>
              <w:right w:val="single" w:sz="3" w:color="FFFFFF"/>
              <w:insideH w:val="single" w:sz="3" w:color="FFFFFF"/>
              <w:insideV w:val="single" w:sz="3" w:color="FFFFFF"/>
            </w:tcBorders>
          </w:tcPr>
          <w:p>
            <w:pPr>
              <w:spacing w:before="0" w:after="0" w:line="240" w:lineRule="auto"/>
            </w:pPr>
            <w:r>
              <w:rPr>
                <w:rFonts w:ascii="Arial" w:hAnsi="Arial" w:eastAsia="Arial"/>
                <w:b/>
                <w:color w:val="FFFFFF"/>
                <w:sz w:val="15"/>
              </w:rPr>
              <w:t>Primary Concept</w:t>
            </w:r>
          </w:p>
        </w:tc>
        <w:tc>
          <w:tcPr>
            <w:tcW w:type="dxa" w:w="3283"/>
            <w:shd w:fill="17365D"/>
            <w:tcMar>
              <w:top w:w="35" w:type="dxa"/>
              <w:start w:w="45" w:type="dxa"/>
              <w:bottom w:w="35" w:type="dxa"/>
              <w:end w:w="45" w:type="dxa"/>
            </w:tcMar>
            <w:tcBorders>
              <w:top w:val="single" w:sz="3" w:color="FFFFFF"/>
              <w:left w:val="single" w:sz="3" w:color="FFFFFF"/>
              <w:bottom w:val="single" w:sz="3" w:color="FFFFFF"/>
              <w:right w:val="single" w:sz="3" w:color="FFFFFF"/>
              <w:insideH w:val="single" w:sz="3" w:color="FFFFFF"/>
              <w:insideV w:val="single" w:sz="3" w:color="FFFFFF"/>
            </w:tcBorders>
          </w:tcPr>
          <w:p>
            <w:pPr>
              <w:spacing w:before="0" w:after="0" w:line="240" w:lineRule="auto"/>
            </w:pPr>
            <w:r>
              <w:rPr>
                <w:rFonts w:ascii="Arial" w:hAnsi="Arial" w:eastAsia="Arial"/>
                <w:b/>
                <w:color w:val="FFFFFF"/>
                <w:sz w:val="15"/>
              </w:rPr>
              <w:t>Primary Error Code</w:t>
            </w:r>
          </w:p>
        </w:tc>
      </w:tr>
      <w:tr>
        <w:trPr>
          <w:cantSplit/>
        </w:trPr>
        <w:tc>
          <w:tcPr>
            <w:tcW w:type="dxa" w:w="50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1</w:t>
            </w:r>
          </w:p>
        </w:tc>
        <w:tc>
          <w:tcPr>
            <w:tcW w:type="dxa" w:w="605"/>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B</w:t>
            </w:r>
          </w:p>
        </w:tc>
        <w:tc>
          <w:tcPr>
            <w:tcW w:type="dxa" w:w="108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Easy</w:t>
            </w:r>
          </w:p>
        </w:tc>
        <w:tc>
          <w:tcPr>
            <w:tcW w:type="dxa" w:w="4608"/>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Evidence-based practice integration</w:t>
            </w:r>
          </w:p>
        </w:tc>
        <w:tc>
          <w:tcPr>
            <w:tcW w:type="dxa" w:w="3283"/>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E - Evidence integration error</w:t>
            </w:r>
          </w:p>
        </w:tc>
      </w:tr>
      <w:tr>
        <w:trPr>
          <w:cantSplit/>
        </w:trPr>
        <w:tc>
          <w:tcPr>
            <w:tcW w:type="dxa" w:w="504"/>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2</w:t>
            </w:r>
          </w:p>
        </w:tc>
        <w:tc>
          <w:tcPr>
            <w:tcW w:type="dxa" w:w="605"/>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A</w:t>
            </w:r>
          </w:p>
        </w:tc>
        <w:tc>
          <w:tcPr>
            <w:tcW w:type="dxa" w:w="1080"/>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Easy</w:t>
            </w:r>
          </w:p>
        </w:tc>
        <w:tc>
          <w:tcPr>
            <w:tcW w:type="dxa" w:w="4608"/>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DOSE and behavioral activation</w:t>
            </w:r>
          </w:p>
        </w:tc>
        <w:tc>
          <w:tcPr>
            <w:tcW w:type="dxa" w:w="3283"/>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M - Mechanism mismatch</w:t>
            </w:r>
          </w:p>
        </w:tc>
      </w:tr>
      <w:tr>
        <w:trPr>
          <w:cantSplit/>
        </w:trPr>
        <w:tc>
          <w:tcPr>
            <w:tcW w:type="dxa" w:w="50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3</w:t>
            </w:r>
          </w:p>
        </w:tc>
        <w:tc>
          <w:tcPr>
            <w:tcW w:type="dxa" w:w="605"/>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D</w:t>
            </w:r>
          </w:p>
        </w:tc>
        <w:tc>
          <w:tcPr>
            <w:tcW w:type="dxa" w:w="108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Moderate</w:t>
            </w:r>
          </w:p>
        </w:tc>
        <w:tc>
          <w:tcPr>
            <w:tcW w:type="dxa" w:w="4608"/>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PHASE trauma sequencing</w:t>
            </w:r>
          </w:p>
        </w:tc>
        <w:tc>
          <w:tcPr>
            <w:tcW w:type="dxa" w:w="3283"/>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P - Phase mismatch</w:t>
            </w:r>
          </w:p>
        </w:tc>
      </w:tr>
      <w:tr>
        <w:trPr>
          <w:cantSplit/>
        </w:trPr>
        <w:tc>
          <w:tcPr>
            <w:tcW w:type="dxa" w:w="504"/>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4</w:t>
            </w:r>
          </w:p>
        </w:tc>
        <w:tc>
          <w:tcPr>
            <w:tcW w:type="dxa" w:w="605"/>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C</w:t>
            </w:r>
          </w:p>
        </w:tc>
        <w:tc>
          <w:tcPr>
            <w:tcW w:type="dxa" w:w="1080"/>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Moderate</w:t>
            </w:r>
          </w:p>
        </w:tc>
        <w:tc>
          <w:tcPr>
            <w:tcW w:type="dxa" w:w="4608"/>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CHANGE and motivational interviewing</w:t>
            </w:r>
          </w:p>
        </w:tc>
        <w:tc>
          <w:tcPr>
            <w:tcW w:type="dxa" w:w="3283"/>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C - CHANGE failure</w:t>
            </w:r>
          </w:p>
        </w:tc>
      </w:tr>
      <w:tr>
        <w:trPr>
          <w:cantSplit/>
        </w:trPr>
        <w:tc>
          <w:tcPr>
            <w:tcW w:type="dxa" w:w="50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5</w:t>
            </w:r>
          </w:p>
        </w:tc>
        <w:tc>
          <w:tcPr>
            <w:tcW w:type="dxa" w:w="605"/>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B</w:t>
            </w:r>
          </w:p>
        </w:tc>
        <w:tc>
          <w:tcPr>
            <w:tcW w:type="dxa" w:w="108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Difficult</w:t>
            </w:r>
          </w:p>
        </w:tc>
        <w:tc>
          <w:tcPr>
            <w:tcW w:type="dxa" w:w="4608"/>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PIVOT nonresponse review</w:t>
            </w:r>
          </w:p>
        </w:tc>
        <w:tc>
          <w:tcPr>
            <w:tcW w:type="dxa" w:w="3283"/>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V - PIVOT failure</w:t>
            </w:r>
          </w:p>
        </w:tc>
      </w:tr>
      <w:tr>
        <w:trPr>
          <w:cantSplit/>
        </w:trPr>
        <w:tc>
          <w:tcPr>
            <w:tcW w:type="dxa" w:w="504"/>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6</w:t>
            </w:r>
          </w:p>
        </w:tc>
        <w:tc>
          <w:tcPr>
            <w:tcW w:type="dxa" w:w="605"/>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C</w:t>
            </w:r>
          </w:p>
        </w:tc>
        <w:tc>
          <w:tcPr>
            <w:tcW w:type="dxa" w:w="1080"/>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Easy</w:t>
            </w:r>
          </w:p>
        </w:tc>
        <w:tc>
          <w:tcPr>
            <w:tcW w:type="dxa" w:w="4608"/>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Empathy before intervention</w:t>
            </w:r>
          </w:p>
        </w:tc>
        <w:tc>
          <w:tcPr>
            <w:tcW w:type="dxa" w:w="3283"/>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S - Sequencing error</w:t>
            </w:r>
          </w:p>
        </w:tc>
      </w:tr>
      <w:tr>
        <w:trPr>
          <w:cantSplit/>
        </w:trPr>
        <w:tc>
          <w:tcPr>
            <w:tcW w:type="dxa" w:w="50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7</w:t>
            </w:r>
          </w:p>
        </w:tc>
        <w:tc>
          <w:tcPr>
            <w:tcW w:type="dxa" w:w="605"/>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A</w:t>
            </w:r>
          </w:p>
        </w:tc>
        <w:tc>
          <w:tcPr>
            <w:tcW w:type="dxa" w:w="108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Moderate</w:t>
            </w:r>
          </w:p>
        </w:tc>
        <w:tc>
          <w:tcPr>
            <w:tcW w:type="dxa" w:w="4608"/>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Mechanism-based formulation</w:t>
            </w:r>
          </w:p>
        </w:tc>
        <w:tc>
          <w:tcPr>
            <w:tcW w:type="dxa" w:w="3283"/>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M - Mechanism mismatch</w:t>
            </w:r>
          </w:p>
        </w:tc>
      </w:tr>
      <w:tr>
        <w:trPr>
          <w:cantSplit/>
        </w:trPr>
        <w:tc>
          <w:tcPr>
            <w:tcW w:type="dxa" w:w="504"/>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8</w:t>
            </w:r>
          </w:p>
        </w:tc>
        <w:tc>
          <w:tcPr>
            <w:tcW w:type="dxa" w:w="605"/>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D</w:t>
            </w:r>
          </w:p>
        </w:tc>
        <w:tc>
          <w:tcPr>
            <w:tcW w:type="dxa" w:w="1080"/>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Difficult</w:t>
            </w:r>
          </w:p>
        </w:tc>
        <w:tc>
          <w:tcPr>
            <w:tcW w:type="dxa" w:w="4608"/>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Readiness and initial intervention sequence</w:t>
            </w:r>
          </w:p>
        </w:tc>
        <w:tc>
          <w:tcPr>
            <w:tcW w:type="dxa" w:w="3283"/>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S - Sequencing error</w:t>
            </w:r>
          </w:p>
        </w:tc>
      </w:tr>
      <w:tr>
        <w:trPr>
          <w:cantSplit/>
        </w:trPr>
        <w:tc>
          <w:tcPr>
            <w:tcW w:type="dxa" w:w="50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9</w:t>
            </w:r>
          </w:p>
        </w:tc>
        <w:tc>
          <w:tcPr>
            <w:tcW w:type="dxa" w:w="605"/>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B</w:t>
            </w:r>
          </w:p>
        </w:tc>
        <w:tc>
          <w:tcPr>
            <w:tcW w:type="dxa" w:w="108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Moderate</w:t>
            </w:r>
          </w:p>
        </w:tc>
        <w:tc>
          <w:tcPr>
            <w:tcW w:type="dxa" w:w="4608"/>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Baseline and outcome measurement</w:t>
            </w:r>
          </w:p>
        </w:tc>
        <w:tc>
          <w:tcPr>
            <w:tcW w:type="dxa" w:w="3283"/>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O - Outcome-monitoring gap</w:t>
            </w:r>
          </w:p>
        </w:tc>
      </w:tr>
      <w:tr>
        <w:trPr>
          <w:cantSplit/>
        </w:trPr>
        <w:tc>
          <w:tcPr>
            <w:tcW w:type="dxa" w:w="504"/>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10</w:t>
            </w:r>
          </w:p>
        </w:tc>
        <w:tc>
          <w:tcPr>
            <w:tcW w:type="dxa" w:w="605"/>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C</w:t>
            </w:r>
          </w:p>
        </w:tc>
        <w:tc>
          <w:tcPr>
            <w:tcW w:type="dxa" w:w="1080"/>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Easy</w:t>
            </w:r>
          </w:p>
        </w:tc>
        <w:tc>
          <w:tcPr>
            <w:tcW w:type="dxa" w:w="4608"/>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ERP response prevention</w:t>
            </w:r>
          </w:p>
        </w:tc>
        <w:tc>
          <w:tcPr>
            <w:tcW w:type="dxa" w:w="3283"/>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A - Active-ingredient error</w:t>
            </w:r>
          </w:p>
        </w:tc>
      </w:tr>
      <w:tr>
        <w:trPr>
          <w:cantSplit/>
        </w:trPr>
        <w:tc>
          <w:tcPr>
            <w:tcW w:type="dxa" w:w="50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11</w:t>
            </w:r>
          </w:p>
        </w:tc>
        <w:tc>
          <w:tcPr>
            <w:tcW w:type="dxa" w:w="605"/>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A</w:t>
            </w:r>
          </w:p>
        </w:tc>
        <w:tc>
          <w:tcPr>
            <w:tcW w:type="dxa" w:w="108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Moderate</w:t>
            </w:r>
          </w:p>
        </w:tc>
        <w:tc>
          <w:tcPr>
            <w:tcW w:type="dxa" w:w="4608"/>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Graded ERP delivery</w:t>
            </w:r>
          </w:p>
        </w:tc>
        <w:tc>
          <w:tcPr>
            <w:tcW w:type="dxa" w:w="3283"/>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D - DOSE mismatch</w:t>
            </w:r>
          </w:p>
        </w:tc>
      </w:tr>
      <w:tr>
        <w:trPr>
          <w:cantSplit/>
        </w:trPr>
        <w:tc>
          <w:tcPr>
            <w:tcW w:type="dxa" w:w="504"/>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12</w:t>
            </w:r>
          </w:p>
        </w:tc>
        <w:tc>
          <w:tcPr>
            <w:tcW w:type="dxa" w:w="605"/>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D</w:t>
            </w:r>
          </w:p>
        </w:tc>
        <w:tc>
          <w:tcPr>
            <w:tcW w:type="dxa" w:w="1080"/>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Difficult</w:t>
            </w:r>
          </w:p>
        </w:tc>
        <w:tc>
          <w:tcPr>
            <w:tcW w:type="dxa" w:w="4608"/>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Safety behaviors and treatment fit</w:t>
            </w:r>
          </w:p>
        </w:tc>
        <w:tc>
          <w:tcPr>
            <w:tcW w:type="dxa" w:w="3283"/>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A - Active-ingredient error</w:t>
            </w:r>
          </w:p>
        </w:tc>
      </w:tr>
      <w:tr>
        <w:trPr>
          <w:cantSplit/>
        </w:trPr>
        <w:tc>
          <w:tcPr>
            <w:tcW w:type="dxa" w:w="50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13</w:t>
            </w:r>
          </w:p>
        </w:tc>
        <w:tc>
          <w:tcPr>
            <w:tcW w:type="dxa" w:w="605"/>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C</w:t>
            </w:r>
          </w:p>
        </w:tc>
        <w:tc>
          <w:tcPr>
            <w:tcW w:type="dxa" w:w="108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Moderate</w:t>
            </w:r>
          </w:p>
        </w:tc>
        <w:tc>
          <w:tcPr>
            <w:tcW w:type="dxa" w:w="4608"/>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Multidimensional progress monitoring</w:t>
            </w:r>
          </w:p>
        </w:tc>
        <w:tc>
          <w:tcPr>
            <w:tcW w:type="dxa" w:w="3283"/>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O - Outcome-monitoring gap</w:t>
            </w:r>
          </w:p>
        </w:tc>
      </w:tr>
      <w:tr>
        <w:trPr>
          <w:cantSplit/>
        </w:trPr>
        <w:tc>
          <w:tcPr>
            <w:tcW w:type="dxa" w:w="504"/>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14</w:t>
            </w:r>
          </w:p>
        </w:tc>
        <w:tc>
          <w:tcPr>
            <w:tcW w:type="dxa" w:w="605"/>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B</w:t>
            </w:r>
          </w:p>
        </w:tc>
        <w:tc>
          <w:tcPr>
            <w:tcW w:type="dxa" w:w="1080"/>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Easy</w:t>
            </w:r>
          </w:p>
        </w:tc>
        <w:tc>
          <w:tcPr>
            <w:tcW w:type="dxa" w:w="4608"/>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Functional improvement</w:t>
            </w:r>
          </w:p>
        </w:tc>
        <w:tc>
          <w:tcPr>
            <w:tcW w:type="dxa" w:w="3283"/>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O - Outcome-monitoring gap</w:t>
            </w:r>
          </w:p>
        </w:tc>
      </w:tr>
      <w:tr>
        <w:trPr>
          <w:cantSplit/>
        </w:trPr>
        <w:tc>
          <w:tcPr>
            <w:tcW w:type="dxa" w:w="50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15</w:t>
            </w:r>
          </w:p>
        </w:tc>
        <w:tc>
          <w:tcPr>
            <w:tcW w:type="dxa" w:w="605"/>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A</w:t>
            </w:r>
          </w:p>
        </w:tc>
        <w:tc>
          <w:tcPr>
            <w:tcW w:type="dxa" w:w="108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Moderate</w:t>
            </w:r>
          </w:p>
        </w:tc>
        <w:tc>
          <w:tcPr>
            <w:tcW w:type="dxa" w:w="4608"/>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Adaptation with active-ingredient preservation</w:t>
            </w:r>
          </w:p>
        </w:tc>
        <w:tc>
          <w:tcPr>
            <w:tcW w:type="dxa" w:w="3283"/>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F - Feasibility and fidelity error</w:t>
            </w:r>
          </w:p>
        </w:tc>
      </w:tr>
      <w:tr>
        <w:trPr>
          <w:cantSplit/>
        </w:trPr>
        <w:tc>
          <w:tcPr>
            <w:tcW w:type="dxa" w:w="504"/>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16</w:t>
            </w:r>
          </w:p>
        </w:tc>
        <w:tc>
          <w:tcPr>
            <w:tcW w:type="dxa" w:w="605"/>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C</w:t>
            </w:r>
          </w:p>
        </w:tc>
        <w:tc>
          <w:tcPr>
            <w:tcW w:type="dxa" w:w="1080"/>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Difficult</w:t>
            </w:r>
          </w:p>
        </w:tc>
        <w:tc>
          <w:tcPr>
            <w:tcW w:type="dxa" w:w="4608"/>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PIVOT before intensification</w:t>
            </w:r>
          </w:p>
        </w:tc>
        <w:tc>
          <w:tcPr>
            <w:tcW w:type="dxa" w:w="3283"/>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V - PIVOT failure</w:t>
            </w:r>
          </w:p>
        </w:tc>
      </w:tr>
      <w:tr>
        <w:trPr>
          <w:cantSplit/>
        </w:trPr>
        <w:tc>
          <w:tcPr>
            <w:tcW w:type="dxa" w:w="50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17</w:t>
            </w:r>
          </w:p>
        </w:tc>
        <w:tc>
          <w:tcPr>
            <w:tcW w:type="dxa" w:w="605"/>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D</w:t>
            </w:r>
          </w:p>
        </w:tc>
        <w:tc>
          <w:tcPr>
            <w:tcW w:type="dxa" w:w="108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Difficult</w:t>
            </w:r>
          </w:p>
        </w:tc>
        <w:tc>
          <w:tcPr>
            <w:tcW w:type="dxa" w:w="4608"/>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Consultation, referral, and continuity</w:t>
            </w:r>
          </w:p>
        </w:tc>
        <w:tc>
          <w:tcPr>
            <w:tcW w:type="dxa" w:w="3283"/>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R - Referral and competence error</w:t>
            </w:r>
          </w:p>
        </w:tc>
      </w:tr>
    </w:tbl>
    <w:p>
      <w:r>
        <w:br w:type="page"/>
      </w:r>
    </w:p>
    <w:p>
      <w:pPr>
        <w:pStyle w:val="Heading1"/>
        <w:spacing w:before="0" w:after="60" w:line="245" w:lineRule="auto"/>
        <w:keepNext/>
      </w:pPr>
      <w:r>
        <w:rPr>
          <w:rFonts w:ascii="Arial" w:hAnsi="Arial" w:eastAsia="Arial"/>
          <w:b/>
          <w:color w:val="159C9C"/>
          <w:sz w:val="28"/>
        </w:rPr>
        <w:t>Case Evidence-Control Map</w:t>
      </w:r>
    </w:p>
    <w:tbl>
      <w:tblPr>
        <w:tblW w:type="auto" w:w="0"/>
        <w:jc w:val="center"/>
        <w:tblLayout w:type="fixed"/>
        <w:tblLook w:firstColumn="1" w:firstRow="1" w:lastColumn="0" w:lastRow="0" w:noHBand="0" w:noVBand="1" w:val="04A0"/>
      </w:tblPr>
      <w:tblGrid>
        <w:gridCol w:w="3437"/>
        <w:gridCol w:w="3437"/>
        <w:gridCol w:w="3437"/>
      </w:tblGrid>
      <w:tr>
        <w:trPr>
          <w:tblHeader w:val="true"/>
        </w:trPr>
        <w:tc>
          <w:tcPr>
            <w:tcW w:type="dxa" w:w="1944"/>
            <w:shd w:fill="17365D"/>
            <w:tcMar>
              <w:top w:w="35" w:type="dxa"/>
              <w:start w:w="45" w:type="dxa"/>
              <w:bottom w:w="35" w:type="dxa"/>
              <w:end w:w="45" w:type="dxa"/>
            </w:tcMar>
            <w:tcBorders>
              <w:top w:val="single" w:sz="3" w:color="FFFFFF"/>
              <w:left w:val="single" w:sz="3" w:color="FFFFFF"/>
              <w:bottom w:val="single" w:sz="3" w:color="FFFFFF"/>
              <w:right w:val="single" w:sz="3" w:color="FFFFFF"/>
              <w:insideH w:val="single" w:sz="3" w:color="FFFFFF"/>
              <w:insideV w:val="single" w:sz="3" w:color="FFFFFF"/>
            </w:tcBorders>
          </w:tcPr>
          <w:p>
            <w:pPr>
              <w:spacing w:before="0" w:after="0" w:line="240" w:lineRule="auto"/>
            </w:pPr>
            <w:r>
              <w:rPr>
                <w:rFonts w:ascii="Arial" w:hAnsi="Arial" w:eastAsia="Arial"/>
                <w:b/>
                <w:color w:val="FFFFFF"/>
                <w:sz w:val="15"/>
              </w:rPr>
              <w:t>Section</w:t>
            </w:r>
          </w:p>
        </w:tc>
        <w:tc>
          <w:tcPr>
            <w:tcW w:type="dxa" w:w="5112"/>
            <w:shd w:fill="17365D"/>
            <w:tcMar>
              <w:top w:w="35" w:type="dxa"/>
              <w:start w:w="45" w:type="dxa"/>
              <w:bottom w:w="35" w:type="dxa"/>
              <w:end w:w="45" w:type="dxa"/>
            </w:tcMar>
            <w:tcBorders>
              <w:top w:val="single" w:sz="3" w:color="FFFFFF"/>
              <w:left w:val="single" w:sz="3" w:color="FFFFFF"/>
              <w:bottom w:val="single" w:sz="3" w:color="FFFFFF"/>
              <w:right w:val="single" w:sz="3" w:color="FFFFFF"/>
              <w:insideH w:val="single" w:sz="3" w:color="FFFFFF"/>
              <w:insideV w:val="single" w:sz="3" w:color="FFFFFF"/>
            </w:tcBorders>
          </w:tcPr>
          <w:p>
            <w:pPr>
              <w:spacing w:before="0" w:after="0" w:line="240" w:lineRule="auto"/>
            </w:pPr>
            <w:r>
              <w:rPr>
                <w:rFonts w:ascii="Arial" w:hAnsi="Arial" w:eastAsia="Arial"/>
                <w:b/>
                <w:color w:val="FFFFFF"/>
                <w:sz w:val="15"/>
              </w:rPr>
              <w:t>Decision-Relevant Evidence</w:t>
            </w:r>
          </w:p>
        </w:tc>
        <w:tc>
          <w:tcPr>
            <w:tcW w:type="dxa" w:w="3024"/>
            <w:shd w:fill="17365D"/>
            <w:tcMar>
              <w:top w:w="35" w:type="dxa"/>
              <w:start w:w="45" w:type="dxa"/>
              <w:bottom w:w="35" w:type="dxa"/>
              <w:end w:w="45" w:type="dxa"/>
            </w:tcMar>
            <w:tcBorders>
              <w:top w:val="single" w:sz="3" w:color="FFFFFF"/>
              <w:left w:val="single" w:sz="3" w:color="FFFFFF"/>
              <w:bottom w:val="single" w:sz="3" w:color="FFFFFF"/>
              <w:right w:val="single" w:sz="3" w:color="FFFFFF"/>
              <w:insideH w:val="single" w:sz="3" w:color="FFFFFF"/>
              <w:insideV w:val="single" w:sz="3" w:color="FFFFFF"/>
            </w:tcBorders>
          </w:tcPr>
          <w:p>
            <w:pPr>
              <w:spacing w:before="0" w:after="0" w:line="240" w:lineRule="auto"/>
            </w:pPr>
            <w:r>
              <w:rPr>
                <w:rFonts w:ascii="Arial" w:hAnsi="Arial" w:eastAsia="Arial"/>
                <w:b/>
                <w:color w:val="FFFFFF"/>
                <w:sz w:val="15"/>
              </w:rPr>
              <w:t>What Is Not Yet Established</w:t>
            </w:r>
          </w:p>
        </w:tc>
      </w:tr>
      <w:tr>
        <w:trPr>
          <w:cantSplit/>
        </w:trPr>
        <w:tc>
          <w:tcPr>
            <w:tcW w:type="dxa" w:w="194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Part 1 - Cycle and readiness</w:t>
            </w:r>
          </w:p>
        </w:tc>
        <w:tc>
          <w:tcPr>
            <w:tcW w:type="dxa" w:w="5112"/>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Contamination fear, washing, showering, avoidance, reassurance, work and activity impairment, sleep disruption, cannabis use, no acute risk or medical concern, practical-help preference, not ready for exposure, counselor competence.</w:t>
            </w:r>
          </w:p>
        </w:tc>
        <w:tc>
          <w:tcPr>
            <w:tcW w:type="dxa" w:w="302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Later readiness for ERP, hierarchy, safety behaviors during exposure, partial response, homework-format concerns, partner accommodation changes, and possible specialty referral.</w:t>
            </w:r>
          </w:p>
        </w:tc>
      </w:tr>
      <w:tr>
        <w:trPr>
          <w:cantSplit/>
        </w:trPr>
        <w:tc>
          <w:tcPr>
            <w:tcW w:type="dxa" w:w="1944"/>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Part 2 - ERP delivery</w:t>
            </w:r>
          </w:p>
        </w:tc>
        <w:tc>
          <w:tcPr>
            <w:tcW w:type="dxa" w:w="5112"/>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Improved understanding and some activation, reduced cannabis, stated readiness, graded hierarchy, wiping and reassurance after exposure, sanitizer request, partner accommodation.</w:t>
            </w:r>
          </w:p>
        </w:tc>
        <w:tc>
          <w:tcPr>
            <w:tcW w:type="dxa" w:w="3024"/>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Later symptom and functional outcome pattern, home-practice burden, temporary relatives, audio preference, and decision about intensification or referral.</w:t>
            </w:r>
          </w:p>
        </w:tc>
      </w:tr>
      <w:tr>
        <w:trPr>
          <w:cantSplit/>
        </w:trPr>
        <w:tc>
          <w:tcPr>
            <w:tcW w:type="dxa" w:w="194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Part 3 - Partial response</w:t>
            </w:r>
          </w:p>
        </w:tc>
        <w:tc>
          <w:tcPr>
            <w:tcW w:type="dxa" w:w="5112"/>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Reduced washing and shower duration, transit and work gains, modest score change, inconsistent home exposure, ongoing partner reassurance, written-homework burden, preference for audio and in-session practice, no new risk.</w:t>
            </w:r>
          </w:p>
        </w:tc>
        <w:tc>
          <w:tcPr>
            <w:tcW w:type="dxa" w:w="302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Future response after adaptation, whether an adequate adapted trial remains insufficient, or whether specialty intensity becomes necessary.</w:t>
            </w:r>
          </w:p>
        </w:tc>
      </w:tr>
    </w:tbl>
    <w:tbl>
      <w:tblPr>
        <w:tblW w:type="auto" w:w="0"/>
        <w:jc w:val="center"/>
        <w:tblLayout w:type="fixed"/>
        <w:tblLook w:firstColumn="1" w:firstRow="1" w:lastColumn="0" w:lastRow="0" w:noHBand="0" w:noVBand="1" w:val="04A0"/>
      </w:tblPr>
      <w:tblGrid>
        <w:gridCol w:w="10080"/>
      </w:tblGrid>
      <w:tr>
        <w:tc>
          <w:tcPr>
            <w:tcW w:type="dxa" w:w="10310"/>
            <w:shd w:fill="FFF7D6"/>
            <w:tcMar>
              <w:top w:w="70" w:type="dxa"/>
              <w:start w:w="95" w:type="dxa"/>
              <w:bottom w:w="70" w:type="dxa"/>
              <w:end w:w="95" w:type="dxa"/>
            </w:tcMar>
            <w:tcBorders>
              <w:top w:val="single" w:sz="7" w:color="D6B656"/>
              <w:left w:val="single" w:sz="7" w:color="D6B656"/>
              <w:bottom w:val="single" w:sz="7" w:color="D6B656"/>
              <w:right w:val="single" w:sz="7" w:color="D6B656"/>
              <w:insideH w:val="single" w:sz="7" w:color="D6B656"/>
              <w:insideV w:val="single" w:sz="7" w:color="D6B656"/>
            </w:tcBorders>
          </w:tcPr>
          <w:p>
            <w:pPr>
              <w:spacing w:before="0" w:after="20" w:line="245" w:lineRule="auto"/>
            </w:pPr>
            <w:r>
              <w:rPr>
                <w:rFonts w:ascii="Arial" w:hAnsi="Arial" w:eastAsia="Arial"/>
                <w:b/>
                <w:color w:val="17365D"/>
                <w:sz w:val="17"/>
              </w:rPr>
              <w:t>EVIDENCE-CONTROL REMINDER</w:t>
            </w:r>
          </w:p>
          <w:p>
            <w:pPr>
              <w:spacing w:before="0" w:after="0" w:line="240" w:lineRule="auto"/>
            </w:pPr>
            <w:r>
              <w:rPr>
                <w:rFonts w:ascii="Arial" w:hAnsi="Arial" w:eastAsia="Arial"/>
                <w:color w:val="1F2937"/>
                <w:sz w:val="16"/>
              </w:rPr>
              <w:t>Later facts can guide later questions, but they cannot retroactively become evidence for an earlier case section.</w:t>
            </w:r>
          </w:p>
        </w:tc>
      </w:tr>
    </w:tbl>
    <w:tbl>
      <w:tblPr>
        <w:tblW w:type="auto" w:w="0"/>
        <w:jc w:val="center"/>
        <w:tblLayout w:type="fixed"/>
        <w:tblLook w:firstColumn="1" w:firstRow="1" w:lastColumn="0" w:lastRow="0" w:noHBand="0" w:noVBand="1" w:val="04A0"/>
      </w:tblPr>
      <w:tblGrid>
        <w:gridCol w:w="10080"/>
      </w:tblGrid>
      <w:tr>
        <w:tc>
          <w:tcPr>
            <w:tcW w:type="dxa" w:w="10310"/>
            <w:shd w:fill="E8F5F5"/>
            <w:tcMar>
              <w:top w:w="70" w:type="dxa"/>
              <w:start w:w="95" w:type="dxa"/>
              <w:bottom w:w="70" w:type="dxa"/>
              <w:end w:w="95" w:type="dxa"/>
            </w:tcMar>
            <w:tcBorders>
              <w:top w:val="single" w:sz="7" w:color="159C9C"/>
              <w:left w:val="single" w:sz="7" w:color="159C9C"/>
              <w:bottom w:val="single" w:sz="7" w:color="159C9C"/>
              <w:right w:val="single" w:sz="7" w:color="159C9C"/>
              <w:insideH w:val="single" w:sz="7" w:color="159C9C"/>
              <w:insideV w:val="single" w:sz="7" w:color="159C9C"/>
            </w:tcBorders>
          </w:tcPr>
          <w:p>
            <w:pPr>
              <w:spacing w:before="0" w:after="20" w:line="245" w:lineRule="auto"/>
            </w:pPr>
            <w:r>
              <w:rPr>
                <w:rFonts w:ascii="Arial" w:hAnsi="Arial" w:eastAsia="Arial"/>
                <w:b/>
                <w:color w:val="159C9C"/>
                <w:sz w:val="17"/>
              </w:rPr>
              <w:t>DIFFICULTY CONTROL</w:t>
            </w:r>
          </w:p>
          <w:p>
            <w:pPr>
              <w:spacing w:before="0" w:after="0" w:line="240" w:lineRule="auto"/>
            </w:pPr>
            <w:r>
              <w:rPr>
                <w:rFonts w:ascii="Arial" w:hAnsi="Arial" w:eastAsia="Arial"/>
                <w:color w:val="1F2937"/>
                <w:sz w:val="16"/>
              </w:rPr>
              <w:t>5 Easy, 7 Moderate, and 5 Difficult items. The bank contains five targeted questions and one three-part, 12-question case. Correct-answer distribution: A = 4, B = 4, C = 5, D = 4.</w:t>
            </w:r>
          </w:p>
        </w:tc>
      </w:tr>
    </w:tbl>
    <w:p>
      <w:r>
        <w:br w:type="page"/>
      </w:r>
    </w:p>
    <w:p>
      <w:pPr>
        <w:pStyle w:val="Heading2"/>
        <w:spacing w:before="0" w:after="60" w:line="245" w:lineRule="auto"/>
        <w:keepNext/>
      </w:pPr>
      <w:r>
        <w:rPr>
          <w:rFonts w:ascii="Arial" w:hAnsi="Arial" w:eastAsia="Arial"/>
          <w:b/>
          <w:color w:val="17365D"/>
          <w:sz w:val="21"/>
        </w:rPr>
        <w:t>Question 1 (LPCC-WB09-PB-Q001)</w:t>
      </w:r>
    </w:p>
    <w:p>
      <w:pPr>
        <w:spacing w:before="0" w:after="40" w:line="245" w:lineRule="auto"/>
      </w:pPr>
      <w:r>
        <w:rPr>
          <w:rFonts w:ascii="Arial" w:hAnsi="Arial" w:eastAsia="Arial"/>
          <w:b/>
          <w:i w:val="0"/>
          <w:color w:val="159C9C"/>
          <w:sz w:val="15"/>
        </w:rPr>
        <w:t>LPCC-WB09-PB-Q001 | Knowledge &amp; Application | Easy | Primary concept: Evidence-based practice integration</w:t>
      </w:r>
    </w:p>
    <w:p>
      <w:pPr>
        <w:spacing w:before="0" w:after="40" w:line="245" w:lineRule="auto"/>
      </w:pPr>
      <w:r>
        <w:rPr>
          <w:rFonts w:ascii="Arial" w:hAnsi="Arial" w:eastAsia="Arial"/>
          <w:b/>
          <w:i w:val="0"/>
          <w:color w:val="1F2937"/>
          <w:sz w:val="17"/>
        </w:rPr>
        <w:t>A counselor finds a strong study supporting a structured depression protocol. The client has chronic pain, limited English proficiency, transportation barriers, and a preference for brief in-session work. What is the BEST initial use of the research?</w:t>
      </w:r>
    </w:p>
    <w:p>
      <w:pPr>
        <w:spacing w:before="0" w:after="16" w:line="240" w:lineRule="auto"/>
        <w:ind w:left="259" w:hanging="259"/>
      </w:pPr>
      <w:r>
        <w:rPr>
          <w:rFonts w:ascii="Arial" w:hAnsi="Arial" w:eastAsia="Arial"/>
          <w:sz w:val="16"/>
        </w:rPr>
        <w:t>A. Use the protocol exactly as studied because strong evidence overrides individual differences.</w:t>
      </w:r>
    </w:p>
    <w:p>
      <w:pPr>
        <w:spacing w:before="0" w:after="16" w:line="240" w:lineRule="auto"/>
        <w:ind w:left="259" w:hanging="259"/>
      </w:pPr>
      <w:r>
        <w:rPr>
          <w:rFonts w:ascii="Arial" w:hAnsi="Arial" w:eastAsia="Arial"/>
          <w:sz w:val="16"/>
        </w:rPr>
        <w:t>B. Integrate the research with assessment, language access, client goals and preferences, feasibility, counselor competence, and a plan to monitor outcomes.</w:t>
      </w:r>
    </w:p>
    <w:p>
      <w:pPr>
        <w:spacing w:before="0" w:after="16" w:line="240" w:lineRule="auto"/>
        <w:ind w:left="259" w:hanging="259"/>
      </w:pPr>
      <w:r>
        <w:rPr>
          <w:rFonts w:ascii="Arial" w:hAnsi="Arial" w:eastAsia="Arial"/>
          <w:sz w:val="16"/>
        </w:rPr>
        <w:t>C. Reject the research because the client differs from the study population in several ways.</w:t>
      </w:r>
    </w:p>
    <w:p>
      <w:pPr>
        <w:spacing w:before="0" w:after="16" w:line="240" w:lineRule="auto"/>
        <w:ind w:left="259" w:hanging="259"/>
      </w:pPr>
      <w:r>
        <w:rPr>
          <w:rFonts w:ascii="Arial" w:hAnsi="Arial" w:eastAsia="Arial"/>
          <w:sz w:val="16"/>
        </w:rPr>
        <w:t>D. Let client preference alone determine treatment and avoid discussing the evidence.</w:t>
      </w:r>
    </w:p>
    <w:tbl>
      <w:tblPr>
        <w:tblW w:type="auto" w:w="0"/>
        <w:jc w:val="center"/>
        <w:tblLayout w:type="fixed"/>
        <w:tblLook w:firstColumn="1" w:firstRow="1" w:lastColumn="0" w:lastRow="0" w:noHBand="0" w:noVBand="1" w:val="04A0"/>
      </w:tblPr>
      <w:tblGrid>
        <w:gridCol w:w="10080"/>
      </w:tblGrid>
      <w:tr>
        <w:tc>
          <w:tcPr>
            <w:tcW w:type="dxa" w:w="10310"/>
            <w:shd w:fill="E8F5F5"/>
            <w:tcMar>
              <w:top w:w="70" w:type="dxa"/>
              <w:start w:w="95" w:type="dxa"/>
              <w:bottom w:w="70" w:type="dxa"/>
              <w:end w:w="95" w:type="dxa"/>
            </w:tcMar>
            <w:tcBorders>
              <w:top w:val="single" w:sz="7" w:color="159C9C"/>
              <w:left w:val="single" w:sz="7" w:color="159C9C"/>
              <w:bottom w:val="single" w:sz="7" w:color="159C9C"/>
              <w:right w:val="single" w:sz="7" w:color="159C9C"/>
              <w:insideH w:val="single" w:sz="7" w:color="159C9C"/>
              <w:insideV w:val="single" w:sz="7" w:color="159C9C"/>
            </w:tcBorders>
          </w:tcPr>
          <w:p>
            <w:pPr>
              <w:spacing w:before="0" w:after="20" w:line="245" w:lineRule="auto"/>
            </w:pPr>
            <w:r>
              <w:rPr>
                <w:rFonts w:ascii="Arial" w:hAnsi="Arial" w:eastAsia="Arial"/>
                <w:b/>
                <w:color w:val="159C9C"/>
                <w:sz w:val="17"/>
              </w:rPr>
              <w:t>CORRECT ANSWER</w:t>
            </w:r>
          </w:p>
          <w:p>
            <w:pPr>
              <w:spacing w:before="0" w:after="0" w:line="240" w:lineRule="auto"/>
            </w:pPr>
            <w:r>
              <w:rPr>
                <w:rFonts w:ascii="Arial" w:hAnsi="Arial" w:eastAsia="Arial"/>
                <w:color w:val="1F2937"/>
                <w:sz w:val="16"/>
              </w:rPr>
              <w:t>B. Integrate the research with assessment, language access, client goals and preferences, feasibility, counselor competence, and a plan to monitor outcomes.</w:t>
            </w:r>
          </w:p>
        </w:tc>
      </w:tr>
    </w:tbl>
    <w:p>
      <w:pPr>
        <w:pStyle w:val="Heading2"/>
        <w:spacing w:before="0" w:after="60" w:line="245" w:lineRule="auto"/>
        <w:keepNext/>
      </w:pPr>
      <w:r>
        <w:rPr>
          <w:rFonts w:ascii="Arial" w:hAnsi="Arial" w:eastAsia="Arial"/>
          <w:b/>
          <w:color w:val="17365D"/>
          <w:sz w:val="21"/>
        </w:rPr>
        <w:t>Why Each Option Is Correct or Incorrect</w:t>
      </w:r>
    </w:p>
    <w:p>
      <w:pPr>
        <w:spacing w:after="20" w:before="0" w:line="240" w:lineRule="auto"/>
      </w:pPr>
      <w:r>
        <w:rPr>
          <w:rFonts w:ascii="Arial" w:hAnsi="Arial" w:eastAsia="Arial"/>
          <w:b/>
          <w:color w:val="17365D"/>
          <w:sz w:val="16"/>
        </w:rPr>
        <w:t xml:space="preserve">A. </w:t>
      </w:r>
      <w:r>
        <w:rPr>
          <w:rFonts w:ascii="Arial" w:hAnsi="Arial" w:eastAsia="Arial"/>
          <w:sz w:val="16"/>
        </w:rPr>
        <w:t>Incorrect. Research support does not eliminate the need to assess fit, access, culture, burden, competence, and response.</w:t>
      </w:r>
    </w:p>
    <w:p>
      <w:pPr>
        <w:spacing w:after="20" w:before="0" w:line="240" w:lineRule="auto"/>
      </w:pPr>
      <w:r>
        <w:rPr>
          <w:rFonts w:ascii="Arial" w:hAnsi="Arial" w:eastAsia="Arial"/>
          <w:b/>
          <w:color w:val="17365D"/>
          <w:sz w:val="16"/>
        </w:rPr>
        <w:t xml:space="preserve">B. </w:t>
      </w:r>
      <w:r>
        <w:rPr>
          <w:rFonts w:ascii="Arial" w:hAnsi="Arial" w:eastAsia="Arial"/>
          <w:sz w:val="16"/>
        </w:rPr>
        <w:t>Correct. Evidence-based practice integrates research with clinical expertise and the client's characteristics, culture, preferences, circumstances, and goals.</w:t>
      </w:r>
    </w:p>
    <w:p>
      <w:pPr>
        <w:spacing w:after="20" w:before="0" w:line="240" w:lineRule="auto"/>
      </w:pPr>
      <w:r>
        <w:rPr>
          <w:rFonts w:ascii="Arial" w:hAnsi="Arial" w:eastAsia="Arial"/>
          <w:b/>
          <w:color w:val="17365D"/>
          <w:sz w:val="16"/>
        </w:rPr>
        <w:t xml:space="preserve">C. </w:t>
      </w:r>
      <w:r>
        <w:rPr>
          <w:rFonts w:ascii="Arial" w:hAnsi="Arial" w:eastAsia="Arial"/>
          <w:sz w:val="16"/>
        </w:rPr>
        <w:t>Incorrect. Differences call for thoughtful adaptation and monitoring, not automatic rejection of relevant evidence.</w:t>
      </w:r>
    </w:p>
    <w:p>
      <w:pPr>
        <w:spacing w:after="20" w:before="0" w:line="240" w:lineRule="auto"/>
      </w:pPr>
      <w:r>
        <w:rPr>
          <w:rFonts w:ascii="Arial" w:hAnsi="Arial" w:eastAsia="Arial"/>
          <w:b/>
          <w:color w:val="17365D"/>
          <w:sz w:val="16"/>
        </w:rPr>
        <w:t xml:space="preserve">D. </w:t>
      </w:r>
      <w:r>
        <w:rPr>
          <w:rFonts w:ascii="Arial" w:hAnsi="Arial" w:eastAsia="Arial"/>
          <w:sz w:val="16"/>
        </w:rPr>
        <w:t>Incorrect. Preference is essential, but it does not replace assessment, informed discussion, or outcome review.</w:t>
      </w:r>
    </w:p>
    <w:tbl>
      <w:tblPr>
        <w:tblW w:type="auto" w:w="0"/>
        <w:jc w:val="center"/>
        <w:tblLayout w:type="fixed"/>
        <w:tblLook w:firstColumn="1" w:firstRow="1" w:lastColumn="0" w:lastRow="0" w:noHBand="0" w:noVBand="1" w:val="04A0"/>
      </w:tblPr>
      <w:tblGrid>
        <w:gridCol w:w="10080"/>
      </w:tblGrid>
      <w:tr>
        <w:tc>
          <w:tcPr>
            <w:tcW w:type="dxa" w:w="10310"/>
            <w:shd w:fill="EAF1F8"/>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CTA EXAM STRATEGY</w:t>
            </w:r>
          </w:p>
          <w:p>
            <w:pPr>
              <w:spacing w:before="0" w:after="0" w:line="240" w:lineRule="auto"/>
            </w:pPr>
            <w:r>
              <w:rPr>
                <w:rFonts w:ascii="Arial" w:hAnsi="Arial" w:eastAsia="Arial"/>
                <w:color w:val="1F2937"/>
                <w:sz w:val="16"/>
              </w:rPr>
              <w:t>When an answer treats research as either a command or something to ignore, look for the option that integrates evidence, expertise, client context, feasibility, and measurement.</w:t>
            </w:r>
          </w:p>
        </w:tc>
      </w:tr>
    </w:tbl>
    <w:tbl>
      <w:tblPr>
        <w:tblW w:type="auto" w:w="0"/>
        <w:jc w:val="center"/>
        <w:tblLayout w:type="fixed"/>
        <w:tblLook w:firstColumn="1" w:firstRow="1" w:lastColumn="0" w:lastRow="0" w:noHBand="0" w:noVBand="1" w:val="04A0"/>
      </w:tblPr>
      <w:tblGrid>
        <w:gridCol w:w="10080"/>
      </w:tblGrid>
      <w:tr>
        <w:tc>
          <w:tcPr>
            <w:tcW w:type="dxa" w:w="10310"/>
            <w:shd w:fill="F3F4F6"/>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LIKELY ERROR CODE</w:t>
            </w:r>
          </w:p>
          <w:p>
            <w:pPr>
              <w:spacing w:before="0" w:after="0" w:line="240" w:lineRule="auto"/>
            </w:pPr>
            <w:r>
              <w:rPr>
                <w:rFonts w:ascii="Arial" w:hAnsi="Arial" w:eastAsia="Arial"/>
                <w:color w:val="1F2937"/>
                <w:sz w:val="15"/>
              </w:rPr>
              <w:t>E - Evidence integration error. Evidence informs the decision; it does not make the decision by itself.</w:t>
            </w:r>
          </w:p>
        </w:tc>
      </w:tr>
    </w:tbl>
    <w:p>
      <w:r>
        <w:br w:type="page"/>
      </w:r>
    </w:p>
    <w:p>
      <w:pPr>
        <w:pStyle w:val="Heading2"/>
        <w:spacing w:before="0" w:after="60" w:line="245" w:lineRule="auto"/>
        <w:keepNext/>
      </w:pPr>
      <w:r>
        <w:rPr>
          <w:rFonts w:ascii="Arial" w:hAnsi="Arial" w:eastAsia="Arial"/>
          <w:b/>
          <w:color w:val="17365D"/>
          <w:sz w:val="21"/>
        </w:rPr>
        <w:t>Question 2 (LPCC-WB09-PB-Q002)</w:t>
      </w:r>
    </w:p>
    <w:p>
      <w:pPr>
        <w:spacing w:before="0" w:after="40" w:line="245" w:lineRule="auto"/>
      </w:pPr>
      <w:r>
        <w:rPr>
          <w:rFonts w:ascii="Arial" w:hAnsi="Arial" w:eastAsia="Arial"/>
          <w:b/>
          <w:i w:val="0"/>
          <w:color w:val="159C9C"/>
          <w:sz w:val="15"/>
        </w:rPr>
        <w:t>LPCC-WB09-PB-Q002 | Knowledge &amp; Application | Easy | Primary concept: DOSE and behavioral activation</w:t>
      </w:r>
    </w:p>
    <w:p>
      <w:pPr>
        <w:spacing w:before="0" w:after="40" w:line="245" w:lineRule="auto"/>
      </w:pPr>
      <w:r>
        <w:rPr>
          <w:rFonts w:ascii="Arial" w:hAnsi="Arial" w:eastAsia="Arial"/>
          <w:b/>
          <w:i w:val="0"/>
          <w:color w:val="1F2937"/>
          <w:sz w:val="17"/>
        </w:rPr>
        <w:t>A client with depression has stopped exercising, seeing friends, and completing routine tasks. The client says, "I will start doing things when I feel motivated." Which intervention is the BEST initial fit?</w:t>
      </w:r>
    </w:p>
    <w:p>
      <w:pPr>
        <w:spacing w:before="0" w:after="16" w:line="240" w:lineRule="auto"/>
        <w:ind w:left="259" w:hanging="259"/>
      </w:pPr>
      <w:r>
        <w:rPr>
          <w:rFonts w:ascii="Arial" w:hAnsi="Arial" w:eastAsia="Arial"/>
          <w:sz w:val="16"/>
        </w:rPr>
        <w:t>A. Collaboratively schedule small, values-linked activities and monitor mood, mastery, and follow-through.</w:t>
      </w:r>
    </w:p>
    <w:p>
      <w:pPr>
        <w:spacing w:before="0" w:after="16" w:line="240" w:lineRule="auto"/>
        <w:ind w:left="259" w:hanging="259"/>
      </w:pPr>
      <w:r>
        <w:rPr>
          <w:rFonts w:ascii="Arial" w:hAnsi="Arial" w:eastAsia="Arial"/>
          <w:sz w:val="16"/>
        </w:rPr>
        <w:t>B. Wait for motivation to improve before asking the client to change behavior.</w:t>
      </w:r>
    </w:p>
    <w:p>
      <w:pPr>
        <w:spacing w:before="0" w:after="16" w:line="240" w:lineRule="auto"/>
        <w:ind w:left="259" w:hanging="259"/>
      </w:pPr>
      <w:r>
        <w:rPr>
          <w:rFonts w:ascii="Arial" w:hAnsi="Arial" w:eastAsia="Arial"/>
          <w:sz w:val="16"/>
        </w:rPr>
        <w:t>C. Begin intensive exposure to the client's most distressing memory.</w:t>
      </w:r>
    </w:p>
    <w:p>
      <w:pPr>
        <w:spacing w:before="0" w:after="16" w:line="240" w:lineRule="auto"/>
        <w:ind w:left="259" w:hanging="259"/>
      </w:pPr>
      <w:r>
        <w:rPr>
          <w:rFonts w:ascii="Arial" w:hAnsi="Arial" w:eastAsia="Arial"/>
          <w:sz w:val="16"/>
        </w:rPr>
        <w:t>D. Provide reassurance that inactivity is harmless as long as the client attends sessions.</w:t>
      </w:r>
    </w:p>
    <w:tbl>
      <w:tblPr>
        <w:tblW w:type="auto" w:w="0"/>
        <w:jc w:val="center"/>
        <w:tblLayout w:type="fixed"/>
        <w:tblLook w:firstColumn="1" w:firstRow="1" w:lastColumn="0" w:lastRow="0" w:noHBand="0" w:noVBand="1" w:val="04A0"/>
      </w:tblPr>
      <w:tblGrid>
        <w:gridCol w:w="10080"/>
      </w:tblGrid>
      <w:tr>
        <w:tc>
          <w:tcPr>
            <w:tcW w:type="dxa" w:w="10310"/>
            <w:shd w:fill="E8F5F5"/>
            <w:tcMar>
              <w:top w:w="70" w:type="dxa"/>
              <w:start w:w="95" w:type="dxa"/>
              <w:bottom w:w="70" w:type="dxa"/>
              <w:end w:w="95" w:type="dxa"/>
            </w:tcMar>
            <w:tcBorders>
              <w:top w:val="single" w:sz="7" w:color="159C9C"/>
              <w:left w:val="single" w:sz="7" w:color="159C9C"/>
              <w:bottom w:val="single" w:sz="7" w:color="159C9C"/>
              <w:right w:val="single" w:sz="7" w:color="159C9C"/>
              <w:insideH w:val="single" w:sz="7" w:color="159C9C"/>
              <w:insideV w:val="single" w:sz="7" w:color="159C9C"/>
            </w:tcBorders>
          </w:tcPr>
          <w:p>
            <w:pPr>
              <w:spacing w:before="0" w:after="20" w:line="245" w:lineRule="auto"/>
            </w:pPr>
            <w:r>
              <w:rPr>
                <w:rFonts w:ascii="Arial" w:hAnsi="Arial" w:eastAsia="Arial"/>
                <w:b/>
                <w:color w:val="159C9C"/>
                <w:sz w:val="17"/>
              </w:rPr>
              <w:t>CORRECT ANSWER</w:t>
            </w:r>
          </w:p>
          <w:p>
            <w:pPr>
              <w:spacing w:before="0" w:after="0" w:line="240" w:lineRule="auto"/>
            </w:pPr>
            <w:r>
              <w:rPr>
                <w:rFonts w:ascii="Arial" w:hAnsi="Arial" w:eastAsia="Arial"/>
                <w:color w:val="1F2937"/>
                <w:sz w:val="16"/>
              </w:rPr>
              <w:t>A. Collaboratively schedule small, values-linked activities and monitor mood, mastery, and follow-through.</w:t>
            </w:r>
          </w:p>
        </w:tc>
      </w:tr>
    </w:tbl>
    <w:p>
      <w:pPr>
        <w:pStyle w:val="Heading2"/>
        <w:spacing w:before="0" w:after="60" w:line="245" w:lineRule="auto"/>
        <w:keepNext/>
      </w:pPr>
      <w:r>
        <w:rPr>
          <w:rFonts w:ascii="Arial" w:hAnsi="Arial" w:eastAsia="Arial"/>
          <w:b/>
          <w:color w:val="17365D"/>
          <w:sz w:val="21"/>
        </w:rPr>
        <w:t>Why Each Option Is Correct or Incorrect</w:t>
      </w:r>
    </w:p>
    <w:p>
      <w:pPr>
        <w:spacing w:after="20" w:before="0" w:line="240" w:lineRule="auto"/>
      </w:pPr>
      <w:r>
        <w:rPr>
          <w:rFonts w:ascii="Arial" w:hAnsi="Arial" w:eastAsia="Arial"/>
          <w:b/>
          <w:color w:val="17365D"/>
          <w:sz w:val="16"/>
        </w:rPr>
        <w:t xml:space="preserve">A. </w:t>
      </w:r>
      <w:r>
        <w:rPr>
          <w:rFonts w:ascii="Arial" w:hAnsi="Arial" w:eastAsia="Arial"/>
          <w:sz w:val="16"/>
        </w:rPr>
        <w:t>Correct. Behavioral activation directly targets withdrawal and reduced reinforcement through small, planned, meaningful actions.</w:t>
      </w:r>
    </w:p>
    <w:p>
      <w:pPr>
        <w:spacing w:after="20" w:before="0" w:line="240" w:lineRule="auto"/>
      </w:pPr>
      <w:r>
        <w:rPr>
          <w:rFonts w:ascii="Arial" w:hAnsi="Arial" w:eastAsia="Arial"/>
          <w:b/>
          <w:color w:val="17365D"/>
          <w:sz w:val="16"/>
        </w:rPr>
        <w:t xml:space="preserve">B. </w:t>
      </w:r>
      <w:r>
        <w:rPr>
          <w:rFonts w:ascii="Arial" w:hAnsi="Arial" w:eastAsia="Arial"/>
          <w:sz w:val="16"/>
        </w:rPr>
        <w:t>Incorrect. Waiting for motivation can preserve the withdrawal cycle that maintains depression.</w:t>
      </w:r>
    </w:p>
    <w:p>
      <w:pPr>
        <w:spacing w:after="20" w:before="0" w:line="240" w:lineRule="auto"/>
      </w:pPr>
      <w:r>
        <w:rPr>
          <w:rFonts w:ascii="Arial" w:hAnsi="Arial" w:eastAsia="Arial"/>
          <w:b/>
          <w:color w:val="17365D"/>
          <w:sz w:val="16"/>
        </w:rPr>
        <w:t xml:space="preserve">C. </w:t>
      </w:r>
      <w:r>
        <w:rPr>
          <w:rFonts w:ascii="Arial" w:hAnsi="Arial" w:eastAsia="Arial"/>
          <w:sz w:val="16"/>
        </w:rPr>
        <w:t>Incorrect. Trauma exposure is not supported by the information given and does not match the stated maintaining mechanism.</w:t>
      </w:r>
    </w:p>
    <w:p>
      <w:pPr>
        <w:spacing w:after="20" w:before="0" w:line="240" w:lineRule="auto"/>
      </w:pPr>
      <w:r>
        <w:rPr>
          <w:rFonts w:ascii="Arial" w:hAnsi="Arial" w:eastAsia="Arial"/>
          <w:b/>
          <w:color w:val="17365D"/>
          <w:sz w:val="16"/>
        </w:rPr>
        <w:t xml:space="preserve">D. </w:t>
      </w:r>
      <w:r>
        <w:rPr>
          <w:rFonts w:ascii="Arial" w:hAnsi="Arial" w:eastAsia="Arial"/>
          <w:sz w:val="16"/>
        </w:rPr>
        <w:t>Incorrect. Reassurance does not address impairment or rebuild contact with valued activity.</w:t>
      </w:r>
    </w:p>
    <w:tbl>
      <w:tblPr>
        <w:tblW w:type="auto" w:w="0"/>
        <w:jc w:val="center"/>
        <w:tblLayout w:type="fixed"/>
        <w:tblLook w:firstColumn="1" w:firstRow="1" w:lastColumn="0" w:lastRow="0" w:noHBand="0" w:noVBand="1" w:val="04A0"/>
      </w:tblPr>
      <w:tblGrid>
        <w:gridCol w:w="10080"/>
      </w:tblGrid>
      <w:tr>
        <w:tc>
          <w:tcPr>
            <w:tcW w:type="dxa" w:w="10310"/>
            <w:shd w:fill="EAF1F8"/>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CTA EXAM STRATEGY</w:t>
            </w:r>
          </w:p>
          <w:p>
            <w:pPr>
              <w:spacing w:before="0" w:after="0" w:line="240" w:lineRule="auto"/>
            </w:pPr>
            <w:r>
              <w:rPr>
                <w:rFonts w:ascii="Arial" w:hAnsi="Arial" w:eastAsia="Arial"/>
                <w:color w:val="1F2937"/>
                <w:sz w:val="16"/>
              </w:rPr>
              <w:t>Match the intervention to the maintaining mechanism. Withdrawal and loss of reinforcement point toward behavioral activation, not waiting or unrelated intensity.</w:t>
            </w:r>
          </w:p>
        </w:tc>
      </w:tr>
    </w:tbl>
    <w:tbl>
      <w:tblPr>
        <w:tblW w:type="auto" w:w="0"/>
        <w:jc w:val="center"/>
        <w:tblLayout w:type="fixed"/>
        <w:tblLook w:firstColumn="1" w:firstRow="1" w:lastColumn="0" w:lastRow="0" w:noHBand="0" w:noVBand="1" w:val="04A0"/>
      </w:tblPr>
      <w:tblGrid>
        <w:gridCol w:w="10080"/>
      </w:tblGrid>
      <w:tr>
        <w:tc>
          <w:tcPr>
            <w:tcW w:type="dxa" w:w="10310"/>
            <w:shd w:fill="F3F4F6"/>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LIKELY ERROR CODE</w:t>
            </w:r>
          </w:p>
          <w:p>
            <w:pPr>
              <w:spacing w:before="0" w:after="0" w:line="240" w:lineRule="auto"/>
            </w:pPr>
            <w:r>
              <w:rPr>
                <w:rFonts w:ascii="Arial" w:hAnsi="Arial" w:eastAsia="Arial"/>
                <w:color w:val="1F2937"/>
                <w:sz w:val="15"/>
              </w:rPr>
              <w:t>M - Mechanism mismatch. Action can precede motivation; treatment often helps motivation grow through contact with reinforcement.</w:t>
            </w:r>
          </w:p>
        </w:tc>
      </w:tr>
    </w:tbl>
    <w:p>
      <w:r>
        <w:br w:type="page"/>
      </w:r>
    </w:p>
    <w:p>
      <w:pPr>
        <w:pStyle w:val="Heading2"/>
        <w:spacing w:before="0" w:after="60" w:line="245" w:lineRule="auto"/>
        <w:keepNext/>
      </w:pPr>
      <w:r>
        <w:rPr>
          <w:rFonts w:ascii="Arial" w:hAnsi="Arial" w:eastAsia="Arial"/>
          <w:b/>
          <w:color w:val="17365D"/>
          <w:sz w:val="21"/>
        </w:rPr>
        <w:t>Question 3 (LPCC-WB09-PB-Q003)</w:t>
      </w:r>
    </w:p>
    <w:p>
      <w:pPr>
        <w:spacing w:before="0" w:after="40" w:line="245" w:lineRule="auto"/>
      </w:pPr>
      <w:r>
        <w:rPr>
          <w:rFonts w:ascii="Arial" w:hAnsi="Arial" w:eastAsia="Arial"/>
          <w:b/>
          <w:i w:val="0"/>
          <w:color w:val="159C9C"/>
          <w:sz w:val="15"/>
        </w:rPr>
        <w:t>LPCC-WB09-PB-Q003 | Application | Moderate | Primary concept: PHASE trauma sequencing</w:t>
      </w:r>
    </w:p>
    <w:p>
      <w:pPr>
        <w:spacing w:before="0" w:after="40" w:line="245" w:lineRule="auto"/>
      </w:pPr>
      <w:r>
        <w:rPr>
          <w:rFonts w:ascii="Arial" w:hAnsi="Arial" w:eastAsia="Arial"/>
          <w:b/>
          <w:i w:val="0"/>
          <w:color w:val="1F2937"/>
          <w:sz w:val="17"/>
        </w:rPr>
        <w:t>Two weeks after an assault, a client is sleeping in different places, arrives intoxicated, has not completed a medical follow-up, and asks to begin detailed trauma-memory processing immediately. What should the counselor do FIRST?</w:t>
      </w:r>
    </w:p>
    <w:p>
      <w:pPr>
        <w:spacing w:before="0" w:after="16" w:line="240" w:lineRule="auto"/>
        <w:ind w:left="259" w:hanging="259"/>
      </w:pPr>
      <w:r>
        <w:rPr>
          <w:rFonts w:ascii="Arial" w:hAnsi="Arial" w:eastAsia="Arial"/>
          <w:sz w:val="16"/>
        </w:rPr>
        <w:t>A. Begin detailed trauma processing because early exposure always prevents chronic symptoms.</w:t>
      </w:r>
    </w:p>
    <w:p>
      <w:pPr>
        <w:spacing w:before="0" w:after="16" w:line="240" w:lineRule="auto"/>
        <w:ind w:left="259" w:hanging="259"/>
      </w:pPr>
      <w:r>
        <w:rPr>
          <w:rFonts w:ascii="Arial" w:hAnsi="Arial" w:eastAsia="Arial"/>
          <w:sz w:val="16"/>
        </w:rPr>
        <w:t>B. Avoid all trauma-related discussion until the client has permanent housing.</w:t>
      </w:r>
    </w:p>
    <w:p>
      <w:pPr>
        <w:spacing w:before="0" w:after="16" w:line="240" w:lineRule="auto"/>
        <w:ind w:left="259" w:hanging="259"/>
      </w:pPr>
      <w:r>
        <w:rPr>
          <w:rFonts w:ascii="Arial" w:hAnsi="Arial" w:eastAsia="Arial"/>
          <w:sz w:val="16"/>
        </w:rPr>
        <w:t>C. Ask the client to sign a commitment to abstain from substances before receiving any care.</w:t>
      </w:r>
    </w:p>
    <w:p>
      <w:pPr>
        <w:spacing w:before="0" w:after="16" w:line="240" w:lineRule="auto"/>
        <w:ind w:left="259" w:hanging="259"/>
      </w:pPr>
      <w:r>
        <w:rPr>
          <w:rFonts w:ascii="Arial" w:hAnsi="Arial" w:eastAsia="Arial"/>
          <w:sz w:val="16"/>
        </w:rPr>
        <w:t>D. Address immediate safety, intoxication and medical needs, stabilize access and coping, explain treatment options, and defer focused processing until the client can participate safely and voluntarily.</w:t>
      </w:r>
    </w:p>
    <w:tbl>
      <w:tblPr>
        <w:tblW w:type="auto" w:w="0"/>
        <w:jc w:val="center"/>
        <w:tblLayout w:type="fixed"/>
        <w:tblLook w:firstColumn="1" w:firstRow="1" w:lastColumn="0" w:lastRow="0" w:noHBand="0" w:noVBand="1" w:val="04A0"/>
      </w:tblPr>
      <w:tblGrid>
        <w:gridCol w:w="10080"/>
      </w:tblGrid>
      <w:tr>
        <w:tc>
          <w:tcPr>
            <w:tcW w:type="dxa" w:w="10310"/>
            <w:shd w:fill="E8F5F5"/>
            <w:tcMar>
              <w:top w:w="70" w:type="dxa"/>
              <w:start w:w="95" w:type="dxa"/>
              <w:bottom w:w="70" w:type="dxa"/>
              <w:end w:w="95" w:type="dxa"/>
            </w:tcMar>
            <w:tcBorders>
              <w:top w:val="single" w:sz="7" w:color="159C9C"/>
              <w:left w:val="single" w:sz="7" w:color="159C9C"/>
              <w:bottom w:val="single" w:sz="7" w:color="159C9C"/>
              <w:right w:val="single" w:sz="7" w:color="159C9C"/>
              <w:insideH w:val="single" w:sz="7" w:color="159C9C"/>
              <w:insideV w:val="single" w:sz="7" w:color="159C9C"/>
            </w:tcBorders>
          </w:tcPr>
          <w:p>
            <w:pPr>
              <w:spacing w:before="0" w:after="20" w:line="245" w:lineRule="auto"/>
            </w:pPr>
            <w:r>
              <w:rPr>
                <w:rFonts w:ascii="Arial" w:hAnsi="Arial" w:eastAsia="Arial"/>
                <w:b/>
                <w:color w:val="159C9C"/>
                <w:sz w:val="17"/>
              </w:rPr>
              <w:t>CORRECT ANSWER</w:t>
            </w:r>
          </w:p>
          <w:p>
            <w:pPr>
              <w:spacing w:before="0" w:after="0" w:line="240" w:lineRule="auto"/>
            </w:pPr>
            <w:r>
              <w:rPr>
                <w:rFonts w:ascii="Arial" w:hAnsi="Arial" w:eastAsia="Arial"/>
                <w:color w:val="1F2937"/>
                <w:sz w:val="16"/>
              </w:rPr>
              <w:t>D. Address immediate safety, intoxication and medical needs, stabilize access and coping, explain treatment options, and defer focused processing until the client can participate safely and voluntarily.</w:t>
            </w:r>
          </w:p>
        </w:tc>
      </w:tr>
    </w:tbl>
    <w:p>
      <w:pPr>
        <w:pStyle w:val="Heading2"/>
        <w:spacing w:before="0" w:after="60" w:line="245" w:lineRule="auto"/>
        <w:keepNext/>
      </w:pPr>
      <w:r>
        <w:rPr>
          <w:rFonts w:ascii="Arial" w:hAnsi="Arial" w:eastAsia="Arial"/>
          <w:b/>
          <w:color w:val="17365D"/>
          <w:sz w:val="21"/>
        </w:rPr>
        <w:t>Why Each Option Is Correct or Incorrect</w:t>
      </w:r>
    </w:p>
    <w:p>
      <w:pPr>
        <w:spacing w:after="20" w:before="0" w:line="240" w:lineRule="auto"/>
      </w:pPr>
      <w:r>
        <w:rPr>
          <w:rFonts w:ascii="Arial" w:hAnsi="Arial" w:eastAsia="Arial"/>
          <w:b/>
          <w:color w:val="17365D"/>
          <w:sz w:val="16"/>
        </w:rPr>
        <w:t xml:space="preserve">A. </w:t>
      </w:r>
      <w:r>
        <w:rPr>
          <w:rFonts w:ascii="Arial" w:hAnsi="Arial" w:eastAsia="Arial"/>
          <w:sz w:val="16"/>
        </w:rPr>
        <w:t>Incorrect. Focused processing is premature when intoxication, medical needs, and basic instability interfere with safe participation.</w:t>
      </w:r>
    </w:p>
    <w:p>
      <w:pPr>
        <w:spacing w:after="20" w:before="0" w:line="240" w:lineRule="auto"/>
      </w:pPr>
      <w:r>
        <w:rPr>
          <w:rFonts w:ascii="Arial" w:hAnsi="Arial" w:eastAsia="Arial"/>
          <w:b/>
          <w:color w:val="17365D"/>
          <w:sz w:val="16"/>
        </w:rPr>
        <w:t xml:space="preserve">B. </w:t>
      </w:r>
      <w:r>
        <w:rPr>
          <w:rFonts w:ascii="Arial" w:hAnsi="Arial" w:eastAsia="Arial"/>
          <w:sz w:val="16"/>
        </w:rPr>
        <w:t>Incorrect. The counselor can address trauma-related symptoms and support without forcing detailed processing.</w:t>
      </w:r>
    </w:p>
    <w:p>
      <w:pPr>
        <w:spacing w:after="20" w:before="0" w:line="240" w:lineRule="auto"/>
      </w:pPr>
      <w:r>
        <w:rPr>
          <w:rFonts w:ascii="Arial" w:hAnsi="Arial" w:eastAsia="Arial"/>
          <w:b/>
          <w:color w:val="17365D"/>
          <w:sz w:val="16"/>
        </w:rPr>
        <w:t xml:space="preserve">C. </w:t>
      </w:r>
      <w:r>
        <w:rPr>
          <w:rFonts w:ascii="Arial" w:hAnsi="Arial" w:eastAsia="Arial"/>
          <w:sz w:val="16"/>
        </w:rPr>
        <w:t>Incorrect. A punitive prerequisite can undermine engagement and does not substitute for assessment, harm reduction, or coordinated care.</w:t>
      </w:r>
    </w:p>
    <w:p>
      <w:pPr>
        <w:spacing w:after="20" w:before="0" w:line="240" w:lineRule="auto"/>
      </w:pPr>
      <w:r>
        <w:rPr>
          <w:rFonts w:ascii="Arial" w:hAnsi="Arial" w:eastAsia="Arial"/>
          <w:b/>
          <w:color w:val="17365D"/>
          <w:sz w:val="16"/>
        </w:rPr>
        <w:t xml:space="preserve">D. </w:t>
      </w:r>
      <w:r>
        <w:rPr>
          <w:rFonts w:ascii="Arial" w:hAnsi="Arial" w:eastAsia="Arial"/>
          <w:sz w:val="16"/>
        </w:rPr>
        <w:t>Correct. PHASE reasoning prioritizes safety, stabilization, readiness, informed choice, and appropriate sequencing before focused trauma work.</w:t>
      </w:r>
    </w:p>
    <w:tbl>
      <w:tblPr>
        <w:tblW w:type="auto" w:w="0"/>
        <w:jc w:val="center"/>
        <w:tblLayout w:type="fixed"/>
        <w:tblLook w:firstColumn="1" w:firstRow="1" w:lastColumn="0" w:lastRow="0" w:noHBand="0" w:noVBand="1" w:val="04A0"/>
      </w:tblPr>
      <w:tblGrid>
        <w:gridCol w:w="10080"/>
      </w:tblGrid>
      <w:tr>
        <w:tc>
          <w:tcPr>
            <w:tcW w:type="dxa" w:w="10310"/>
            <w:shd w:fill="EAF1F8"/>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CTA EXAM STRATEGY</w:t>
            </w:r>
          </w:p>
          <w:p>
            <w:pPr>
              <w:spacing w:before="0" w:after="0" w:line="240" w:lineRule="auto"/>
            </w:pPr>
            <w:r>
              <w:rPr>
                <w:rFonts w:ascii="Arial" w:hAnsi="Arial" w:eastAsia="Arial"/>
                <w:color w:val="1F2937"/>
                <w:sz w:val="16"/>
              </w:rPr>
              <w:t>For trauma questions, separate trauma-informed support from trauma processing. Safety, medical urgency, intoxication, housing, and capacity control the sequence.</w:t>
            </w:r>
          </w:p>
        </w:tc>
      </w:tr>
    </w:tbl>
    <w:tbl>
      <w:tblPr>
        <w:tblW w:type="auto" w:w="0"/>
        <w:jc w:val="center"/>
        <w:tblLayout w:type="fixed"/>
        <w:tblLook w:firstColumn="1" w:firstRow="1" w:lastColumn="0" w:lastRow="0" w:noHBand="0" w:noVBand="1" w:val="04A0"/>
      </w:tblPr>
      <w:tblGrid>
        <w:gridCol w:w="10080"/>
      </w:tblGrid>
      <w:tr>
        <w:tc>
          <w:tcPr>
            <w:tcW w:type="dxa" w:w="10310"/>
            <w:shd w:fill="F3F4F6"/>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LIKELY ERROR CODE</w:t>
            </w:r>
          </w:p>
          <w:p>
            <w:pPr>
              <w:spacing w:before="0" w:after="0" w:line="240" w:lineRule="auto"/>
            </w:pPr>
            <w:r>
              <w:rPr>
                <w:rFonts w:ascii="Arial" w:hAnsi="Arial" w:eastAsia="Arial"/>
                <w:color w:val="1F2937"/>
                <w:sz w:val="15"/>
              </w:rPr>
              <w:t>P - Phase mismatch. Trauma treatment is not one intervention delivered at one intensity to every client at every phase.</w:t>
            </w:r>
          </w:p>
        </w:tc>
      </w:tr>
    </w:tbl>
    <w:p>
      <w:r>
        <w:br w:type="page"/>
      </w:r>
    </w:p>
    <w:p>
      <w:pPr>
        <w:pStyle w:val="Heading2"/>
        <w:spacing w:before="0" w:after="60" w:line="245" w:lineRule="auto"/>
        <w:keepNext/>
      </w:pPr>
      <w:r>
        <w:rPr>
          <w:rFonts w:ascii="Arial" w:hAnsi="Arial" w:eastAsia="Arial"/>
          <w:b/>
          <w:color w:val="17365D"/>
          <w:sz w:val="21"/>
        </w:rPr>
        <w:t>Question 4 (LPCC-WB09-PB-Q004)</w:t>
      </w:r>
    </w:p>
    <w:p>
      <w:pPr>
        <w:spacing w:before="0" w:after="40" w:line="245" w:lineRule="auto"/>
      </w:pPr>
      <w:r>
        <w:rPr>
          <w:rFonts w:ascii="Arial" w:hAnsi="Arial" w:eastAsia="Arial"/>
          <w:b/>
          <w:i w:val="0"/>
          <w:color w:val="159C9C"/>
          <w:sz w:val="15"/>
        </w:rPr>
        <w:t>LPCC-WB09-PB-Q004 | Application | Moderate | Primary concept: CHANGE and motivational interviewing</w:t>
      </w:r>
    </w:p>
    <w:p>
      <w:pPr>
        <w:spacing w:before="0" w:after="40" w:line="245" w:lineRule="auto"/>
      </w:pPr>
      <w:r>
        <w:rPr>
          <w:rFonts w:ascii="Arial" w:hAnsi="Arial" w:eastAsia="Arial"/>
          <w:b/>
          <w:i w:val="0"/>
          <w:color w:val="1F2937"/>
          <w:sz w:val="17"/>
        </w:rPr>
        <w:t>A client says, "Alcohol helps me fall asleep, but I hate feeling foggy at work. I am not sure I want to cut back." Which counselor response BEST reflects motivational interviewing?</w:t>
      </w:r>
    </w:p>
    <w:p>
      <w:pPr>
        <w:spacing w:before="0" w:after="16" w:line="240" w:lineRule="auto"/>
        <w:ind w:left="259" w:hanging="259"/>
      </w:pPr>
      <w:r>
        <w:rPr>
          <w:rFonts w:ascii="Arial" w:hAnsi="Arial" w:eastAsia="Arial"/>
          <w:sz w:val="16"/>
        </w:rPr>
        <w:t>A. "You need to stop drinking before counseling can be effective."</w:t>
      </w:r>
    </w:p>
    <w:p>
      <w:pPr>
        <w:spacing w:before="0" w:after="16" w:line="240" w:lineRule="auto"/>
        <w:ind w:left="259" w:hanging="259"/>
      </w:pPr>
      <w:r>
        <w:rPr>
          <w:rFonts w:ascii="Arial" w:hAnsi="Arial" w:eastAsia="Arial"/>
          <w:sz w:val="16"/>
        </w:rPr>
        <w:t>B. "Alcohol is clearly the only cause of your sleep problem."</w:t>
      </w:r>
    </w:p>
    <w:p>
      <w:pPr>
        <w:spacing w:before="0" w:after="16" w:line="240" w:lineRule="auto"/>
        <w:ind w:left="259" w:hanging="259"/>
      </w:pPr>
      <w:r>
        <w:rPr>
          <w:rFonts w:ascii="Arial" w:hAnsi="Arial" w:eastAsia="Arial"/>
          <w:sz w:val="16"/>
        </w:rPr>
        <w:t>C. "Part of you values the quick relief, and another part is worried about work. What changes, if any, would fit the life you want?"</w:t>
      </w:r>
    </w:p>
    <w:p>
      <w:pPr>
        <w:spacing w:before="0" w:after="16" w:line="240" w:lineRule="auto"/>
        <w:ind w:left="259" w:hanging="259"/>
      </w:pPr>
      <w:r>
        <w:rPr>
          <w:rFonts w:ascii="Arial" w:hAnsi="Arial" w:eastAsia="Arial"/>
          <w:sz w:val="16"/>
        </w:rPr>
        <w:t>D. "I will decide on the correct goal after you complete a personality inventory."</w:t>
      </w:r>
    </w:p>
    <w:tbl>
      <w:tblPr>
        <w:tblW w:type="auto" w:w="0"/>
        <w:jc w:val="center"/>
        <w:tblLayout w:type="fixed"/>
        <w:tblLook w:firstColumn="1" w:firstRow="1" w:lastColumn="0" w:lastRow="0" w:noHBand="0" w:noVBand="1" w:val="04A0"/>
      </w:tblPr>
      <w:tblGrid>
        <w:gridCol w:w="10080"/>
      </w:tblGrid>
      <w:tr>
        <w:tc>
          <w:tcPr>
            <w:tcW w:type="dxa" w:w="10310"/>
            <w:shd w:fill="E8F5F5"/>
            <w:tcMar>
              <w:top w:w="70" w:type="dxa"/>
              <w:start w:w="95" w:type="dxa"/>
              <w:bottom w:w="70" w:type="dxa"/>
              <w:end w:w="95" w:type="dxa"/>
            </w:tcMar>
            <w:tcBorders>
              <w:top w:val="single" w:sz="7" w:color="159C9C"/>
              <w:left w:val="single" w:sz="7" w:color="159C9C"/>
              <w:bottom w:val="single" w:sz="7" w:color="159C9C"/>
              <w:right w:val="single" w:sz="7" w:color="159C9C"/>
              <w:insideH w:val="single" w:sz="7" w:color="159C9C"/>
              <w:insideV w:val="single" w:sz="7" w:color="159C9C"/>
            </w:tcBorders>
          </w:tcPr>
          <w:p>
            <w:pPr>
              <w:spacing w:before="0" w:after="20" w:line="245" w:lineRule="auto"/>
            </w:pPr>
            <w:r>
              <w:rPr>
                <w:rFonts w:ascii="Arial" w:hAnsi="Arial" w:eastAsia="Arial"/>
                <w:b/>
                <w:color w:val="159C9C"/>
                <w:sz w:val="17"/>
              </w:rPr>
              <w:t>CORRECT ANSWER</w:t>
            </w:r>
          </w:p>
          <w:p>
            <w:pPr>
              <w:spacing w:before="0" w:after="0" w:line="240" w:lineRule="auto"/>
            </w:pPr>
            <w:r>
              <w:rPr>
                <w:rFonts w:ascii="Arial" w:hAnsi="Arial" w:eastAsia="Arial"/>
                <w:color w:val="1F2937"/>
                <w:sz w:val="16"/>
              </w:rPr>
              <w:t>C. "Part of you values the quick relief, and another part is worried about work. What changes, if any, would fit the life you want?"</w:t>
            </w:r>
          </w:p>
        </w:tc>
      </w:tr>
    </w:tbl>
    <w:p>
      <w:pPr>
        <w:pStyle w:val="Heading2"/>
        <w:spacing w:before="0" w:after="60" w:line="245" w:lineRule="auto"/>
        <w:keepNext/>
      </w:pPr>
      <w:r>
        <w:rPr>
          <w:rFonts w:ascii="Arial" w:hAnsi="Arial" w:eastAsia="Arial"/>
          <w:b/>
          <w:color w:val="17365D"/>
          <w:sz w:val="21"/>
        </w:rPr>
        <w:t>Why Each Option Is Correct or Incorrect</w:t>
      </w:r>
    </w:p>
    <w:p>
      <w:pPr>
        <w:spacing w:after="20" w:before="0" w:line="240" w:lineRule="auto"/>
      </w:pPr>
      <w:r>
        <w:rPr>
          <w:rFonts w:ascii="Arial" w:hAnsi="Arial" w:eastAsia="Arial"/>
          <w:b/>
          <w:color w:val="17365D"/>
          <w:sz w:val="16"/>
        </w:rPr>
        <w:t xml:space="preserve">A. </w:t>
      </w:r>
      <w:r>
        <w:rPr>
          <w:rFonts w:ascii="Arial" w:hAnsi="Arial" w:eastAsia="Arial"/>
          <w:sz w:val="16"/>
        </w:rPr>
        <w:t>Incorrect. Confrontational direction can increase resistance and bypass the client's autonomy and ambivalence.</w:t>
      </w:r>
    </w:p>
    <w:p>
      <w:pPr>
        <w:spacing w:after="20" w:before="0" w:line="240" w:lineRule="auto"/>
      </w:pPr>
      <w:r>
        <w:rPr>
          <w:rFonts w:ascii="Arial" w:hAnsi="Arial" w:eastAsia="Arial"/>
          <w:b/>
          <w:color w:val="17365D"/>
          <w:sz w:val="16"/>
        </w:rPr>
        <w:t xml:space="preserve">B. </w:t>
      </w:r>
      <w:r>
        <w:rPr>
          <w:rFonts w:ascii="Arial" w:hAnsi="Arial" w:eastAsia="Arial"/>
          <w:sz w:val="16"/>
        </w:rPr>
        <w:t>Incorrect. The statement overclaims causation and ignores assessment of other sleep factors.</w:t>
      </w:r>
    </w:p>
    <w:p>
      <w:pPr>
        <w:spacing w:after="20" w:before="0" w:line="240" w:lineRule="auto"/>
      </w:pPr>
      <w:r>
        <w:rPr>
          <w:rFonts w:ascii="Arial" w:hAnsi="Arial" w:eastAsia="Arial"/>
          <w:b/>
          <w:color w:val="17365D"/>
          <w:sz w:val="16"/>
        </w:rPr>
        <w:t xml:space="preserve">C. </w:t>
      </w:r>
      <w:r>
        <w:rPr>
          <w:rFonts w:ascii="Arial" w:hAnsi="Arial" w:eastAsia="Arial"/>
          <w:sz w:val="16"/>
        </w:rPr>
        <w:t>Correct. The response reflects both sides of ambivalence and elicits the client's own reasons and goals for change.</w:t>
      </w:r>
    </w:p>
    <w:p>
      <w:pPr>
        <w:spacing w:after="20" w:before="0" w:line="240" w:lineRule="auto"/>
      </w:pPr>
      <w:r>
        <w:rPr>
          <w:rFonts w:ascii="Arial" w:hAnsi="Arial" w:eastAsia="Arial"/>
          <w:b/>
          <w:color w:val="17365D"/>
          <w:sz w:val="16"/>
        </w:rPr>
        <w:t xml:space="preserve">D. </w:t>
      </w:r>
      <w:r>
        <w:rPr>
          <w:rFonts w:ascii="Arial" w:hAnsi="Arial" w:eastAsia="Arial"/>
          <w:sz w:val="16"/>
        </w:rPr>
        <w:t>Incorrect. Testing is not the immediate task, and the counselor should not take ownership of the client's decision.</w:t>
      </w:r>
    </w:p>
    <w:tbl>
      <w:tblPr>
        <w:tblW w:type="auto" w:w="0"/>
        <w:jc w:val="center"/>
        <w:tblLayout w:type="fixed"/>
        <w:tblLook w:firstColumn="1" w:firstRow="1" w:lastColumn="0" w:lastRow="0" w:noHBand="0" w:noVBand="1" w:val="04A0"/>
      </w:tblPr>
      <w:tblGrid>
        <w:gridCol w:w="10080"/>
      </w:tblGrid>
      <w:tr>
        <w:tc>
          <w:tcPr>
            <w:tcW w:type="dxa" w:w="10310"/>
            <w:shd w:fill="EAF1F8"/>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CTA EXAM STRATEGY</w:t>
            </w:r>
          </w:p>
          <w:p>
            <w:pPr>
              <w:spacing w:before="0" w:after="0" w:line="240" w:lineRule="auto"/>
            </w:pPr>
            <w:r>
              <w:rPr>
                <w:rFonts w:ascii="Arial" w:hAnsi="Arial" w:eastAsia="Arial"/>
                <w:color w:val="1F2937"/>
                <w:sz w:val="16"/>
              </w:rPr>
              <w:t>MI answers sound collaborative, autonomy-supportive, and curious. They evoke rather than prescribe motivation.</w:t>
            </w:r>
          </w:p>
        </w:tc>
      </w:tr>
    </w:tbl>
    <w:tbl>
      <w:tblPr>
        <w:tblW w:type="auto" w:w="0"/>
        <w:jc w:val="center"/>
        <w:tblLayout w:type="fixed"/>
        <w:tblLook w:firstColumn="1" w:firstRow="1" w:lastColumn="0" w:lastRow="0" w:noHBand="0" w:noVBand="1" w:val="04A0"/>
      </w:tblPr>
      <w:tblGrid>
        <w:gridCol w:w="10080"/>
      </w:tblGrid>
      <w:tr>
        <w:tc>
          <w:tcPr>
            <w:tcW w:type="dxa" w:w="10310"/>
            <w:shd w:fill="F3F4F6"/>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LIKELY ERROR CODE</w:t>
            </w:r>
          </w:p>
          <w:p>
            <w:pPr>
              <w:spacing w:before="0" w:after="0" w:line="240" w:lineRule="auto"/>
            </w:pPr>
            <w:r>
              <w:rPr>
                <w:rFonts w:ascii="Arial" w:hAnsi="Arial" w:eastAsia="Arial"/>
                <w:color w:val="1F2937"/>
                <w:sz w:val="15"/>
              </w:rPr>
              <w:t>C - CHANGE failure. Ambivalence is material for counseling, not proof that the client is unmotivated.</w:t>
            </w:r>
          </w:p>
        </w:tc>
      </w:tr>
    </w:tbl>
    <w:p>
      <w:r>
        <w:br w:type="page"/>
      </w:r>
    </w:p>
    <w:p>
      <w:pPr>
        <w:pStyle w:val="Heading2"/>
        <w:spacing w:before="0" w:after="60" w:line="245" w:lineRule="auto"/>
        <w:keepNext/>
      </w:pPr>
      <w:r>
        <w:rPr>
          <w:rFonts w:ascii="Arial" w:hAnsi="Arial" w:eastAsia="Arial"/>
          <w:b/>
          <w:color w:val="17365D"/>
          <w:sz w:val="21"/>
        </w:rPr>
        <w:t>Question 5 (LPCC-WB09-PB-Q005)</w:t>
      </w:r>
    </w:p>
    <w:p>
      <w:pPr>
        <w:spacing w:before="0" w:after="40" w:line="245" w:lineRule="auto"/>
      </w:pPr>
      <w:r>
        <w:rPr>
          <w:rFonts w:ascii="Arial" w:hAnsi="Arial" w:eastAsia="Arial"/>
          <w:b/>
          <w:i w:val="0"/>
          <w:color w:val="159C9C"/>
          <w:sz w:val="15"/>
        </w:rPr>
        <w:t>LPCC-WB09-PB-Q005 | Integrated Clinical Reasoning | Difficult | Primary concept: PIVOT nonresponse review</w:t>
      </w:r>
    </w:p>
    <w:p>
      <w:pPr>
        <w:spacing w:before="0" w:after="40" w:line="245" w:lineRule="auto"/>
      </w:pPr>
      <w:r>
        <w:rPr>
          <w:rFonts w:ascii="Arial" w:hAnsi="Arial" w:eastAsia="Arial"/>
          <w:b/>
          <w:i w:val="0"/>
          <w:color w:val="1F2937"/>
          <w:sz w:val="17"/>
        </w:rPr>
        <w:t>After eight weeks of CBT for panic, a client reports little improvement. Attendance is consistent, but the counselor relied heavily on written worksheets the client struggles to read, and exposure was practiced only twice. What is the BEST next step?</w:t>
      </w:r>
    </w:p>
    <w:p>
      <w:pPr>
        <w:spacing w:before="0" w:after="16" w:line="240" w:lineRule="auto"/>
        <w:ind w:left="259" w:hanging="259"/>
      </w:pPr>
      <w:r>
        <w:rPr>
          <w:rFonts w:ascii="Arial" w:hAnsi="Arial" w:eastAsia="Arial"/>
          <w:sz w:val="16"/>
        </w:rPr>
        <w:t>A. Declare CBT ineffective and immediately replace it with an unrelated treatment.</w:t>
      </w:r>
    </w:p>
    <w:p>
      <w:pPr>
        <w:spacing w:before="0" w:after="16" w:line="240" w:lineRule="auto"/>
        <w:ind w:left="259" w:hanging="259"/>
      </w:pPr>
      <w:r>
        <w:rPr>
          <w:rFonts w:ascii="Arial" w:hAnsi="Arial" w:eastAsia="Arial"/>
          <w:sz w:val="16"/>
        </w:rPr>
        <w:t>B. Review the formulation, alliance, literacy barrier, active ingredients, exposure dosage and fidelity, adapt delivery while preserving the mechanism, and then reassess response.</w:t>
      </w:r>
    </w:p>
    <w:p>
      <w:pPr>
        <w:spacing w:before="0" w:after="16" w:line="240" w:lineRule="auto"/>
        <w:ind w:left="259" w:hanging="259"/>
      </w:pPr>
      <w:r>
        <w:rPr>
          <w:rFonts w:ascii="Arial" w:hAnsi="Arial" w:eastAsia="Arial"/>
          <w:sz w:val="16"/>
        </w:rPr>
        <w:t>C. Continue the identical plan for eight more weeks because evidence-based treatment should never be modified.</w:t>
      </w:r>
    </w:p>
    <w:p>
      <w:pPr>
        <w:spacing w:before="0" w:after="16" w:line="240" w:lineRule="auto"/>
        <w:ind w:left="259" w:hanging="259"/>
      </w:pPr>
      <w:r>
        <w:rPr>
          <w:rFonts w:ascii="Arial" w:hAnsi="Arial" w:eastAsia="Arial"/>
          <w:sz w:val="16"/>
        </w:rPr>
        <w:t>D. Conclude that the client is resistant because homework was incomplete.</w:t>
      </w:r>
    </w:p>
    <w:tbl>
      <w:tblPr>
        <w:tblW w:type="auto" w:w="0"/>
        <w:jc w:val="center"/>
        <w:tblLayout w:type="fixed"/>
        <w:tblLook w:firstColumn="1" w:firstRow="1" w:lastColumn="0" w:lastRow="0" w:noHBand="0" w:noVBand="1" w:val="04A0"/>
      </w:tblPr>
      <w:tblGrid>
        <w:gridCol w:w="10080"/>
      </w:tblGrid>
      <w:tr>
        <w:tc>
          <w:tcPr>
            <w:tcW w:type="dxa" w:w="10310"/>
            <w:shd w:fill="E8F5F5"/>
            <w:tcMar>
              <w:top w:w="70" w:type="dxa"/>
              <w:start w:w="95" w:type="dxa"/>
              <w:bottom w:w="70" w:type="dxa"/>
              <w:end w:w="95" w:type="dxa"/>
            </w:tcMar>
            <w:tcBorders>
              <w:top w:val="single" w:sz="7" w:color="159C9C"/>
              <w:left w:val="single" w:sz="7" w:color="159C9C"/>
              <w:bottom w:val="single" w:sz="7" w:color="159C9C"/>
              <w:right w:val="single" w:sz="7" w:color="159C9C"/>
              <w:insideH w:val="single" w:sz="7" w:color="159C9C"/>
              <w:insideV w:val="single" w:sz="7" w:color="159C9C"/>
            </w:tcBorders>
          </w:tcPr>
          <w:p>
            <w:pPr>
              <w:spacing w:before="0" w:after="20" w:line="245" w:lineRule="auto"/>
            </w:pPr>
            <w:r>
              <w:rPr>
                <w:rFonts w:ascii="Arial" w:hAnsi="Arial" w:eastAsia="Arial"/>
                <w:b/>
                <w:color w:val="159C9C"/>
                <w:sz w:val="17"/>
              </w:rPr>
              <w:t>CORRECT ANSWER</w:t>
            </w:r>
          </w:p>
          <w:p>
            <w:pPr>
              <w:spacing w:before="0" w:after="0" w:line="240" w:lineRule="auto"/>
            </w:pPr>
            <w:r>
              <w:rPr>
                <w:rFonts w:ascii="Arial" w:hAnsi="Arial" w:eastAsia="Arial"/>
                <w:color w:val="1F2937"/>
                <w:sz w:val="16"/>
              </w:rPr>
              <w:t>B. Review the formulation, alliance, literacy barrier, active ingredients, exposure dosage and fidelity, adapt delivery while preserving the mechanism, and then reassess response.</w:t>
            </w:r>
          </w:p>
        </w:tc>
      </w:tr>
    </w:tbl>
    <w:p>
      <w:pPr>
        <w:pStyle w:val="Heading2"/>
        <w:spacing w:before="0" w:after="60" w:line="245" w:lineRule="auto"/>
        <w:keepNext/>
      </w:pPr>
      <w:r>
        <w:rPr>
          <w:rFonts w:ascii="Arial" w:hAnsi="Arial" w:eastAsia="Arial"/>
          <w:b/>
          <w:color w:val="17365D"/>
          <w:sz w:val="21"/>
        </w:rPr>
        <w:t>Why Each Option Is Correct or Incorrect</w:t>
      </w:r>
    </w:p>
    <w:p>
      <w:pPr>
        <w:spacing w:after="20" w:before="0" w:line="240" w:lineRule="auto"/>
      </w:pPr>
      <w:r>
        <w:rPr>
          <w:rFonts w:ascii="Arial" w:hAnsi="Arial" w:eastAsia="Arial"/>
          <w:b/>
          <w:color w:val="17365D"/>
          <w:sz w:val="16"/>
        </w:rPr>
        <w:t xml:space="preserve">A. </w:t>
      </w:r>
      <w:r>
        <w:rPr>
          <w:rFonts w:ascii="Arial" w:hAnsi="Arial" w:eastAsia="Arial"/>
          <w:sz w:val="16"/>
        </w:rPr>
        <w:t>Incorrect. The trial may not have delivered an adequate dose of the active ingredient, and a known access barrier was not addressed.</w:t>
      </w:r>
    </w:p>
    <w:p>
      <w:pPr>
        <w:spacing w:after="20" w:before="0" w:line="240" w:lineRule="auto"/>
      </w:pPr>
      <w:r>
        <w:rPr>
          <w:rFonts w:ascii="Arial" w:hAnsi="Arial" w:eastAsia="Arial"/>
          <w:b/>
          <w:color w:val="17365D"/>
          <w:sz w:val="16"/>
        </w:rPr>
        <w:t xml:space="preserve">B. </w:t>
      </w:r>
      <w:r>
        <w:rPr>
          <w:rFonts w:ascii="Arial" w:hAnsi="Arial" w:eastAsia="Arial"/>
          <w:sz w:val="16"/>
        </w:rPr>
        <w:t>Correct. PIVOT requires review of mechanism, implementation, alliance, burden, dosage, adaptation, and outcomes before declaring treatment failure.</w:t>
      </w:r>
    </w:p>
    <w:p>
      <w:pPr>
        <w:spacing w:after="20" w:before="0" w:line="240" w:lineRule="auto"/>
      </w:pPr>
      <w:r>
        <w:rPr>
          <w:rFonts w:ascii="Arial" w:hAnsi="Arial" w:eastAsia="Arial"/>
          <w:b/>
          <w:color w:val="17365D"/>
          <w:sz w:val="16"/>
        </w:rPr>
        <w:t xml:space="preserve">C. </w:t>
      </w:r>
      <w:r>
        <w:rPr>
          <w:rFonts w:ascii="Arial" w:hAnsi="Arial" w:eastAsia="Arial"/>
          <w:sz w:val="16"/>
        </w:rPr>
        <w:t>Incorrect. Fidelity does not mean ignoring a barrier that prevents the intervention from being delivered effectively.</w:t>
      </w:r>
    </w:p>
    <w:p>
      <w:pPr>
        <w:spacing w:after="20" w:before="0" w:line="240" w:lineRule="auto"/>
      </w:pPr>
      <w:r>
        <w:rPr>
          <w:rFonts w:ascii="Arial" w:hAnsi="Arial" w:eastAsia="Arial"/>
          <w:b/>
          <w:color w:val="17365D"/>
          <w:sz w:val="16"/>
        </w:rPr>
        <w:t xml:space="preserve">D. </w:t>
      </w:r>
      <w:r>
        <w:rPr>
          <w:rFonts w:ascii="Arial" w:hAnsi="Arial" w:eastAsia="Arial"/>
          <w:sz w:val="16"/>
        </w:rPr>
        <w:t>Incorrect. Labeling the client obscures the counselor's responsibility to assess fit, access, and implementation.</w:t>
      </w:r>
    </w:p>
    <w:tbl>
      <w:tblPr>
        <w:tblW w:type="auto" w:w="0"/>
        <w:jc w:val="center"/>
        <w:tblLayout w:type="fixed"/>
        <w:tblLook w:firstColumn="1" w:firstRow="1" w:lastColumn="0" w:lastRow="0" w:noHBand="0" w:noVBand="1" w:val="04A0"/>
      </w:tblPr>
      <w:tblGrid>
        <w:gridCol w:w="10080"/>
      </w:tblGrid>
      <w:tr>
        <w:tc>
          <w:tcPr>
            <w:tcW w:type="dxa" w:w="10310"/>
            <w:shd w:fill="EAF1F8"/>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CTA EXAM STRATEGY</w:t>
            </w:r>
          </w:p>
          <w:p>
            <w:pPr>
              <w:spacing w:before="0" w:after="0" w:line="240" w:lineRule="auto"/>
            </w:pPr>
            <w:r>
              <w:rPr>
                <w:rFonts w:ascii="Arial" w:hAnsi="Arial" w:eastAsia="Arial"/>
                <w:color w:val="1F2937"/>
                <w:sz w:val="16"/>
              </w:rPr>
              <w:t>Before switching treatments, ask whether the treatment was actually delivered at an adequate, feasible dose and whether the formulation and alliance still fit.</w:t>
            </w:r>
          </w:p>
        </w:tc>
      </w:tr>
    </w:tbl>
    <w:tbl>
      <w:tblPr>
        <w:tblW w:type="auto" w:w="0"/>
        <w:jc w:val="center"/>
        <w:tblLayout w:type="fixed"/>
        <w:tblLook w:firstColumn="1" w:firstRow="1" w:lastColumn="0" w:lastRow="0" w:noHBand="0" w:noVBand="1" w:val="04A0"/>
      </w:tblPr>
      <w:tblGrid>
        <w:gridCol w:w="10080"/>
      </w:tblGrid>
      <w:tr>
        <w:tc>
          <w:tcPr>
            <w:tcW w:type="dxa" w:w="10310"/>
            <w:shd w:fill="F3F4F6"/>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LIKELY ERROR CODE</w:t>
            </w:r>
          </w:p>
          <w:p>
            <w:pPr>
              <w:spacing w:before="0" w:after="0" w:line="240" w:lineRule="auto"/>
            </w:pPr>
            <w:r>
              <w:rPr>
                <w:rFonts w:ascii="Arial" w:hAnsi="Arial" w:eastAsia="Arial"/>
                <w:color w:val="1F2937"/>
                <w:sz w:val="15"/>
              </w:rPr>
              <w:t>V - PIVOT failure. Nonresponse is a signal to investigate, not a verdict about the client.</w:t>
            </w:r>
          </w:p>
        </w:tc>
      </w:tr>
    </w:tbl>
    <w:p>
      <w:r>
        <w:br w:type="page"/>
      </w:r>
    </w:p>
    <w:p>
      <w:pPr>
        <w:pStyle w:val="Heading2"/>
        <w:spacing w:before="0" w:after="60" w:line="245" w:lineRule="auto"/>
        <w:keepNext/>
      </w:pPr>
      <w:r>
        <w:rPr>
          <w:rFonts w:ascii="Arial" w:hAnsi="Arial" w:eastAsia="Arial"/>
          <w:b/>
          <w:color w:val="17365D"/>
          <w:sz w:val="21"/>
        </w:rPr>
        <w:t>Question 6 (LPCC-WB09-PB-Q006)</w:t>
      </w:r>
    </w:p>
    <w:p>
      <w:pPr>
        <w:spacing w:before="0" w:after="40" w:line="245" w:lineRule="auto"/>
      </w:pPr>
      <w:r>
        <w:rPr>
          <w:rFonts w:ascii="Arial" w:hAnsi="Arial" w:eastAsia="Arial"/>
          <w:b/>
          <w:i w:val="0"/>
          <w:color w:val="159C9C"/>
          <w:sz w:val="15"/>
        </w:rPr>
        <w:t>LPCC-WB09-PB-Q006 | Knowledge &amp; Application | Easy | Primary concept: Empathy before intervention</w:t>
      </w:r>
    </w:p>
    <w:p>
      <w:pPr>
        <w:spacing w:before="0" w:after="40" w:line="245" w:lineRule="auto"/>
      </w:pPr>
      <w:r>
        <w:rPr>
          <w:rFonts w:ascii="Arial" w:hAnsi="Arial" w:eastAsia="Arial"/>
          <w:b/>
          <w:i w:val="0"/>
          <w:color w:val="1F2937"/>
          <w:sz w:val="17"/>
        </w:rPr>
        <w:t>Jordan says, "I know the washing is taking over my life, but touching something dirty feels like I am choosing to make someone sick." Which response is BEST initially?</w:t>
      </w:r>
    </w:p>
    <w:p>
      <w:pPr>
        <w:spacing w:before="0" w:after="16" w:line="240" w:lineRule="auto"/>
        <w:ind w:left="259" w:hanging="259"/>
      </w:pPr>
      <w:r>
        <w:rPr>
          <w:rFonts w:ascii="Arial" w:hAnsi="Arial" w:eastAsia="Arial"/>
          <w:sz w:val="16"/>
        </w:rPr>
        <w:t>A. "You already know the fear is irrational, so you should stop washing."</w:t>
      </w:r>
    </w:p>
    <w:p>
      <w:pPr>
        <w:spacing w:before="0" w:after="16" w:line="240" w:lineRule="auto"/>
        <w:ind w:left="259" w:hanging="259"/>
      </w:pPr>
      <w:r>
        <w:rPr>
          <w:rFonts w:ascii="Arial" w:hAnsi="Arial" w:eastAsia="Arial"/>
          <w:sz w:val="16"/>
        </w:rPr>
        <w:t>B. "Let me reassure you that you cannot make anyone sick."</w:t>
      </w:r>
    </w:p>
    <w:p>
      <w:pPr>
        <w:spacing w:before="0" w:after="16" w:line="240" w:lineRule="auto"/>
        <w:ind w:left="259" w:hanging="259"/>
      </w:pPr>
      <w:r>
        <w:rPr>
          <w:rFonts w:ascii="Arial" w:hAnsi="Arial" w:eastAsia="Arial"/>
          <w:sz w:val="16"/>
        </w:rPr>
        <w:t>C. "It sounds frightening to feel responsible for preventing harm, even while the washing is exhausting and shrinking your life."</w:t>
      </w:r>
    </w:p>
    <w:p>
      <w:pPr>
        <w:spacing w:before="0" w:after="16" w:line="240" w:lineRule="auto"/>
        <w:ind w:left="259" w:hanging="259"/>
      </w:pPr>
      <w:r>
        <w:rPr>
          <w:rFonts w:ascii="Arial" w:hAnsi="Arial" w:eastAsia="Arial"/>
          <w:sz w:val="16"/>
        </w:rPr>
        <w:t>D. "We will start with the hardest exposure today so you can prove the fear is false."</w:t>
      </w:r>
    </w:p>
    <w:tbl>
      <w:tblPr>
        <w:tblW w:type="auto" w:w="0"/>
        <w:jc w:val="center"/>
        <w:tblLayout w:type="fixed"/>
        <w:tblLook w:firstColumn="1" w:firstRow="1" w:lastColumn="0" w:lastRow="0" w:noHBand="0" w:noVBand="1" w:val="04A0"/>
      </w:tblPr>
      <w:tblGrid>
        <w:gridCol w:w="10080"/>
      </w:tblGrid>
      <w:tr>
        <w:tc>
          <w:tcPr>
            <w:tcW w:type="dxa" w:w="10310"/>
            <w:shd w:fill="E8F5F5"/>
            <w:tcMar>
              <w:top w:w="70" w:type="dxa"/>
              <w:start w:w="95" w:type="dxa"/>
              <w:bottom w:w="70" w:type="dxa"/>
              <w:end w:w="95" w:type="dxa"/>
            </w:tcMar>
            <w:tcBorders>
              <w:top w:val="single" w:sz="7" w:color="159C9C"/>
              <w:left w:val="single" w:sz="7" w:color="159C9C"/>
              <w:bottom w:val="single" w:sz="7" w:color="159C9C"/>
              <w:right w:val="single" w:sz="7" w:color="159C9C"/>
              <w:insideH w:val="single" w:sz="7" w:color="159C9C"/>
              <w:insideV w:val="single" w:sz="7" w:color="159C9C"/>
            </w:tcBorders>
          </w:tcPr>
          <w:p>
            <w:pPr>
              <w:spacing w:before="0" w:after="20" w:line="245" w:lineRule="auto"/>
            </w:pPr>
            <w:r>
              <w:rPr>
                <w:rFonts w:ascii="Arial" w:hAnsi="Arial" w:eastAsia="Arial"/>
                <w:b/>
                <w:color w:val="159C9C"/>
                <w:sz w:val="17"/>
              </w:rPr>
              <w:t>CORRECT ANSWER</w:t>
            </w:r>
          </w:p>
          <w:p>
            <w:pPr>
              <w:spacing w:before="0" w:after="0" w:line="240" w:lineRule="auto"/>
            </w:pPr>
            <w:r>
              <w:rPr>
                <w:rFonts w:ascii="Arial" w:hAnsi="Arial" w:eastAsia="Arial"/>
                <w:color w:val="1F2937"/>
                <w:sz w:val="16"/>
              </w:rPr>
              <w:t>C. "It sounds frightening to feel responsible for preventing harm, even while the washing is exhausting and shrinking your life."</w:t>
            </w:r>
          </w:p>
        </w:tc>
      </w:tr>
    </w:tbl>
    <w:p>
      <w:pPr>
        <w:pStyle w:val="Heading2"/>
        <w:spacing w:before="0" w:after="60" w:line="245" w:lineRule="auto"/>
        <w:keepNext/>
      </w:pPr>
      <w:r>
        <w:rPr>
          <w:rFonts w:ascii="Arial" w:hAnsi="Arial" w:eastAsia="Arial"/>
          <w:b/>
          <w:color w:val="17365D"/>
          <w:sz w:val="21"/>
        </w:rPr>
        <w:t>Why Each Option Is Correct or Incorrect</w:t>
      </w:r>
    </w:p>
    <w:p>
      <w:pPr>
        <w:spacing w:after="20" w:before="0" w:line="240" w:lineRule="auto"/>
      </w:pPr>
      <w:r>
        <w:rPr>
          <w:rFonts w:ascii="Arial" w:hAnsi="Arial" w:eastAsia="Arial"/>
          <w:b/>
          <w:color w:val="17365D"/>
          <w:sz w:val="16"/>
        </w:rPr>
        <w:t xml:space="preserve">A. </w:t>
      </w:r>
      <w:r>
        <w:rPr>
          <w:rFonts w:ascii="Arial" w:hAnsi="Arial" w:eastAsia="Arial"/>
          <w:sz w:val="16"/>
        </w:rPr>
        <w:t>Incorrect. The response is confrontational and does not reflect the emotional meaning or responsibility fear.</w:t>
      </w:r>
    </w:p>
    <w:p>
      <w:pPr>
        <w:spacing w:after="20" w:before="0" w:line="240" w:lineRule="auto"/>
      </w:pPr>
      <w:r>
        <w:rPr>
          <w:rFonts w:ascii="Arial" w:hAnsi="Arial" w:eastAsia="Arial"/>
          <w:b/>
          <w:color w:val="17365D"/>
          <w:sz w:val="16"/>
        </w:rPr>
        <w:t xml:space="preserve">B. </w:t>
      </w:r>
      <w:r>
        <w:rPr>
          <w:rFonts w:ascii="Arial" w:hAnsi="Arial" w:eastAsia="Arial"/>
          <w:sz w:val="16"/>
        </w:rPr>
        <w:t>Incorrect. Reassurance may become part of the compulsive cycle.</w:t>
      </w:r>
    </w:p>
    <w:p>
      <w:pPr>
        <w:spacing w:after="20" w:before="0" w:line="240" w:lineRule="auto"/>
      </w:pPr>
      <w:r>
        <w:rPr>
          <w:rFonts w:ascii="Arial" w:hAnsi="Arial" w:eastAsia="Arial"/>
          <w:b/>
          <w:color w:val="17365D"/>
          <w:sz w:val="16"/>
        </w:rPr>
        <w:t xml:space="preserve">C. </w:t>
      </w:r>
      <w:r>
        <w:rPr>
          <w:rFonts w:ascii="Arial" w:hAnsi="Arial" w:eastAsia="Arial"/>
          <w:sz w:val="16"/>
        </w:rPr>
        <w:t>Correct. The response validates distress without validating the feared conclusion or participating in reassurance.</w:t>
      </w:r>
    </w:p>
    <w:p>
      <w:pPr>
        <w:spacing w:after="20" w:before="0" w:line="240" w:lineRule="auto"/>
      </w:pPr>
      <w:r>
        <w:rPr>
          <w:rFonts w:ascii="Arial" w:hAnsi="Arial" w:eastAsia="Arial"/>
          <w:b/>
          <w:color w:val="17365D"/>
          <w:sz w:val="16"/>
        </w:rPr>
        <w:t xml:space="preserve">D. </w:t>
      </w:r>
      <w:r>
        <w:rPr>
          <w:rFonts w:ascii="Arial" w:hAnsi="Arial" w:eastAsia="Arial"/>
          <w:sz w:val="16"/>
        </w:rPr>
        <w:t>Incorrect. Immediate maximum-intensity exposure ignores readiness, collaboration, and graded planning.</w:t>
      </w:r>
    </w:p>
    <w:tbl>
      <w:tblPr>
        <w:tblW w:type="auto" w:w="0"/>
        <w:jc w:val="center"/>
        <w:tblLayout w:type="fixed"/>
        <w:tblLook w:firstColumn="1" w:firstRow="1" w:lastColumn="0" w:lastRow="0" w:noHBand="0" w:noVBand="1" w:val="04A0"/>
      </w:tblPr>
      <w:tblGrid>
        <w:gridCol w:w="10080"/>
      </w:tblGrid>
      <w:tr>
        <w:tc>
          <w:tcPr>
            <w:tcW w:type="dxa" w:w="10310"/>
            <w:shd w:fill="EAF1F8"/>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CTA EXAM STRATEGY</w:t>
            </w:r>
          </w:p>
          <w:p>
            <w:pPr>
              <w:spacing w:before="0" w:after="0" w:line="240" w:lineRule="auto"/>
            </w:pPr>
            <w:r>
              <w:rPr>
                <w:rFonts w:ascii="Arial" w:hAnsi="Arial" w:eastAsia="Arial"/>
                <w:color w:val="1F2937"/>
                <w:sz w:val="16"/>
              </w:rPr>
              <w:t>In emotionally charged disclosures, choose the response that demonstrates understanding without reinforcing the symptom-maintaining behavior.</w:t>
            </w:r>
          </w:p>
        </w:tc>
      </w:tr>
    </w:tbl>
    <w:tbl>
      <w:tblPr>
        <w:tblW w:type="auto" w:w="0"/>
        <w:jc w:val="center"/>
        <w:tblLayout w:type="fixed"/>
        <w:tblLook w:firstColumn="1" w:firstRow="1" w:lastColumn="0" w:lastRow="0" w:noHBand="0" w:noVBand="1" w:val="04A0"/>
      </w:tblPr>
      <w:tblGrid>
        <w:gridCol w:w="10080"/>
      </w:tblGrid>
      <w:tr>
        <w:tc>
          <w:tcPr>
            <w:tcW w:type="dxa" w:w="10310"/>
            <w:shd w:fill="F3F4F6"/>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LIKELY ERROR CODE</w:t>
            </w:r>
          </w:p>
          <w:p>
            <w:pPr>
              <w:spacing w:before="0" w:after="0" w:line="240" w:lineRule="auto"/>
            </w:pPr>
            <w:r>
              <w:rPr>
                <w:rFonts w:ascii="Arial" w:hAnsi="Arial" w:eastAsia="Arial"/>
                <w:color w:val="1F2937"/>
                <w:sz w:val="15"/>
              </w:rPr>
              <w:t>S - Sequencing error. Validation can acknowledge suffering without confirming the obsession.</w:t>
            </w:r>
          </w:p>
        </w:tc>
      </w:tr>
    </w:tbl>
    <w:p>
      <w:r>
        <w:br w:type="page"/>
      </w:r>
    </w:p>
    <w:p>
      <w:pPr>
        <w:pStyle w:val="Heading2"/>
        <w:spacing w:before="0" w:after="60" w:line="245" w:lineRule="auto"/>
        <w:keepNext/>
      </w:pPr>
      <w:r>
        <w:rPr>
          <w:rFonts w:ascii="Arial" w:hAnsi="Arial" w:eastAsia="Arial"/>
          <w:b/>
          <w:color w:val="17365D"/>
          <w:sz w:val="21"/>
        </w:rPr>
        <w:t>Question 7 (LPCC-WB09-PB-Q007)</w:t>
      </w:r>
    </w:p>
    <w:p>
      <w:pPr>
        <w:spacing w:before="0" w:after="40" w:line="245" w:lineRule="auto"/>
      </w:pPr>
      <w:r>
        <w:rPr>
          <w:rFonts w:ascii="Arial" w:hAnsi="Arial" w:eastAsia="Arial"/>
          <w:b/>
          <w:i w:val="0"/>
          <w:color w:val="159C9C"/>
          <w:sz w:val="15"/>
        </w:rPr>
        <w:t>LPCC-WB09-PB-Q007 | Application | Moderate | Primary concept: Mechanism-based formulation</w:t>
      </w:r>
    </w:p>
    <w:p>
      <w:pPr>
        <w:spacing w:before="0" w:after="40" w:line="245" w:lineRule="auto"/>
      </w:pPr>
      <w:r>
        <w:rPr>
          <w:rFonts w:ascii="Arial" w:hAnsi="Arial" w:eastAsia="Arial"/>
          <w:b/>
          <w:i w:val="0"/>
          <w:color w:val="1F2937"/>
          <w:sz w:val="17"/>
        </w:rPr>
        <w:t>Which formulation BEST explains the available information in Part 1?</w:t>
      </w:r>
    </w:p>
    <w:p>
      <w:pPr>
        <w:spacing w:before="0" w:after="16" w:line="240" w:lineRule="auto"/>
        <w:ind w:left="259" w:hanging="259"/>
      </w:pPr>
      <w:r>
        <w:rPr>
          <w:rFonts w:ascii="Arial" w:hAnsi="Arial" w:eastAsia="Arial"/>
          <w:sz w:val="16"/>
        </w:rPr>
        <w:t>A. Contamination fear, washing, avoidance, partner reassurance, and short-term relief may reinforce the OCD cycle, while withdrawal, sleep disruption, and cannabis use may worsen mood and functioning.</w:t>
      </w:r>
    </w:p>
    <w:p>
      <w:pPr>
        <w:spacing w:before="0" w:after="16" w:line="240" w:lineRule="auto"/>
        <w:ind w:left="259" w:hanging="259"/>
      </w:pPr>
      <w:r>
        <w:rPr>
          <w:rFonts w:ascii="Arial" w:hAnsi="Arial" w:eastAsia="Arial"/>
          <w:sz w:val="16"/>
        </w:rPr>
        <w:t>B. Jordan's symptoms are caused entirely by cultural background and should be treated through confrontation of family values.</w:t>
      </w:r>
    </w:p>
    <w:p>
      <w:pPr>
        <w:spacing w:before="0" w:after="16" w:line="240" w:lineRule="auto"/>
        <w:ind w:left="259" w:hanging="259"/>
      </w:pPr>
      <w:r>
        <w:rPr>
          <w:rFonts w:ascii="Arial" w:hAnsi="Arial" w:eastAsia="Arial"/>
          <w:sz w:val="16"/>
        </w:rPr>
        <w:t>C. Jordan has poor motivation, and the main treatment target is compliance with the counselor's assignments.</w:t>
      </w:r>
    </w:p>
    <w:p>
      <w:pPr>
        <w:spacing w:before="0" w:after="16" w:line="240" w:lineRule="auto"/>
        <w:ind w:left="259" w:hanging="259"/>
      </w:pPr>
      <w:r>
        <w:rPr>
          <w:rFonts w:ascii="Arial" w:hAnsi="Arial" w:eastAsia="Arial"/>
          <w:sz w:val="16"/>
        </w:rPr>
        <w:t>D. The symptoms are purely biological because a coworker became ill.</w:t>
      </w:r>
    </w:p>
    <w:tbl>
      <w:tblPr>
        <w:tblW w:type="auto" w:w="0"/>
        <w:jc w:val="center"/>
        <w:tblLayout w:type="fixed"/>
        <w:tblLook w:firstColumn="1" w:firstRow="1" w:lastColumn="0" w:lastRow="0" w:noHBand="0" w:noVBand="1" w:val="04A0"/>
      </w:tblPr>
      <w:tblGrid>
        <w:gridCol w:w="10080"/>
      </w:tblGrid>
      <w:tr>
        <w:tc>
          <w:tcPr>
            <w:tcW w:type="dxa" w:w="10310"/>
            <w:shd w:fill="E8F5F5"/>
            <w:tcMar>
              <w:top w:w="70" w:type="dxa"/>
              <w:start w:w="95" w:type="dxa"/>
              <w:bottom w:w="70" w:type="dxa"/>
              <w:end w:w="95" w:type="dxa"/>
            </w:tcMar>
            <w:tcBorders>
              <w:top w:val="single" w:sz="7" w:color="159C9C"/>
              <w:left w:val="single" w:sz="7" w:color="159C9C"/>
              <w:bottom w:val="single" w:sz="7" w:color="159C9C"/>
              <w:right w:val="single" w:sz="7" w:color="159C9C"/>
              <w:insideH w:val="single" w:sz="7" w:color="159C9C"/>
              <w:insideV w:val="single" w:sz="7" w:color="159C9C"/>
            </w:tcBorders>
          </w:tcPr>
          <w:p>
            <w:pPr>
              <w:spacing w:before="0" w:after="20" w:line="245" w:lineRule="auto"/>
            </w:pPr>
            <w:r>
              <w:rPr>
                <w:rFonts w:ascii="Arial" w:hAnsi="Arial" w:eastAsia="Arial"/>
                <w:b/>
                <w:color w:val="159C9C"/>
                <w:sz w:val="17"/>
              </w:rPr>
              <w:t>CORRECT ANSWER</w:t>
            </w:r>
          </w:p>
          <w:p>
            <w:pPr>
              <w:spacing w:before="0" w:after="0" w:line="240" w:lineRule="auto"/>
            </w:pPr>
            <w:r>
              <w:rPr>
                <w:rFonts w:ascii="Arial" w:hAnsi="Arial" w:eastAsia="Arial"/>
                <w:color w:val="1F2937"/>
                <w:sz w:val="16"/>
              </w:rPr>
              <w:t>A. Contamination fear, washing, avoidance, partner reassurance, and short-term relief may reinforce the OCD cycle, while withdrawal, sleep disruption, and cannabis use may worsen mood and functioning.</w:t>
            </w:r>
          </w:p>
        </w:tc>
      </w:tr>
    </w:tbl>
    <w:p>
      <w:pPr>
        <w:pStyle w:val="Heading2"/>
        <w:spacing w:before="0" w:after="60" w:line="245" w:lineRule="auto"/>
        <w:keepNext/>
      </w:pPr>
      <w:r>
        <w:rPr>
          <w:rFonts w:ascii="Arial" w:hAnsi="Arial" w:eastAsia="Arial"/>
          <w:b/>
          <w:color w:val="17365D"/>
          <w:sz w:val="21"/>
        </w:rPr>
        <w:t>Why Each Option Is Correct or Incorrect</w:t>
      </w:r>
    </w:p>
    <w:p>
      <w:pPr>
        <w:spacing w:after="20" w:before="0" w:line="240" w:lineRule="auto"/>
      </w:pPr>
      <w:r>
        <w:rPr>
          <w:rFonts w:ascii="Arial" w:hAnsi="Arial" w:eastAsia="Arial"/>
          <w:b/>
          <w:color w:val="17365D"/>
          <w:sz w:val="16"/>
        </w:rPr>
        <w:t xml:space="preserve">A. </w:t>
      </w:r>
      <w:r>
        <w:rPr>
          <w:rFonts w:ascii="Arial" w:hAnsi="Arial" w:eastAsia="Arial"/>
          <w:sz w:val="16"/>
        </w:rPr>
        <w:t>Correct. The formulation identifies plausible maintaining mechanisms and related functional concerns without overclaiming causation.</w:t>
      </w:r>
    </w:p>
    <w:p>
      <w:pPr>
        <w:spacing w:after="20" w:before="0" w:line="240" w:lineRule="auto"/>
      </w:pPr>
      <w:r>
        <w:rPr>
          <w:rFonts w:ascii="Arial" w:hAnsi="Arial" w:eastAsia="Arial"/>
          <w:b/>
          <w:color w:val="17365D"/>
          <w:sz w:val="16"/>
        </w:rPr>
        <w:t xml:space="preserve">B. </w:t>
      </w:r>
      <w:r>
        <w:rPr>
          <w:rFonts w:ascii="Arial" w:hAnsi="Arial" w:eastAsia="Arial"/>
          <w:sz w:val="16"/>
        </w:rPr>
        <w:t>Incorrect. It stereotypes culture and fails to ask how identity and context are relevant for this client.</w:t>
      </w:r>
    </w:p>
    <w:p>
      <w:pPr>
        <w:spacing w:after="20" w:before="0" w:line="240" w:lineRule="auto"/>
      </w:pPr>
      <w:r>
        <w:rPr>
          <w:rFonts w:ascii="Arial" w:hAnsi="Arial" w:eastAsia="Arial"/>
          <w:b/>
          <w:color w:val="17365D"/>
          <w:sz w:val="16"/>
        </w:rPr>
        <w:t xml:space="preserve">C. </w:t>
      </w:r>
      <w:r>
        <w:rPr>
          <w:rFonts w:ascii="Arial" w:hAnsi="Arial" w:eastAsia="Arial"/>
          <w:sz w:val="16"/>
        </w:rPr>
        <w:t>Incorrect. It labels the client and ignores the reinforcement cycle, readiness, and access factors.</w:t>
      </w:r>
    </w:p>
    <w:p>
      <w:pPr>
        <w:spacing w:after="20" w:before="0" w:line="240" w:lineRule="auto"/>
      </w:pPr>
      <w:r>
        <w:rPr>
          <w:rFonts w:ascii="Arial" w:hAnsi="Arial" w:eastAsia="Arial"/>
          <w:b/>
          <w:color w:val="17365D"/>
          <w:sz w:val="16"/>
        </w:rPr>
        <w:t xml:space="preserve">D. </w:t>
      </w:r>
      <w:r>
        <w:rPr>
          <w:rFonts w:ascii="Arial" w:hAnsi="Arial" w:eastAsia="Arial"/>
          <w:sz w:val="16"/>
        </w:rPr>
        <w:t>Incorrect. The trigger does not establish a purely biological explanation for the current pattern.</w:t>
      </w:r>
    </w:p>
    <w:tbl>
      <w:tblPr>
        <w:tblW w:type="auto" w:w="0"/>
        <w:jc w:val="center"/>
        <w:tblLayout w:type="fixed"/>
        <w:tblLook w:firstColumn="1" w:firstRow="1" w:lastColumn="0" w:lastRow="0" w:noHBand="0" w:noVBand="1" w:val="04A0"/>
      </w:tblPr>
      <w:tblGrid>
        <w:gridCol w:w="10080"/>
      </w:tblGrid>
      <w:tr>
        <w:tc>
          <w:tcPr>
            <w:tcW w:type="dxa" w:w="10310"/>
            <w:shd w:fill="EAF1F8"/>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CTA EXAM STRATEGY</w:t>
            </w:r>
          </w:p>
          <w:p>
            <w:pPr>
              <w:spacing w:before="0" w:after="0" w:line="240" w:lineRule="auto"/>
            </w:pPr>
            <w:r>
              <w:rPr>
                <w:rFonts w:ascii="Arial" w:hAnsi="Arial" w:eastAsia="Arial"/>
                <w:color w:val="1F2937"/>
                <w:sz w:val="16"/>
              </w:rPr>
              <w:t>Strong formulations connect current evidence to mechanisms and impairment while preserving uncertainty. Avoid single-cause, blaming, or stereotype-based answers.</w:t>
            </w:r>
          </w:p>
        </w:tc>
      </w:tr>
    </w:tbl>
    <w:tbl>
      <w:tblPr>
        <w:tblW w:type="auto" w:w="0"/>
        <w:jc w:val="center"/>
        <w:tblLayout w:type="fixed"/>
        <w:tblLook w:firstColumn="1" w:firstRow="1" w:lastColumn="0" w:lastRow="0" w:noHBand="0" w:noVBand="1" w:val="04A0"/>
      </w:tblPr>
      <w:tblGrid>
        <w:gridCol w:w="10080"/>
      </w:tblGrid>
      <w:tr>
        <w:tc>
          <w:tcPr>
            <w:tcW w:type="dxa" w:w="10310"/>
            <w:shd w:fill="F3F4F6"/>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LIKELY ERROR CODE</w:t>
            </w:r>
          </w:p>
          <w:p>
            <w:pPr>
              <w:spacing w:before="0" w:after="0" w:line="240" w:lineRule="auto"/>
            </w:pPr>
            <w:r>
              <w:rPr>
                <w:rFonts w:ascii="Arial" w:hAnsi="Arial" w:eastAsia="Arial"/>
                <w:color w:val="1F2937"/>
                <w:sz w:val="15"/>
              </w:rPr>
              <w:t>M - Mechanism mismatch. A useful formulation explains what keeps the problem going and what treatment can target.</w:t>
            </w:r>
          </w:p>
        </w:tc>
      </w:tr>
    </w:tbl>
    <w:p>
      <w:r>
        <w:br w:type="page"/>
      </w:r>
    </w:p>
    <w:p>
      <w:pPr>
        <w:pStyle w:val="Heading2"/>
        <w:spacing w:before="0" w:after="60" w:line="245" w:lineRule="auto"/>
        <w:keepNext/>
      </w:pPr>
      <w:r>
        <w:rPr>
          <w:rFonts w:ascii="Arial" w:hAnsi="Arial" w:eastAsia="Arial"/>
          <w:b/>
          <w:color w:val="17365D"/>
          <w:sz w:val="21"/>
        </w:rPr>
        <w:t>Question 8 (LPCC-WB09-PB-Q008)</w:t>
      </w:r>
    </w:p>
    <w:p>
      <w:pPr>
        <w:spacing w:before="0" w:after="40" w:line="245" w:lineRule="auto"/>
      </w:pPr>
      <w:r>
        <w:rPr>
          <w:rFonts w:ascii="Arial" w:hAnsi="Arial" w:eastAsia="Arial"/>
          <w:b/>
          <w:i w:val="0"/>
          <w:color w:val="159C9C"/>
          <w:sz w:val="15"/>
        </w:rPr>
        <w:t>LPCC-WB09-PB-Q008 | Integrated Clinical Reasoning | Difficult | Primary concept: Readiness and initial intervention sequence</w:t>
      </w:r>
    </w:p>
    <w:p>
      <w:pPr>
        <w:spacing w:before="0" w:after="40" w:line="245" w:lineRule="auto"/>
      </w:pPr>
      <w:r>
        <w:rPr>
          <w:rFonts w:ascii="Arial" w:hAnsi="Arial" w:eastAsia="Arial"/>
          <w:b/>
          <w:i w:val="0"/>
          <w:color w:val="1F2937"/>
          <w:sz w:val="17"/>
        </w:rPr>
        <w:t>Jordan wants practical help but says, "I am not ready to touch dirty things." What is the BEST initial plan?</w:t>
      </w:r>
    </w:p>
    <w:p>
      <w:pPr>
        <w:spacing w:before="0" w:after="16" w:line="240" w:lineRule="auto"/>
        <w:ind w:left="259" w:hanging="259"/>
      </w:pPr>
      <w:r>
        <w:rPr>
          <w:rFonts w:ascii="Arial" w:hAnsi="Arial" w:eastAsia="Arial"/>
          <w:sz w:val="16"/>
        </w:rPr>
        <w:t>A. Require immediate high-level exposure because ERP is evidence supported.</w:t>
      </w:r>
    </w:p>
    <w:p>
      <w:pPr>
        <w:spacing w:before="0" w:after="16" w:line="240" w:lineRule="auto"/>
        <w:ind w:left="259" w:hanging="259"/>
      </w:pPr>
      <w:r>
        <w:rPr>
          <w:rFonts w:ascii="Arial" w:hAnsi="Arial" w:eastAsia="Arial"/>
          <w:sz w:val="16"/>
        </w:rPr>
        <w:t>B. Promise that anxiety will be eliminated before any exposure is considered.</w:t>
      </w:r>
    </w:p>
    <w:p>
      <w:pPr>
        <w:spacing w:before="0" w:after="16" w:line="240" w:lineRule="auto"/>
        <w:ind w:left="259" w:hanging="259"/>
      </w:pPr>
      <w:r>
        <w:rPr>
          <w:rFonts w:ascii="Arial" w:hAnsi="Arial" w:eastAsia="Arial"/>
          <w:sz w:val="16"/>
        </w:rPr>
        <w:t>C. Avoid discussing exposure so Jordan does not feel pressured.</w:t>
      </w:r>
    </w:p>
    <w:p>
      <w:pPr>
        <w:spacing w:before="0" w:after="16" w:line="240" w:lineRule="auto"/>
        <w:ind w:left="259" w:hanging="259"/>
      </w:pPr>
      <w:r>
        <w:rPr>
          <w:rFonts w:ascii="Arial" w:hAnsi="Arial" w:eastAsia="Arial"/>
          <w:sz w:val="16"/>
        </w:rPr>
        <w:t>D. Collaboratively explain the obsession-compulsion-reassurance cycle, assess readiness and goals, begin feasible mood and sleep supports, use motivational strategies, collect baseline data, and build toward voluntary graded ERP.</w:t>
      </w:r>
    </w:p>
    <w:tbl>
      <w:tblPr>
        <w:tblW w:type="auto" w:w="0"/>
        <w:jc w:val="center"/>
        <w:tblLayout w:type="fixed"/>
        <w:tblLook w:firstColumn="1" w:firstRow="1" w:lastColumn="0" w:lastRow="0" w:noHBand="0" w:noVBand="1" w:val="04A0"/>
      </w:tblPr>
      <w:tblGrid>
        <w:gridCol w:w="10080"/>
      </w:tblGrid>
      <w:tr>
        <w:tc>
          <w:tcPr>
            <w:tcW w:type="dxa" w:w="10310"/>
            <w:shd w:fill="E8F5F5"/>
            <w:tcMar>
              <w:top w:w="70" w:type="dxa"/>
              <w:start w:w="95" w:type="dxa"/>
              <w:bottom w:w="70" w:type="dxa"/>
              <w:end w:w="95" w:type="dxa"/>
            </w:tcMar>
            <w:tcBorders>
              <w:top w:val="single" w:sz="7" w:color="159C9C"/>
              <w:left w:val="single" w:sz="7" w:color="159C9C"/>
              <w:bottom w:val="single" w:sz="7" w:color="159C9C"/>
              <w:right w:val="single" w:sz="7" w:color="159C9C"/>
              <w:insideH w:val="single" w:sz="7" w:color="159C9C"/>
              <w:insideV w:val="single" w:sz="7" w:color="159C9C"/>
            </w:tcBorders>
          </w:tcPr>
          <w:p>
            <w:pPr>
              <w:spacing w:before="0" w:after="20" w:line="245" w:lineRule="auto"/>
            </w:pPr>
            <w:r>
              <w:rPr>
                <w:rFonts w:ascii="Arial" w:hAnsi="Arial" w:eastAsia="Arial"/>
                <w:b/>
                <w:color w:val="159C9C"/>
                <w:sz w:val="17"/>
              </w:rPr>
              <w:t>CORRECT ANSWER</w:t>
            </w:r>
          </w:p>
          <w:p>
            <w:pPr>
              <w:spacing w:before="0" w:after="0" w:line="240" w:lineRule="auto"/>
            </w:pPr>
            <w:r>
              <w:rPr>
                <w:rFonts w:ascii="Arial" w:hAnsi="Arial" w:eastAsia="Arial"/>
                <w:color w:val="1F2937"/>
                <w:sz w:val="16"/>
              </w:rPr>
              <w:t>D. Collaboratively explain the obsession-compulsion-reassurance cycle, assess readiness and goals, begin feasible mood and sleep supports, use motivational strategies, collect baseline data, and build toward voluntary graded ERP.</w:t>
            </w:r>
          </w:p>
        </w:tc>
      </w:tr>
    </w:tbl>
    <w:p>
      <w:pPr>
        <w:pStyle w:val="Heading2"/>
        <w:spacing w:before="0" w:after="60" w:line="245" w:lineRule="auto"/>
        <w:keepNext/>
      </w:pPr>
      <w:r>
        <w:rPr>
          <w:rFonts w:ascii="Arial" w:hAnsi="Arial" w:eastAsia="Arial"/>
          <w:b/>
          <w:color w:val="17365D"/>
          <w:sz w:val="21"/>
        </w:rPr>
        <w:t>Why Each Option Is Correct or Incorrect</w:t>
      </w:r>
    </w:p>
    <w:p>
      <w:pPr>
        <w:spacing w:after="20" w:before="0" w:line="240" w:lineRule="auto"/>
      </w:pPr>
      <w:r>
        <w:rPr>
          <w:rFonts w:ascii="Arial" w:hAnsi="Arial" w:eastAsia="Arial"/>
          <w:b/>
          <w:color w:val="17365D"/>
          <w:sz w:val="16"/>
        </w:rPr>
        <w:t xml:space="preserve">A. </w:t>
      </w:r>
      <w:r>
        <w:rPr>
          <w:rFonts w:ascii="Arial" w:hAnsi="Arial" w:eastAsia="Arial"/>
          <w:sz w:val="16"/>
        </w:rPr>
        <w:t>Incorrect. Evidence support does not justify overriding readiness, consent, hierarchy development, or graded delivery.</w:t>
      </w:r>
    </w:p>
    <w:p>
      <w:pPr>
        <w:spacing w:after="20" w:before="0" w:line="240" w:lineRule="auto"/>
      </w:pPr>
      <w:r>
        <w:rPr>
          <w:rFonts w:ascii="Arial" w:hAnsi="Arial" w:eastAsia="Arial"/>
          <w:b/>
          <w:color w:val="17365D"/>
          <w:sz w:val="16"/>
        </w:rPr>
        <w:t xml:space="preserve">B. </w:t>
      </w:r>
      <w:r>
        <w:rPr>
          <w:rFonts w:ascii="Arial" w:hAnsi="Arial" w:eastAsia="Arial"/>
          <w:sz w:val="16"/>
        </w:rPr>
        <w:t>Incorrect. Waiting for complete absence of anxiety is inconsistent with the mechanism of exposure-based learning.</w:t>
      </w:r>
    </w:p>
    <w:p>
      <w:pPr>
        <w:spacing w:after="20" w:before="0" w:line="240" w:lineRule="auto"/>
      </w:pPr>
      <w:r>
        <w:rPr>
          <w:rFonts w:ascii="Arial" w:hAnsi="Arial" w:eastAsia="Arial"/>
          <w:b/>
          <w:color w:val="17365D"/>
          <w:sz w:val="16"/>
        </w:rPr>
        <w:t xml:space="preserve">C. </w:t>
      </w:r>
      <w:r>
        <w:rPr>
          <w:rFonts w:ascii="Arial" w:hAnsi="Arial" w:eastAsia="Arial"/>
          <w:sz w:val="16"/>
        </w:rPr>
        <w:t>Incorrect. Avoidance of the topic prevents informed choice and collaborative preparation.</w:t>
      </w:r>
    </w:p>
    <w:p>
      <w:pPr>
        <w:spacing w:after="20" w:before="0" w:line="240" w:lineRule="auto"/>
      </w:pPr>
      <w:r>
        <w:rPr>
          <w:rFonts w:ascii="Arial" w:hAnsi="Arial" w:eastAsia="Arial"/>
          <w:b/>
          <w:color w:val="17365D"/>
          <w:sz w:val="16"/>
        </w:rPr>
        <w:t xml:space="preserve">D. </w:t>
      </w:r>
      <w:r>
        <w:rPr>
          <w:rFonts w:ascii="Arial" w:hAnsi="Arial" w:eastAsia="Arial"/>
          <w:sz w:val="16"/>
        </w:rPr>
        <w:t>Correct. The plan respects current readiness while still providing mechanism-focused education, measurement, and steps that prepare for ERP.</w:t>
      </w:r>
    </w:p>
    <w:tbl>
      <w:tblPr>
        <w:tblW w:type="auto" w:w="0"/>
        <w:jc w:val="center"/>
        <w:tblLayout w:type="fixed"/>
        <w:tblLook w:firstColumn="1" w:firstRow="1" w:lastColumn="0" w:lastRow="0" w:noHBand="0" w:noVBand="1" w:val="04A0"/>
      </w:tblPr>
      <w:tblGrid>
        <w:gridCol w:w="10080"/>
      </w:tblGrid>
      <w:tr>
        <w:tc>
          <w:tcPr>
            <w:tcW w:type="dxa" w:w="10310"/>
            <w:shd w:fill="EAF1F8"/>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CTA EXAM STRATEGY</w:t>
            </w:r>
          </w:p>
          <w:p>
            <w:pPr>
              <w:spacing w:before="0" w:after="0" w:line="240" w:lineRule="auto"/>
            </w:pPr>
            <w:r>
              <w:rPr>
                <w:rFonts w:ascii="Arial" w:hAnsi="Arial" w:eastAsia="Arial"/>
                <w:color w:val="1F2937"/>
                <w:sz w:val="16"/>
              </w:rPr>
              <w:t>The best answer neither forces the active intervention nor colludes with indefinite avoidance. Look for collaborative preparation that preserves movement toward the mechanism.</w:t>
            </w:r>
          </w:p>
        </w:tc>
      </w:tr>
    </w:tbl>
    <w:tbl>
      <w:tblPr>
        <w:tblW w:type="auto" w:w="0"/>
        <w:jc w:val="center"/>
        <w:tblLayout w:type="fixed"/>
        <w:tblLook w:firstColumn="1" w:firstRow="1" w:lastColumn="0" w:lastRow="0" w:noHBand="0" w:noVBand="1" w:val="04A0"/>
      </w:tblPr>
      <w:tblGrid>
        <w:gridCol w:w="10080"/>
      </w:tblGrid>
      <w:tr>
        <w:tc>
          <w:tcPr>
            <w:tcW w:type="dxa" w:w="10310"/>
            <w:shd w:fill="F3F4F6"/>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LIKELY ERROR CODE</w:t>
            </w:r>
          </w:p>
          <w:p>
            <w:pPr>
              <w:spacing w:before="0" w:after="0" w:line="240" w:lineRule="auto"/>
            </w:pPr>
            <w:r>
              <w:rPr>
                <w:rFonts w:ascii="Arial" w:hAnsi="Arial" w:eastAsia="Arial"/>
                <w:color w:val="1F2937"/>
                <w:sz w:val="15"/>
              </w:rPr>
              <w:t>S - Sequencing error. Readiness can be strengthened without turning treatment into pressure or avoidance.</w:t>
            </w:r>
          </w:p>
        </w:tc>
      </w:tr>
    </w:tbl>
    <w:p>
      <w:r>
        <w:br w:type="page"/>
      </w:r>
    </w:p>
    <w:p>
      <w:pPr>
        <w:pStyle w:val="Heading2"/>
        <w:spacing w:before="0" w:after="60" w:line="245" w:lineRule="auto"/>
        <w:keepNext/>
      </w:pPr>
      <w:r>
        <w:rPr>
          <w:rFonts w:ascii="Arial" w:hAnsi="Arial" w:eastAsia="Arial"/>
          <w:b/>
          <w:color w:val="17365D"/>
          <w:sz w:val="21"/>
        </w:rPr>
        <w:t>Question 9 (LPCC-WB09-PB-Q009)</w:t>
      </w:r>
    </w:p>
    <w:p>
      <w:pPr>
        <w:spacing w:before="0" w:after="40" w:line="245" w:lineRule="auto"/>
      </w:pPr>
      <w:r>
        <w:rPr>
          <w:rFonts w:ascii="Arial" w:hAnsi="Arial" w:eastAsia="Arial"/>
          <w:b/>
          <w:i w:val="0"/>
          <w:color w:val="159C9C"/>
          <w:sz w:val="15"/>
        </w:rPr>
        <w:t>LPCC-WB09-PB-Q009 | Application | Moderate | Primary concept: Baseline and outcome measurement</w:t>
      </w:r>
    </w:p>
    <w:p>
      <w:pPr>
        <w:spacing w:before="0" w:after="40" w:line="245" w:lineRule="auto"/>
      </w:pPr>
      <w:r>
        <w:rPr>
          <w:rFonts w:ascii="Arial" w:hAnsi="Arial" w:eastAsia="Arial"/>
          <w:b/>
          <w:i w:val="0"/>
          <w:color w:val="1F2937"/>
          <w:sz w:val="17"/>
        </w:rPr>
        <w:t>Which baseline plan would provide the MOST useful information for treatment and later progress review?</w:t>
      </w:r>
    </w:p>
    <w:p>
      <w:pPr>
        <w:spacing w:before="0" w:after="16" w:line="240" w:lineRule="auto"/>
        <w:ind w:left="259" w:hanging="259"/>
      </w:pPr>
      <w:r>
        <w:rPr>
          <w:rFonts w:ascii="Arial" w:hAnsi="Arial" w:eastAsia="Arial"/>
          <w:sz w:val="16"/>
        </w:rPr>
        <w:t>A. Record only Jordan's distress rating during the first session.</w:t>
      </w:r>
    </w:p>
    <w:p>
      <w:pPr>
        <w:spacing w:before="0" w:after="16" w:line="240" w:lineRule="auto"/>
        <w:ind w:left="259" w:hanging="259"/>
      </w:pPr>
      <w:r>
        <w:rPr>
          <w:rFonts w:ascii="Arial" w:hAnsi="Arial" w:eastAsia="Arial"/>
          <w:sz w:val="16"/>
        </w:rPr>
        <w:t>B. Use an appropriate OCD severity measure within competence, washing frequency and duration, avoidance and reassurance patterns, sleep, mood, cannabis use, work attendance, valued activities, and Jordan's own goals.</w:t>
      </w:r>
    </w:p>
    <w:p>
      <w:pPr>
        <w:spacing w:before="0" w:after="16" w:line="240" w:lineRule="auto"/>
        <w:ind w:left="259" w:hanging="259"/>
      </w:pPr>
      <w:r>
        <w:rPr>
          <w:rFonts w:ascii="Arial" w:hAnsi="Arial" w:eastAsia="Arial"/>
          <w:sz w:val="16"/>
        </w:rPr>
        <w:t>C. Ask the partner to decide whether Jordan is improving.</w:t>
      </w:r>
    </w:p>
    <w:p>
      <w:pPr>
        <w:spacing w:before="0" w:after="16" w:line="240" w:lineRule="auto"/>
        <w:ind w:left="259" w:hanging="259"/>
      </w:pPr>
      <w:r>
        <w:rPr>
          <w:rFonts w:ascii="Arial" w:hAnsi="Arial" w:eastAsia="Arial"/>
          <w:sz w:val="16"/>
        </w:rPr>
        <w:t>D. Wait until treatment ends because measurement can interfere with the alliance.</w:t>
      </w:r>
    </w:p>
    <w:tbl>
      <w:tblPr>
        <w:tblW w:type="auto" w:w="0"/>
        <w:jc w:val="center"/>
        <w:tblLayout w:type="fixed"/>
        <w:tblLook w:firstColumn="1" w:firstRow="1" w:lastColumn="0" w:lastRow="0" w:noHBand="0" w:noVBand="1" w:val="04A0"/>
      </w:tblPr>
      <w:tblGrid>
        <w:gridCol w:w="10080"/>
      </w:tblGrid>
      <w:tr>
        <w:tc>
          <w:tcPr>
            <w:tcW w:type="dxa" w:w="10310"/>
            <w:shd w:fill="E8F5F5"/>
            <w:tcMar>
              <w:top w:w="70" w:type="dxa"/>
              <w:start w:w="95" w:type="dxa"/>
              <w:bottom w:w="70" w:type="dxa"/>
              <w:end w:w="95" w:type="dxa"/>
            </w:tcMar>
            <w:tcBorders>
              <w:top w:val="single" w:sz="7" w:color="159C9C"/>
              <w:left w:val="single" w:sz="7" w:color="159C9C"/>
              <w:bottom w:val="single" w:sz="7" w:color="159C9C"/>
              <w:right w:val="single" w:sz="7" w:color="159C9C"/>
              <w:insideH w:val="single" w:sz="7" w:color="159C9C"/>
              <w:insideV w:val="single" w:sz="7" w:color="159C9C"/>
            </w:tcBorders>
          </w:tcPr>
          <w:p>
            <w:pPr>
              <w:spacing w:before="0" w:after="20" w:line="245" w:lineRule="auto"/>
            </w:pPr>
            <w:r>
              <w:rPr>
                <w:rFonts w:ascii="Arial" w:hAnsi="Arial" w:eastAsia="Arial"/>
                <w:b/>
                <w:color w:val="159C9C"/>
                <w:sz w:val="17"/>
              </w:rPr>
              <w:t>CORRECT ANSWER</w:t>
            </w:r>
          </w:p>
          <w:p>
            <w:pPr>
              <w:spacing w:before="0" w:after="0" w:line="240" w:lineRule="auto"/>
            </w:pPr>
            <w:r>
              <w:rPr>
                <w:rFonts w:ascii="Arial" w:hAnsi="Arial" w:eastAsia="Arial"/>
                <w:color w:val="1F2937"/>
                <w:sz w:val="16"/>
              </w:rPr>
              <w:t>B. Use an appropriate OCD severity measure within competence, washing frequency and duration, avoidance and reassurance patterns, sleep, mood, cannabis use, work attendance, valued activities, and Jordan's own goals.</w:t>
            </w:r>
          </w:p>
        </w:tc>
      </w:tr>
    </w:tbl>
    <w:p>
      <w:pPr>
        <w:pStyle w:val="Heading2"/>
        <w:spacing w:before="0" w:after="60" w:line="245" w:lineRule="auto"/>
        <w:keepNext/>
      </w:pPr>
      <w:r>
        <w:rPr>
          <w:rFonts w:ascii="Arial" w:hAnsi="Arial" w:eastAsia="Arial"/>
          <w:b/>
          <w:color w:val="17365D"/>
          <w:sz w:val="21"/>
        </w:rPr>
        <w:t>Why Each Option Is Correct or Incorrect</w:t>
      </w:r>
    </w:p>
    <w:p>
      <w:pPr>
        <w:spacing w:after="20" w:before="0" w:line="240" w:lineRule="auto"/>
      </w:pPr>
      <w:r>
        <w:rPr>
          <w:rFonts w:ascii="Arial" w:hAnsi="Arial" w:eastAsia="Arial"/>
          <w:b/>
          <w:color w:val="17365D"/>
          <w:sz w:val="16"/>
        </w:rPr>
        <w:t xml:space="preserve">A. </w:t>
      </w:r>
      <w:r>
        <w:rPr>
          <w:rFonts w:ascii="Arial" w:hAnsi="Arial" w:eastAsia="Arial"/>
          <w:sz w:val="16"/>
        </w:rPr>
        <w:t>Incorrect. A single distress rating is too narrow and does not capture behavior, function, or co-occurring concerns.</w:t>
      </w:r>
    </w:p>
    <w:p>
      <w:pPr>
        <w:spacing w:after="20" w:before="0" w:line="240" w:lineRule="auto"/>
      </w:pPr>
      <w:r>
        <w:rPr>
          <w:rFonts w:ascii="Arial" w:hAnsi="Arial" w:eastAsia="Arial"/>
          <w:b/>
          <w:color w:val="17365D"/>
          <w:sz w:val="16"/>
        </w:rPr>
        <w:t xml:space="preserve">B. </w:t>
      </w:r>
      <w:r>
        <w:rPr>
          <w:rFonts w:ascii="Arial" w:hAnsi="Arial" w:eastAsia="Arial"/>
          <w:sz w:val="16"/>
        </w:rPr>
        <w:t>Correct. The plan combines symptom, behavioral, functional, contextual, and client-defined indicators.</w:t>
      </w:r>
    </w:p>
    <w:p>
      <w:pPr>
        <w:spacing w:after="20" w:before="0" w:line="240" w:lineRule="auto"/>
      </w:pPr>
      <w:r>
        <w:rPr>
          <w:rFonts w:ascii="Arial" w:hAnsi="Arial" w:eastAsia="Arial"/>
          <w:b/>
          <w:color w:val="17365D"/>
          <w:sz w:val="16"/>
        </w:rPr>
        <w:t xml:space="preserve">C. </w:t>
      </w:r>
      <w:r>
        <w:rPr>
          <w:rFonts w:ascii="Arial" w:hAnsi="Arial" w:eastAsia="Arial"/>
          <w:sz w:val="16"/>
        </w:rPr>
        <w:t>Incorrect. Collateral input may help with consent, but it should not replace the client's voice or objective monitoring.</w:t>
      </w:r>
    </w:p>
    <w:p>
      <w:pPr>
        <w:spacing w:after="20" w:before="0" w:line="240" w:lineRule="auto"/>
      </w:pPr>
      <w:r>
        <w:rPr>
          <w:rFonts w:ascii="Arial" w:hAnsi="Arial" w:eastAsia="Arial"/>
          <w:b/>
          <w:color w:val="17365D"/>
          <w:sz w:val="16"/>
        </w:rPr>
        <w:t xml:space="preserve">D. </w:t>
      </w:r>
      <w:r>
        <w:rPr>
          <w:rFonts w:ascii="Arial" w:hAnsi="Arial" w:eastAsia="Arial"/>
          <w:sz w:val="16"/>
        </w:rPr>
        <w:t>Incorrect. Collaborative measurement can support transparency and early plan revision.</w:t>
      </w:r>
    </w:p>
    <w:tbl>
      <w:tblPr>
        <w:tblW w:type="auto" w:w="0"/>
        <w:jc w:val="center"/>
        <w:tblLayout w:type="fixed"/>
        <w:tblLook w:firstColumn="1" w:firstRow="1" w:lastColumn="0" w:lastRow="0" w:noHBand="0" w:noVBand="1" w:val="04A0"/>
      </w:tblPr>
      <w:tblGrid>
        <w:gridCol w:w="10080"/>
      </w:tblGrid>
      <w:tr>
        <w:tc>
          <w:tcPr>
            <w:tcW w:type="dxa" w:w="10310"/>
            <w:shd w:fill="EAF1F8"/>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CTA EXAM STRATEGY</w:t>
            </w:r>
          </w:p>
          <w:p>
            <w:pPr>
              <w:spacing w:before="0" w:after="0" w:line="240" w:lineRule="auto"/>
            </w:pPr>
            <w:r>
              <w:rPr>
                <w:rFonts w:ascii="Arial" w:hAnsi="Arial" w:eastAsia="Arial"/>
                <w:color w:val="1F2937"/>
                <w:sz w:val="16"/>
              </w:rPr>
              <w:t>Choose measurement plans that track the target mechanism and real-life function, not one symptom score or another person's opinion alone.</w:t>
            </w:r>
          </w:p>
        </w:tc>
      </w:tr>
    </w:tbl>
    <w:tbl>
      <w:tblPr>
        <w:tblW w:type="auto" w:w="0"/>
        <w:jc w:val="center"/>
        <w:tblLayout w:type="fixed"/>
        <w:tblLook w:firstColumn="1" w:firstRow="1" w:lastColumn="0" w:lastRow="0" w:noHBand="0" w:noVBand="1" w:val="04A0"/>
      </w:tblPr>
      <w:tblGrid>
        <w:gridCol w:w="10080"/>
      </w:tblGrid>
      <w:tr>
        <w:tc>
          <w:tcPr>
            <w:tcW w:type="dxa" w:w="10310"/>
            <w:shd w:fill="F3F4F6"/>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LIKELY ERROR CODE</w:t>
            </w:r>
          </w:p>
          <w:p>
            <w:pPr>
              <w:spacing w:before="0" w:after="0" w:line="240" w:lineRule="auto"/>
            </w:pPr>
            <w:r>
              <w:rPr>
                <w:rFonts w:ascii="Arial" w:hAnsi="Arial" w:eastAsia="Arial"/>
                <w:color w:val="1F2937"/>
                <w:sz w:val="15"/>
              </w:rPr>
              <w:t>O - Outcome-monitoring gap. What treatment intends to change should be visible in the monitoring plan.</w:t>
            </w:r>
          </w:p>
        </w:tc>
      </w:tr>
    </w:tbl>
    <w:p>
      <w:r>
        <w:br w:type="page"/>
      </w:r>
    </w:p>
    <w:p>
      <w:pPr>
        <w:pStyle w:val="Heading2"/>
        <w:spacing w:before="0" w:after="60" w:line="245" w:lineRule="auto"/>
        <w:keepNext/>
      </w:pPr>
      <w:r>
        <w:rPr>
          <w:rFonts w:ascii="Arial" w:hAnsi="Arial" w:eastAsia="Arial"/>
          <w:b/>
          <w:color w:val="17365D"/>
          <w:sz w:val="21"/>
        </w:rPr>
        <w:t>Question 10 (LPCC-WB09-PB-Q010)</w:t>
      </w:r>
    </w:p>
    <w:p>
      <w:pPr>
        <w:spacing w:before="0" w:after="40" w:line="245" w:lineRule="auto"/>
      </w:pPr>
      <w:r>
        <w:rPr>
          <w:rFonts w:ascii="Arial" w:hAnsi="Arial" w:eastAsia="Arial"/>
          <w:b/>
          <w:i w:val="0"/>
          <w:color w:val="159C9C"/>
          <w:sz w:val="15"/>
        </w:rPr>
        <w:t>LPCC-WB09-PB-Q010 | Knowledge &amp; Application | Easy | Primary concept: ERP response prevention</w:t>
      </w:r>
    </w:p>
    <w:p>
      <w:pPr>
        <w:spacing w:before="0" w:after="40" w:line="245" w:lineRule="auto"/>
      </w:pPr>
      <w:r>
        <w:rPr>
          <w:rFonts w:ascii="Arial" w:hAnsi="Arial" w:eastAsia="Arial"/>
          <w:b/>
          <w:i w:val="0"/>
          <w:color w:val="1F2937"/>
          <w:sz w:val="17"/>
        </w:rPr>
        <w:t>During a low-level exposure, Jordan touches the desk and then wipes the hand on a sleeve and asks, "It is not dangerous, right?" Which behaviors are the PRIMARY response-prevention targets?</w:t>
      </w:r>
    </w:p>
    <w:p>
      <w:pPr>
        <w:spacing w:before="0" w:after="16" w:line="240" w:lineRule="auto"/>
        <w:ind w:left="259" w:hanging="259"/>
      </w:pPr>
      <w:r>
        <w:rPr>
          <w:rFonts w:ascii="Arial" w:hAnsi="Arial" w:eastAsia="Arial"/>
          <w:sz w:val="16"/>
        </w:rPr>
        <w:t>A. Touching the desk and reporting anxiety.</w:t>
      </w:r>
    </w:p>
    <w:p>
      <w:pPr>
        <w:spacing w:before="0" w:after="16" w:line="240" w:lineRule="auto"/>
        <w:ind w:left="259" w:hanging="259"/>
      </w:pPr>
      <w:r>
        <w:rPr>
          <w:rFonts w:ascii="Arial" w:hAnsi="Arial" w:eastAsia="Arial"/>
          <w:sz w:val="16"/>
        </w:rPr>
        <w:t>B. The counselor's use of a graded hierarchy.</w:t>
      </w:r>
    </w:p>
    <w:p>
      <w:pPr>
        <w:spacing w:before="0" w:after="16" w:line="240" w:lineRule="auto"/>
        <w:ind w:left="259" w:hanging="259"/>
      </w:pPr>
      <w:r>
        <w:rPr>
          <w:rFonts w:ascii="Arial" w:hAnsi="Arial" w:eastAsia="Arial"/>
          <w:sz w:val="16"/>
        </w:rPr>
        <w:t>C. Wiping the hand and seeking reassurance after the exposure.</w:t>
      </w:r>
    </w:p>
    <w:p>
      <w:pPr>
        <w:spacing w:before="0" w:after="16" w:line="240" w:lineRule="auto"/>
        <w:ind w:left="259" w:hanging="259"/>
      </w:pPr>
      <w:r>
        <w:rPr>
          <w:rFonts w:ascii="Arial" w:hAnsi="Arial" w:eastAsia="Arial"/>
          <w:sz w:val="16"/>
        </w:rPr>
        <w:t>D. Jordan's decision to attend counseling.</w:t>
      </w:r>
    </w:p>
    <w:tbl>
      <w:tblPr>
        <w:tblW w:type="auto" w:w="0"/>
        <w:jc w:val="center"/>
        <w:tblLayout w:type="fixed"/>
        <w:tblLook w:firstColumn="1" w:firstRow="1" w:lastColumn="0" w:lastRow="0" w:noHBand="0" w:noVBand="1" w:val="04A0"/>
      </w:tblPr>
      <w:tblGrid>
        <w:gridCol w:w="10080"/>
      </w:tblGrid>
      <w:tr>
        <w:tc>
          <w:tcPr>
            <w:tcW w:type="dxa" w:w="10310"/>
            <w:shd w:fill="E8F5F5"/>
            <w:tcMar>
              <w:top w:w="70" w:type="dxa"/>
              <w:start w:w="95" w:type="dxa"/>
              <w:bottom w:w="70" w:type="dxa"/>
              <w:end w:w="95" w:type="dxa"/>
            </w:tcMar>
            <w:tcBorders>
              <w:top w:val="single" w:sz="7" w:color="159C9C"/>
              <w:left w:val="single" w:sz="7" w:color="159C9C"/>
              <w:bottom w:val="single" w:sz="7" w:color="159C9C"/>
              <w:right w:val="single" w:sz="7" w:color="159C9C"/>
              <w:insideH w:val="single" w:sz="7" w:color="159C9C"/>
              <w:insideV w:val="single" w:sz="7" w:color="159C9C"/>
            </w:tcBorders>
          </w:tcPr>
          <w:p>
            <w:pPr>
              <w:spacing w:before="0" w:after="20" w:line="245" w:lineRule="auto"/>
            </w:pPr>
            <w:r>
              <w:rPr>
                <w:rFonts w:ascii="Arial" w:hAnsi="Arial" w:eastAsia="Arial"/>
                <w:b/>
                <w:color w:val="159C9C"/>
                <w:sz w:val="17"/>
              </w:rPr>
              <w:t>CORRECT ANSWER</w:t>
            </w:r>
          </w:p>
          <w:p>
            <w:pPr>
              <w:spacing w:before="0" w:after="0" w:line="240" w:lineRule="auto"/>
            </w:pPr>
            <w:r>
              <w:rPr>
                <w:rFonts w:ascii="Arial" w:hAnsi="Arial" w:eastAsia="Arial"/>
                <w:color w:val="1F2937"/>
                <w:sz w:val="16"/>
              </w:rPr>
              <w:t>C. Wiping the hand and seeking reassurance after the exposure.</w:t>
            </w:r>
          </w:p>
        </w:tc>
      </w:tr>
    </w:tbl>
    <w:p>
      <w:pPr>
        <w:pStyle w:val="Heading2"/>
        <w:spacing w:before="0" w:after="60" w:line="245" w:lineRule="auto"/>
        <w:keepNext/>
      </w:pPr>
      <w:r>
        <w:rPr>
          <w:rFonts w:ascii="Arial" w:hAnsi="Arial" w:eastAsia="Arial"/>
          <w:b/>
          <w:color w:val="17365D"/>
          <w:sz w:val="21"/>
        </w:rPr>
        <w:t>Why Each Option Is Correct or Incorrect</w:t>
      </w:r>
    </w:p>
    <w:p>
      <w:pPr>
        <w:spacing w:after="20" w:before="0" w:line="240" w:lineRule="auto"/>
      </w:pPr>
      <w:r>
        <w:rPr>
          <w:rFonts w:ascii="Arial" w:hAnsi="Arial" w:eastAsia="Arial"/>
          <w:b/>
          <w:color w:val="17365D"/>
          <w:sz w:val="16"/>
        </w:rPr>
        <w:t xml:space="preserve">A. </w:t>
      </w:r>
      <w:r>
        <w:rPr>
          <w:rFonts w:ascii="Arial" w:hAnsi="Arial" w:eastAsia="Arial"/>
          <w:sz w:val="16"/>
        </w:rPr>
        <w:t>Incorrect. Touching the desk is the exposure, and reporting anxiety can support monitoring.</w:t>
      </w:r>
    </w:p>
    <w:p>
      <w:pPr>
        <w:spacing w:after="20" w:before="0" w:line="240" w:lineRule="auto"/>
      </w:pPr>
      <w:r>
        <w:rPr>
          <w:rFonts w:ascii="Arial" w:hAnsi="Arial" w:eastAsia="Arial"/>
          <w:b/>
          <w:color w:val="17365D"/>
          <w:sz w:val="16"/>
        </w:rPr>
        <w:t xml:space="preserve">B. </w:t>
      </w:r>
      <w:r>
        <w:rPr>
          <w:rFonts w:ascii="Arial" w:hAnsi="Arial" w:eastAsia="Arial"/>
          <w:sz w:val="16"/>
        </w:rPr>
        <w:t>Incorrect. A graded hierarchy is a treatment structure, not the compulsion or safety behavior.</w:t>
      </w:r>
    </w:p>
    <w:p>
      <w:pPr>
        <w:spacing w:after="20" w:before="0" w:line="240" w:lineRule="auto"/>
      </w:pPr>
      <w:r>
        <w:rPr>
          <w:rFonts w:ascii="Arial" w:hAnsi="Arial" w:eastAsia="Arial"/>
          <w:b/>
          <w:color w:val="17365D"/>
          <w:sz w:val="16"/>
        </w:rPr>
        <w:t xml:space="preserve">C. </w:t>
      </w:r>
      <w:r>
        <w:rPr>
          <w:rFonts w:ascii="Arial" w:hAnsi="Arial" w:eastAsia="Arial"/>
          <w:sz w:val="16"/>
        </w:rPr>
        <w:t>Correct. Wiping and reassurance are neutralizing behaviors that can prevent new learning and maintain the cycle.</w:t>
      </w:r>
    </w:p>
    <w:p>
      <w:pPr>
        <w:spacing w:after="20" w:before="0" w:line="240" w:lineRule="auto"/>
      </w:pPr>
      <w:r>
        <w:rPr>
          <w:rFonts w:ascii="Arial" w:hAnsi="Arial" w:eastAsia="Arial"/>
          <w:b/>
          <w:color w:val="17365D"/>
          <w:sz w:val="16"/>
        </w:rPr>
        <w:t xml:space="preserve">D. </w:t>
      </w:r>
      <w:r>
        <w:rPr>
          <w:rFonts w:ascii="Arial" w:hAnsi="Arial" w:eastAsia="Arial"/>
          <w:sz w:val="16"/>
        </w:rPr>
        <w:t>Incorrect. Attendance supports treatment and is not a response-prevention target.</w:t>
      </w:r>
    </w:p>
    <w:tbl>
      <w:tblPr>
        <w:tblW w:type="auto" w:w="0"/>
        <w:jc w:val="center"/>
        <w:tblLayout w:type="fixed"/>
        <w:tblLook w:firstColumn="1" w:firstRow="1" w:lastColumn="0" w:lastRow="0" w:noHBand="0" w:noVBand="1" w:val="04A0"/>
      </w:tblPr>
      <w:tblGrid>
        <w:gridCol w:w="10080"/>
      </w:tblGrid>
      <w:tr>
        <w:tc>
          <w:tcPr>
            <w:tcW w:type="dxa" w:w="10310"/>
            <w:shd w:fill="EAF1F8"/>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CTA EXAM STRATEGY</w:t>
            </w:r>
          </w:p>
          <w:p>
            <w:pPr>
              <w:spacing w:before="0" w:after="0" w:line="240" w:lineRule="auto"/>
            </w:pPr>
            <w:r>
              <w:rPr>
                <w:rFonts w:ascii="Arial" w:hAnsi="Arial" w:eastAsia="Arial"/>
                <w:color w:val="1F2937"/>
                <w:sz w:val="16"/>
              </w:rPr>
              <w:t>In ERP questions, identify what exposes the feared cue and what neutralizes, escapes, reassures, or prevents learning afterward.</w:t>
            </w:r>
          </w:p>
        </w:tc>
      </w:tr>
    </w:tbl>
    <w:tbl>
      <w:tblPr>
        <w:tblW w:type="auto" w:w="0"/>
        <w:jc w:val="center"/>
        <w:tblLayout w:type="fixed"/>
        <w:tblLook w:firstColumn="1" w:firstRow="1" w:lastColumn="0" w:lastRow="0" w:noHBand="0" w:noVBand="1" w:val="04A0"/>
      </w:tblPr>
      <w:tblGrid>
        <w:gridCol w:w="10080"/>
      </w:tblGrid>
      <w:tr>
        <w:tc>
          <w:tcPr>
            <w:tcW w:type="dxa" w:w="10310"/>
            <w:shd w:fill="F3F4F6"/>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LIKELY ERROR CODE</w:t>
            </w:r>
          </w:p>
          <w:p>
            <w:pPr>
              <w:spacing w:before="0" w:after="0" w:line="240" w:lineRule="auto"/>
            </w:pPr>
            <w:r>
              <w:rPr>
                <w:rFonts w:ascii="Arial" w:hAnsi="Arial" w:eastAsia="Arial"/>
                <w:color w:val="1F2937"/>
                <w:sz w:val="15"/>
              </w:rPr>
              <w:t>A - Active-ingredient error. Exposure without response prevention can leave the maintaining cycle intact.</w:t>
            </w:r>
          </w:p>
        </w:tc>
      </w:tr>
    </w:tbl>
    <w:p>
      <w:r>
        <w:br w:type="page"/>
      </w:r>
    </w:p>
    <w:p>
      <w:pPr>
        <w:pStyle w:val="Heading2"/>
        <w:spacing w:before="0" w:after="60" w:line="245" w:lineRule="auto"/>
        <w:keepNext/>
      </w:pPr>
      <w:r>
        <w:rPr>
          <w:rFonts w:ascii="Arial" w:hAnsi="Arial" w:eastAsia="Arial"/>
          <w:b/>
          <w:color w:val="17365D"/>
          <w:sz w:val="21"/>
        </w:rPr>
        <w:t>Question 11 (LPCC-WB09-PB-Q011)</w:t>
      </w:r>
    </w:p>
    <w:p>
      <w:pPr>
        <w:spacing w:before="0" w:after="40" w:line="245" w:lineRule="auto"/>
      </w:pPr>
      <w:r>
        <w:rPr>
          <w:rFonts w:ascii="Arial" w:hAnsi="Arial" w:eastAsia="Arial"/>
          <w:b/>
          <w:i w:val="0"/>
          <w:color w:val="159C9C"/>
          <w:sz w:val="15"/>
        </w:rPr>
        <w:t>LPCC-WB09-PB-Q011 | Application | Moderate | Primary concept: Graded ERP delivery</w:t>
      </w:r>
    </w:p>
    <w:p>
      <w:pPr>
        <w:spacing w:before="0" w:after="40" w:line="245" w:lineRule="auto"/>
      </w:pPr>
      <w:r>
        <w:rPr>
          <w:rFonts w:ascii="Arial" w:hAnsi="Arial" w:eastAsia="Arial"/>
          <w:b/>
          <w:i w:val="0"/>
          <w:color w:val="1F2937"/>
          <w:sz w:val="17"/>
        </w:rPr>
        <w:t>What is the BEST next step in Jordan's graded exposure plan?</w:t>
      </w:r>
    </w:p>
    <w:p>
      <w:pPr>
        <w:spacing w:before="0" w:after="16" w:line="240" w:lineRule="auto"/>
        <w:ind w:left="259" w:hanging="259"/>
      </w:pPr>
      <w:r>
        <w:rPr>
          <w:rFonts w:ascii="Arial" w:hAnsi="Arial" w:eastAsia="Arial"/>
          <w:sz w:val="16"/>
        </w:rPr>
        <w:t>A. Repeat a collaboratively chosen, tolerable desk exposure while delaying or omitting washing, wiping, and reassurance; review learning; and advance based on readiness and evidence rather than zero anxiety.</w:t>
      </w:r>
    </w:p>
    <w:p>
      <w:pPr>
        <w:spacing w:before="0" w:after="16" w:line="240" w:lineRule="auto"/>
        <w:ind w:left="259" w:hanging="259"/>
      </w:pPr>
      <w:r>
        <w:rPr>
          <w:rFonts w:ascii="Arial" w:hAnsi="Arial" w:eastAsia="Arial"/>
          <w:sz w:val="16"/>
        </w:rPr>
        <w:t>B. Move immediately to the highest hierarchy item so treatment is efficient.</w:t>
      </w:r>
    </w:p>
    <w:p>
      <w:pPr>
        <w:spacing w:before="0" w:after="16" w:line="240" w:lineRule="auto"/>
        <w:ind w:left="259" w:hanging="259"/>
      </w:pPr>
      <w:r>
        <w:rPr>
          <w:rFonts w:ascii="Arial" w:hAnsi="Arial" w:eastAsia="Arial"/>
          <w:sz w:val="16"/>
        </w:rPr>
        <w:t>C. Allow sanitizer after every exposure so Jordan can complete more trials without distress.</w:t>
      </w:r>
    </w:p>
    <w:p>
      <w:pPr>
        <w:spacing w:before="0" w:after="16" w:line="240" w:lineRule="auto"/>
        <w:ind w:left="259" w:hanging="259"/>
      </w:pPr>
      <w:r>
        <w:rPr>
          <w:rFonts w:ascii="Arial" w:hAnsi="Arial" w:eastAsia="Arial"/>
          <w:sz w:val="16"/>
        </w:rPr>
        <w:t>D. End the exposure as soon as anxiety rises because distress indicates harm.</w:t>
      </w:r>
    </w:p>
    <w:tbl>
      <w:tblPr>
        <w:tblW w:type="auto" w:w="0"/>
        <w:jc w:val="center"/>
        <w:tblLayout w:type="fixed"/>
        <w:tblLook w:firstColumn="1" w:firstRow="1" w:lastColumn="0" w:lastRow="0" w:noHBand="0" w:noVBand="1" w:val="04A0"/>
      </w:tblPr>
      <w:tblGrid>
        <w:gridCol w:w="10080"/>
      </w:tblGrid>
      <w:tr>
        <w:tc>
          <w:tcPr>
            <w:tcW w:type="dxa" w:w="10310"/>
            <w:shd w:fill="E8F5F5"/>
            <w:tcMar>
              <w:top w:w="70" w:type="dxa"/>
              <w:start w:w="95" w:type="dxa"/>
              <w:bottom w:w="70" w:type="dxa"/>
              <w:end w:w="95" w:type="dxa"/>
            </w:tcMar>
            <w:tcBorders>
              <w:top w:val="single" w:sz="7" w:color="159C9C"/>
              <w:left w:val="single" w:sz="7" w:color="159C9C"/>
              <w:bottom w:val="single" w:sz="7" w:color="159C9C"/>
              <w:right w:val="single" w:sz="7" w:color="159C9C"/>
              <w:insideH w:val="single" w:sz="7" w:color="159C9C"/>
              <w:insideV w:val="single" w:sz="7" w:color="159C9C"/>
            </w:tcBorders>
          </w:tcPr>
          <w:p>
            <w:pPr>
              <w:spacing w:before="0" w:after="20" w:line="245" w:lineRule="auto"/>
            </w:pPr>
            <w:r>
              <w:rPr>
                <w:rFonts w:ascii="Arial" w:hAnsi="Arial" w:eastAsia="Arial"/>
                <w:b/>
                <w:color w:val="159C9C"/>
                <w:sz w:val="17"/>
              </w:rPr>
              <w:t>CORRECT ANSWER</w:t>
            </w:r>
          </w:p>
          <w:p>
            <w:pPr>
              <w:spacing w:before="0" w:after="0" w:line="240" w:lineRule="auto"/>
            </w:pPr>
            <w:r>
              <w:rPr>
                <w:rFonts w:ascii="Arial" w:hAnsi="Arial" w:eastAsia="Arial"/>
                <w:color w:val="1F2937"/>
                <w:sz w:val="16"/>
              </w:rPr>
              <w:t>A. Repeat a collaboratively chosen, tolerable desk exposure while delaying or omitting washing, wiping, and reassurance; review learning; and advance based on readiness and evidence rather than zero anxiety.</w:t>
            </w:r>
          </w:p>
        </w:tc>
      </w:tr>
    </w:tbl>
    <w:p>
      <w:pPr>
        <w:pStyle w:val="Heading2"/>
        <w:spacing w:before="0" w:after="60" w:line="245" w:lineRule="auto"/>
        <w:keepNext/>
      </w:pPr>
      <w:r>
        <w:rPr>
          <w:rFonts w:ascii="Arial" w:hAnsi="Arial" w:eastAsia="Arial"/>
          <w:b/>
          <w:color w:val="17365D"/>
          <w:sz w:val="21"/>
        </w:rPr>
        <w:t>Why Each Option Is Correct or Incorrect</w:t>
      </w:r>
    </w:p>
    <w:p>
      <w:pPr>
        <w:spacing w:after="20" w:before="0" w:line="240" w:lineRule="auto"/>
      </w:pPr>
      <w:r>
        <w:rPr>
          <w:rFonts w:ascii="Arial" w:hAnsi="Arial" w:eastAsia="Arial"/>
          <w:b/>
          <w:color w:val="17365D"/>
          <w:sz w:val="16"/>
        </w:rPr>
        <w:t xml:space="preserve">A. </w:t>
      </w:r>
      <w:r>
        <w:rPr>
          <w:rFonts w:ascii="Arial" w:hAnsi="Arial" w:eastAsia="Arial"/>
          <w:sz w:val="16"/>
        </w:rPr>
        <w:t>Correct. The plan preserves graded exposure and response prevention, repetition, collaboration, and learning review.</w:t>
      </w:r>
    </w:p>
    <w:p>
      <w:pPr>
        <w:spacing w:after="20" w:before="0" w:line="240" w:lineRule="auto"/>
      </w:pPr>
      <w:r>
        <w:rPr>
          <w:rFonts w:ascii="Arial" w:hAnsi="Arial" w:eastAsia="Arial"/>
          <w:b/>
          <w:color w:val="17365D"/>
          <w:sz w:val="16"/>
        </w:rPr>
        <w:t xml:space="preserve">B. </w:t>
      </w:r>
      <w:r>
        <w:rPr>
          <w:rFonts w:ascii="Arial" w:hAnsi="Arial" w:eastAsia="Arial"/>
          <w:sz w:val="16"/>
        </w:rPr>
        <w:t>Incorrect. Maximum intensity is not automatically more effective and may exceed readiness or reduce engagement.</w:t>
      </w:r>
    </w:p>
    <w:p>
      <w:pPr>
        <w:spacing w:after="20" w:before="0" w:line="240" w:lineRule="auto"/>
      </w:pPr>
      <w:r>
        <w:rPr>
          <w:rFonts w:ascii="Arial" w:hAnsi="Arial" w:eastAsia="Arial"/>
          <w:b/>
          <w:color w:val="17365D"/>
          <w:sz w:val="16"/>
        </w:rPr>
        <w:t xml:space="preserve">C. </w:t>
      </w:r>
      <w:r>
        <w:rPr>
          <w:rFonts w:ascii="Arial" w:hAnsi="Arial" w:eastAsia="Arial"/>
          <w:sz w:val="16"/>
        </w:rPr>
        <w:t>Incorrect. Routine sanitizer use for neutralization can function as a safety behavior and undermine the active ingredient.</w:t>
      </w:r>
    </w:p>
    <w:p>
      <w:pPr>
        <w:spacing w:after="20" w:before="0" w:line="240" w:lineRule="auto"/>
      </w:pPr>
      <w:r>
        <w:rPr>
          <w:rFonts w:ascii="Arial" w:hAnsi="Arial" w:eastAsia="Arial"/>
          <w:b/>
          <w:color w:val="17365D"/>
          <w:sz w:val="16"/>
        </w:rPr>
        <w:t xml:space="preserve">D. </w:t>
      </w:r>
      <w:r>
        <w:rPr>
          <w:rFonts w:ascii="Arial" w:hAnsi="Arial" w:eastAsia="Arial"/>
          <w:sz w:val="16"/>
        </w:rPr>
        <w:t>Incorrect. Anxiety is expected during exposure and does not by itself indicate danger.</w:t>
      </w:r>
    </w:p>
    <w:tbl>
      <w:tblPr>
        <w:tblW w:type="auto" w:w="0"/>
        <w:jc w:val="center"/>
        <w:tblLayout w:type="fixed"/>
        <w:tblLook w:firstColumn="1" w:firstRow="1" w:lastColumn="0" w:lastRow="0" w:noHBand="0" w:noVBand="1" w:val="04A0"/>
      </w:tblPr>
      <w:tblGrid>
        <w:gridCol w:w="10080"/>
      </w:tblGrid>
      <w:tr>
        <w:tc>
          <w:tcPr>
            <w:tcW w:type="dxa" w:w="10310"/>
            <w:shd w:fill="EAF1F8"/>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CTA EXAM STRATEGY</w:t>
            </w:r>
          </w:p>
          <w:p>
            <w:pPr>
              <w:spacing w:before="0" w:after="0" w:line="240" w:lineRule="auto"/>
            </w:pPr>
            <w:r>
              <w:rPr>
                <w:rFonts w:ascii="Arial" w:hAnsi="Arial" w:eastAsia="Arial"/>
                <w:color w:val="1F2937"/>
                <w:sz w:val="16"/>
              </w:rPr>
              <w:t>Strong exposure answers specify the feared cue, the prevented response, graded repetition, and learning - not forced intensity or immediate relief.</w:t>
            </w:r>
          </w:p>
        </w:tc>
      </w:tr>
    </w:tbl>
    <w:tbl>
      <w:tblPr>
        <w:tblW w:type="auto" w:w="0"/>
        <w:jc w:val="center"/>
        <w:tblLayout w:type="fixed"/>
        <w:tblLook w:firstColumn="1" w:firstRow="1" w:lastColumn="0" w:lastRow="0" w:noHBand="0" w:noVBand="1" w:val="04A0"/>
      </w:tblPr>
      <w:tblGrid>
        <w:gridCol w:w="10080"/>
      </w:tblGrid>
      <w:tr>
        <w:tc>
          <w:tcPr>
            <w:tcW w:type="dxa" w:w="10310"/>
            <w:shd w:fill="F3F4F6"/>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LIKELY ERROR CODE</w:t>
            </w:r>
          </w:p>
          <w:p>
            <w:pPr>
              <w:spacing w:before="0" w:after="0" w:line="240" w:lineRule="auto"/>
            </w:pPr>
            <w:r>
              <w:rPr>
                <w:rFonts w:ascii="Arial" w:hAnsi="Arial" w:eastAsia="Arial"/>
                <w:color w:val="1F2937"/>
                <w:sz w:val="15"/>
              </w:rPr>
              <w:t>D - DOSE mismatch. The goal is new learning and increased freedom, not instant elimination of anxiety.</w:t>
            </w:r>
          </w:p>
        </w:tc>
      </w:tr>
    </w:tbl>
    <w:p>
      <w:r>
        <w:br w:type="page"/>
      </w:r>
    </w:p>
    <w:p>
      <w:pPr>
        <w:pStyle w:val="Heading2"/>
        <w:spacing w:before="0" w:after="60" w:line="245" w:lineRule="auto"/>
        <w:keepNext/>
      </w:pPr>
      <w:r>
        <w:rPr>
          <w:rFonts w:ascii="Arial" w:hAnsi="Arial" w:eastAsia="Arial"/>
          <w:b/>
          <w:color w:val="17365D"/>
          <w:sz w:val="21"/>
        </w:rPr>
        <w:t>Question 12 (LPCC-WB09-PB-Q012)</w:t>
      </w:r>
    </w:p>
    <w:p>
      <w:pPr>
        <w:spacing w:before="0" w:after="40" w:line="245" w:lineRule="auto"/>
      </w:pPr>
      <w:r>
        <w:rPr>
          <w:rFonts w:ascii="Arial" w:hAnsi="Arial" w:eastAsia="Arial"/>
          <w:b/>
          <w:i w:val="0"/>
          <w:color w:val="159C9C"/>
          <w:sz w:val="15"/>
        </w:rPr>
        <w:t>LPCC-WB09-PB-Q012 | Integrated Clinical Reasoning | Difficult | Primary concept: Safety behaviors and treatment fit</w:t>
      </w:r>
    </w:p>
    <w:p>
      <w:pPr>
        <w:spacing w:before="0" w:after="40" w:line="245" w:lineRule="auto"/>
      </w:pPr>
      <w:r>
        <w:rPr>
          <w:rFonts w:ascii="Arial" w:hAnsi="Arial" w:eastAsia="Arial"/>
          <w:b/>
          <w:i w:val="0"/>
          <w:color w:val="1F2937"/>
          <w:sz w:val="17"/>
        </w:rPr>
        <w:t>Jordan asks to carry sanitizer "just in case" during every exposure. What is the BEST counselor response?</w:t>
      </w:r>
    </w:p>
    <w:p>
      <w:pPr>
        <w:spacing w:before="0" w:after="16" w:line="240" w:lineRule="auto"/>
        <w:ind w:left="259" w:hanging="259"/>
      </w:pPr>
      <w:r>
        <w:rPr>
          <w:rFonts w:ascii="Arial" w:hAnsi="Arial" w:eastAsia="Arial"/>
          <w:sz w:val="16"/>
        </w:rPr>
        <w:t>A. Agree without discussion because any coping aid increases treatment adherence.</w:t>
      </w:r>
    </w:p>
    <w:p>
      <w:pPr>
        <w:spacing w:before="0" w:after="16" w:line="240" w:lineRule="auto"/>
        <w:ind w:left="259" w:hanging="259"/>
      </w:pPr>
      <w:r>
        <w:rPr>
          <w:rFonts w:ascii="Arial" w:hAnsi="Arial" w:eastAsia="Arial"/>
          <w:sz w:val="16"/>
        </w:rPr>
        <w:t>B. Forbid sanitizer in every setting, including ordinary health-related use, because all use is compulsive.</w:t>
      </w:r>
    </w:p>
    <w:p>
      <w:pPr>
        <w:spacing w:before="0" w:after="16" w:line="240" w:lineRule="auto"/>
        <w:ind w:left="259" w:hanging="259"/>
      </w:pPr>
      <w:r>
        <w:rPr>
          <w:rFonts w:ascii="Arial" w:hAnsi="Arial" w:eastAsia="Arial"/>
          <w:sz w:val="16"/>
        </w:rPr>
        <w:t>C. Reassure Jordan that contamination is impossible so sanitizer will not be needed.</w:t>
      </w:r>
    </w:p>
    <w:p>
      <w:pPr>
        <w:spacing w:before="0" w:after="16" w:line="240" w:lineRule="auto"/>
        <w:ind w:left="259" w:hanging="259"/>
      </w:pPr>
      <w:r>
        <w:rPr>
          <w:rFonts w:ascii="Arial" w:hAnsi="Arial" w:eastAsia="Arial"/>
          <w:sz w:val="16"/>
        </w:rPr>
        <w:t>D. Explore the intended function, distinguish ordinary health use from ritualized neutralization, collaboratively define response prevention, and avoid using sanitizer as the condition that makes exposure feel safe.</w:t>
      </w:r>
    </w:p>
    <w:tbl>
      <w:tblPr>
        <w:tblW w:type="auto" w:w="0"/>
        <w:jc w:val="center"/>
        <w:tblLayout w:type="fixed"/>
        <w:tblLook w:firstColumn="1" w:firstRow="1" w:lastColumn="0" w:lastRow="0" w:noHBand="0" w:noVBand="1" w:val="04A0"/>
      </w:tblPr>
      <w:tblGrid>
        <w:gridCol w:w="10080"/>
      </w:tblGrid>
      <w:tr>
        <w:tc>
          <w:tcPr>
            <w:tcW w:type="dxa" w:w="10310"/>
            <w:shd w:fill="E8F5F5"/>
            <w:tcMar>
              <w:top w:w="70" w:type="dxa"/>
              <w:start w:w="95" w:type="dxa"/>
              <w:bottom w:w="70" w:type="dxa"/>
              <w:end w:w="95" w:type="dxa"/>
            </w:tcMar>
            <w:tcBorders>
              <w:top w:val="single" w:sz="7" w:color="159C9C"/>
              <w:left w:val="single" w:sz="7" w:color="159C9C"/>
              <w:bottom w:val="single" w:sz="7" w:color="159C9C"/>
              <w:right w:val="single" w:sz="7" w:color="159C9C"/>
              <w:insideH w:val="single" w:sz="7" w:color="159C9C"/>
              <w:insideV w:val="single" w:sz="7" w:color="159C9C"/>
            </w:tcBorders>
          </w:tcPr>
          <w:p>
            <w:pPr>
              <w:spacing w:before="0" w:after="20" w:line="245" w:lineRule="auto"/>
            </w:pPr>
            <w:r>
              <w:rPr>
                <w:rFonts w:ascii="Arial" w:hAnsi="Arial" w:eastAsia="Arial"/>
                <w:b/>
                <w:color w:val="159C9C"/>
                <w:sz w:val="17"/>
              </w:rPr>
              <w:t>CORRECT ANSWER</w:t>
            </w:r>
          </w:p>
          <w:p>
            <w:pPr>
              <w:spacing w:before="0" w:after="0" w:line="240" w:lineRule="auto"/>
            </w:pPr>
            <w:r>
              <w:rPr>
                <w:rFonts w:ascii="Arial" w:hAnsi="Arial" w:eastAsia="Arial"/>
                <w:color w:val="1F2937"/>
                <w:sz w:val="16"/>
              </w:rPr>
              <w:t>D. Explore the intended function, distinguish ordinary health use from ritualized neutralization, collaboratively define response prevention, and avoid using sanitizer as the condition that makes exposure feel safe.</w:t>
            </w:r>
          </w:p>
        </w:tc>
      </w:tr>
    </w:tbl>
    <w:p>
      <w:pPr>
        <w:pStyle w:val="Heading2"/>
        <w:spacing w:before="0" w:after="60" w:line="245" w:lineRule="auto"/>
        <w:keepNext/>
      </w:pPr>
      <w:r>
        <w:rPr>
          <w:rFonts w:ascii="Arial" w:hAnsi="Arial" w:eastAsia="Arial"/>
          <w:b/>
          <w:color w:val="17365D"/>
          <w:sz w:val="21"/>
        </w:rPr>
        <w:t>Why Each Option Is Correct or Incorrect</w:t>
      </w:r>
    </w:p>
    <w:p>
      <w:pPr>
        <w:spacing w:after="20" w:before="0" w:line="240" w:lineRule="auto"/>
      </w:pPr>
      <w:r>
        <w:rPr>
          <w:rFonts w:ascii="Arial" w:hAnsi="Arial" w:eastAsia="Arial"/>
          <w:b/>
          <w:color w:val="17365D"/>
          <w:sz w:val="16"/>
        </w:rPr>
        <w:t xml:space="preserve">A. </w:t>
      </w:r>
      <w:r>
        <w:rPr>
          <w:rFonts w:ascii="Arial" w:hAnsi="Arial" w:eastAsia="Arial"/>
          <w:sz w:val="16"/>
        </w:rPr>
        <w:t>Incorrect. A coping aid can become a safety behavior that preserves the feared belief and weakens learning.</w:t>
      </w:r>
    </w:p>
    <w:p>
      <w:pPr>
        <w:spacing w:after="20" w:before="0" w:line="240" w:lineRule="auto"/>
      </w:pPr>
      <w:r>
        <w:rPr>
          <w:rFonts w:ascii="Arial" w:hAnsi="Arial" w:eastAsia="Arial"/>
          <w:b/>
          <w:color w:val="17365D"/>
          <w:sz w:val="16"/>
        </w:rPr>
        <w:t xml:space="preserve">B. </w:t>
      </w:r>
      <w:r>
        <w:rPr>
          <w:rFonts w:ascii="Arial" w:hAnsi="Arial" w:eastAsia="Arial"/>
          <w:sz w:val="16"/>
        </w:rPr>
        <w:t>Incorrect. The counselor should assess function and context rather than impose an absolute rule unrelated to ordinary health practices.</w:t>
      </w:r>
    </w:p>
    <w:p>
      <w:pPr>
        <w:spacing w:after="20" w:before="0" w:line="240" w:lineRule="auto"/>
      </w:pPr>
      <w:r>
        <w:rPr>
          <w:rFonts w:ascii="Arial" w:hAnsi="Arial" w:eastAsia="Arial"/>
          <w:b/>
          <w:color w:val="17365D"/>
          <w:sz w:val="16"/>
        </w:rPr>
        <w:t xml:space="preserve">C. </w:t>
      </w:r>
      <w:r>
        <w:rPr>
          <w:rFonts w:ascii="Arial" w:hAnsi="Arial" w:eastAsia="Arial"/>
          <w:sz w:val="16"/>
        </w:rPr>
        <w:t>Incorrect. Reassurance can become another ritual and overstates certainty.</w:t>
      </w:r>
    </w:p>
    <w:p>
      <w:pPr>
        <w:spacing w:after="20" w:before="0" w:line="240" w:lineRule="auto"/>
      </w:pPr>
      <w:r>
        <w:rPr>
          <w:rFonts w:ascii="Arial" w:hAnsi="Arial" w:eastAsia="Arial"/>
          <w:b/>
          <w:color w:val="17365D"/>
          <w:sz w:val="16"/>
        </w:rPr>
        <w:t xml:space="preserve">D. </w:t>
      </w:r>
      <w:r>
        <w:rPr>
          <w:rFonts w:ascii="Arial" w:hAnsi="Arial" w:eastAsia="Arial"/>
          <w:sz w:val="16"/>
        </w:rPr>
        <w:t>Correct. The response evaluates function, preserves reasonable health behavior, and protects the active ingredient of ERP.</w:t>
      </w:r>
    </w:p>
    <w:tbl>
      <w:tblPr>
        <w:tblW w:type="auto" w:w="0"/>
        <w:jc w:val="center"/>
        <w:tblLayout w:type="fixed"/>
        <w:tblLook w:firstColumn="1" w:firstRow="1" w:lastColumn="0" w:lastRow="0" w:noHBand="0" w:noVBand="1" w:val="04A0"/>
      </w:tblPr>
      <w:tblGrid>
        <w:gridCol w:w="10080"/>
      </w:tblGrid>
      <w:tr>
        <w:tc>
          <w:tcPr>
            <w:tcW w:type="dxa" w:w="10310"/>
            <w:shd w:fill="EAF1F8"/>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CTA EXAM STRATEGY</w:t>
            </w:r>
          </w:p>
          <w:p>
            <w:pPr>
              <w:spacing w:before="0" w:after="0" w:line="240" w:lineRule="auto"/>
            </w:pPr>
            <w:r>
              <w:rPr>
                <w:rFonts w:ascii="Arial" w:hAnsi="Arial" w:eastAsia="Arial"/>
                <w:color w:val="1F2937"/>
                <w:sz w:val="16"/>
              </w:rPr>
              <w:t>Do not classify a behavior by appearance alone. Ask what function it serves in the fear cycle and whether it preserves or blocks the treatment mechanism.</w:t>
            </w:r>
          </w:p>
        </w:tc>
      </w:tr>
    </w:tbl>
    <w:tbl>
      <w:tblPr>
        <w:tblW w:type="auto" w:w="0"/>
        <w:jc w:val="center"/>
        <w:tblLayout w:type="fixed"/>
        <w:tblLook w:firstColumn="1" w:firstRow="1" w:lastColumn="0" w:lastRow="0" w:noHBand="0" w:noVBand="1" w:val="04A0"/>
      </w:tblPr>
      <w:tblGrid>
        <w:gridCol w:w="10080"/>
      </w:tblGrid>
      <w:tr>
        <w:tc>
          <w:tcPr>
            <w:tcW w:type="dxa" w:w="10310"/>
            <w:shd w:fill="F3F4F6"/>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LIKELY ERROR CODE</w:t>
            </w:r>
          </w:p>
          <w:p>
            <w:pPr>
              <w:spacing w:before="0" w:after="0" w:line="240" w:lineRule="auto"/>
            </w:pPr>
            <w:r>
              <w:rPr>
                <w:rFonts w:ascii="Arial" w:hAnsi="Arial" w:eastAsia="Arial"/>
                <w:color w:val="1F2937"/>
                <w:sz w:val="15"/>
              </w:rPr>
              <w:t>A - Active-ingredient error. The same object can be ordinary in one context and a safety behavior in another.</w:t>
            </w:r>
          </w:p>
        </w:tc>
      </w:tr>
    </w:tbl>
    <w:p>
      <w:r>
        <w:br w:type="page"/>
      </w:r>
    </w:p>
    <w:p>
      <w:pPr>
        <w:pStyle w:val="Heading2"/>
        <w:spacing w:before="0" w:after="60" w:line="245" w:lineRule="auto"/>
        <w:keepNext/>
      </w:pPr>
      <w:r>
        <w:rPr>
          <w:rFonts w:ascii="Arial" w:hAnsi="Arial" w:eastAsia="Arial"/>
          <w:b/>
          <w:color w:val="17365D"/>
          <w:sz w:val="21"/>
        </w:rPr>
        <w:t>Question 13 (LPCC-WB09-PB-Q013)</w:t>
      </w:r>
    </w:p>
    <w:p>
      <w:pPr>
        <w:spacing w:before="0" w:after="40" w:line="245" w:lineRule="auto"/>
      </w:pPr>
      <w:r>
        <w:rPr>
          <w:rFonts w:ascii="Arial" w:hAnsi="Arial" w:eastAsia="Arial"/>
          <w:b/>
          <w:i w:val="0"/>
          <w:color w:val="159C9C"/>
          <w:sz w:val="15"/>
        </w:rPr>
        <w:t>LPCC-WB09-PB-Q013 | Application | Moderate | Primary concept: Multidimensional progress monitoring</w:t>
      </w:r>
    </w:p>
    <w:p>
      <w:pPr>
        <w:spacing w:before="0" w:after="40" w:line="245" w:lineRule="auto"/>
      </w:pPr>
      <w:r>
        <w:rPr>
          <w:rFonts w:ascii="Arial" w:hAnsi="Arial" w:eastAsia="Arial"/>
          <w:b/>
          <w:i w:val="0"/>
          <w:color w:val="1F2937"/>
          <w:sz w:val="17"/>
        </w:rPr>
        <w:t>Which progress review is MOST appropriate during ERP?</w:t>
      </w:r>
    </w:p>
    <w:p>
      <w:pPr>
        <w:spacing w:before="0" w:after="16" w:line="240" w:lineRule="auto"/>
        <w:ind w:left="259" w:hanging="259"/>
      </w:pPr>
      <w:r>
        <w:rPr>
          <w:rFonts w:ascii="Arial" w:hAnsi="Arial" w:eastAsia="Arial"/>
          <w:sz w:val="16"/>
        </w:rPr>
        <w:t>A. Continue only if anxiety reaches zero during each exposure.</w:t>
      </w:r>
    </w:p>
    <w:p>
      <w:pPr>
        <w:spacing w:before="0" w:after="16" w:line="240" w:lineRule="auto"/>
        <w:ind w:left="259" w:hanging="259"/>
      </w:pPr>
      <w:r>
        <w:rPr>
          <w:rFonts w:ascii="Arial" w:hAnsi="Arial" w:eastAsia="Arial"/>
          <w:sz w:val="16"/>
        </w:rPr>
        <w:t>B. Use the partner's reassurance frequency as the sole outcome.</w:t>
      </w:r>
    </w:p>
    <w:p>
      <w:pPr>
        <w:spacing w:before="0" w:after="16" w:line="240" w:lineRule="auto"/>
        <w:ind w:left="259" w:hanging="259"/>
      </w:pPr>
      <w:r>
        <w:rPr>
          <w:rFonts w:ascii="Arial" w:hAnsi="Arial" w:eastAsia="Arial"/>
          <w:sz w:val="16"/>
        </w:rPr>
        <w:t>C. Review OCD symptoms, ritual frequency and duration, avoided situations, functional participation, treatment practice, alliance and burden, and Jordan's own goals.</w:t>
      </w:r>
    </w:p>
    <w:p>
      <w:pPr>
        <w:spacing w:before="0" w:after="16" w:line="240" w:lineRule="auto"/>
        <w:ind w:left="259" w:hanging="259"/>
      </w:pPr>
      <w:r>
        <w:rPr>
          <w:rFonts w:ascii="Arial" w:hAnsi="Arial" w:eastAsia="Arial"/>
          <w:sz w:val="16"/>
        </w:rPr>
        <w:t>D. Ignore functional change until the symptom scale decreases by a predetermined amount.</w:t>
      </w:r>
    </w:p>
    <w:tbl>
      <w:tblPr>
        <w:tblW w:type="auto" w:w="0"/>
        <w:jc w:val="center"/>
        <w:tblLayout w:type="fixed"/>
        <w:tblLook w:firstColumn="1" w:firstRow="1" w:lastColumn="0" w:lastRow="0" w:noHBand="0" w:noVBand="1" w:val="04A0"/>
      </w:tblPr>
      <w:tblGrid>
        <w:gridCol w:w="10080"/>
      </w:tblGrid>
      <w:tr>
        <w:tc>
          <w:tcPr>
            <w:tcW w:type="dxa" w:w="10310"/>
            <w:shd w:fill="E8F5F5"/>
            <w:tcMar>
              <w:top w:w="70" w:type="dxa"/>
              <w:start w:w="95" w:type="dxa"/>
              <w:bottom w:w="70" w:type="dxa"/>
              <w:end w:w="95" w:type="dxa"/>
            </w:tcMar>
            <w:tcBorders>
              <w:top w:val="single" w:sz="7" w:color="159C9C"/>
              <w:left w:val="single" w:sz="7" w:color="159C9C"/>
              <w:bottom w:val="single" w:sz="7" w:color="159C9C"/>
              <w:right w:val="single" w:sz="7" w:color="159C9C"/>
              <w:insideH w:val="single" w:sz="7" w:color="159C9C"/>
              <w:insideV w:val="single" w:sz="7" w:color="159C9C"/>
            </w:tcBorders>
          </w:tcPr>
          <w:p>
            <w:pPr>
              <w:spacing w:before="0" w:after="20" w:line="245" w:lineRule="auto"/>
            </w:pPr>
            <w:r>
              <w:rPr>
                <w:rFonts w:ascii="Arial" w:hAnsi="Arial" w:eastAsia="Arial"/>
                <w:b/>
                <w:color w:val="159C9C"/>
                <w:sz w:val="17"/>
              </w:rPr>
              <w:t>CORRECT ANSWER</w:t>
            </w:r>
          </w:p>
          <w:p>
            <w:pPr>
              <w:spacing w:before="0" w:after="0" w:line="240" w:lineRule="auto"/>
            </w:pPr>
            <w:r>
              <w:rPr>
                <w:rFonts w:ascii="Arial" w:hAnsi="Arial" w:eastAsia="Arial"/>
                <w:color w:val="1F2937"/>
                <w:sz w:val="16"/>
              </w:rPr>
              <w:t>C. Review OCD symptoms, ritual frequency and duration, avoided situations, functional participation, treatment practice, alliance and burden, and Jordan's own goals.</w:t>
            </w:r>
          </w:p>
        </w:tc>
      </w:tr>
    </w:tbl>
    <w:p>
      <w:pPr>
        <w:pStyle w:val="Heading2"/>
        <w:spacing w:before="0" w:after="60" w:line="245" w:lineRule="auto"/>
        <w:keepNext/>
      </w:pPr>
      <w:r>
        <w:rPr>
          <w:rFonts w:ascii="Arial" w:hAnsi="Arial" w:eastAsia="Arial"/>
          <w:b/>
          <w:color w:val="17365D"/>
          <w:sz w:val="21"/>
        </w:rPr>
        <w:t>Why Each Option Is Correct or Incorrect</w:t>
      </w:r>
    </w:p>
    <w:p>
      <w:pPr>
        <w:spacing w:after="20" w:before="0" w:line="240" w:lineRule="auto"/>
      </w:pPr>
      <w:r>
        <w:rPr>
          <w:rFonts w:ascii="Arial" w:hAnsi="Arial" w:eastAsia="Arial"/>
          <w:b/>
          <w:color w:val="17365D"/>
          <w:sz w:val="16"/>
        </w:rPr>
        <w:t xml:space="preserve">A. </w:t>
      </w:r>
      <w:r>
        <w:rPr>
          <w:rFonts w:ascii="Arial" w:hAnsi="Arial" w:eastAsia="Arial"/>
          <w:sz w:val="16"/>
        </w:rPr>
        <w:t>Incorrect. Zero anxiety is not required for meaningful learning or progress.</w:t>
      </w:r>
    </w:p>
    <w:p>
      <w:pPr>
        <w:spacing w:after="20" w:before="0" w:line="240" w:lineRule="auto"/>
      </w:pPr>
      <w:r>
        <w:rPr>
          <w:rFonts w:ascii="Arial" w:hAnsi="Arial" w:eastAsia="Arial"/>
          <w:b/>
          <w:color w:val="17365D"/>
          <w:sz w:val="16"/>
        </w:rPr>
        <w:t xml:space="preserve">B. </w:t>
      </w:r>
      <w:r>
        <w:rPr>
          <w:rFonts w:ascii="Arial" w:hAnsi="Arial" w:eastAsia="Arial"/>
          <w:sz w:val="16"/>
        </w:rPr>
        <w:t>Incorrect. Family accommodation is important but is only one part of the outcome picture.</w:t>
      </w:r>
    </w:p>
    <w:p>
      <w:pPr>
        <w:spacing w:after="20" w:before="0" w:line="240" w:lineRule="auto"/>
      </w:pPr>
      <w:r>
        <w:rPr>
          <w:rFonts w:ascii="Arial" w:hAnsi="Arial" w:eastAsia="Arial"/>
          <w:b/>
          <w:color w:val="17365D"/>
          <w:sz w:val="16"/>
        </w:rPr>
        <w:t xml:space="preserve">C. </w:t>
      </w:r>
      <w:r>
        <w:rPr>
          <w:rFonts w:ascii="Arial" w:hAnsi="Arial" w:eastAsia="Arial"/>
          <w:sz w:val="16"/>
        </w:rPr>
        <w:t>Correct. The review combines symptoms, mechanisms, function, implementation, alliance, and client-defined outcomes.</w:t>
      </w:r>
    </w:p>
    <w:p>
      <w:pPr>
        <w:spacing w:after="20" w:before="0" w:line="240" w:lineRule="auto"/>
      </w:pPr>
      <w:r>
        <w:rPr>
          <w:rFonts w:ascii="Arial" w:hAnsi="Arial" w:eastAsia="Arial"/>
          <w:b/>
          <w:color w:val="17365D"/>
          <w:sz w:val="16"/>
        </w:rPr>
        <w:t xml:space="preserve">D. </w:t>
      </w:r>
      <w:r>
        <w:rPr>
          <w:rFonts w:ascii="Arial" w:hAnsi="Arial" w:eastAsia="Arial"/>
          <w:sz w:val="16"/>
        </w:rPr>
        <w:t>Incorrect. Functional gains can be clinically meaningful even when scale change is slower.</w:t>
      </w:r>
    </w:p>
    <w:tbl>
      <w:tblPr>
        <w:tblW w:type="auto" w:w="0"/>
        <w:jc w:val="center"/>
        <w:tblLayout w:type="fixed"/>
        <w:tblLook w:firstColumn="1" w:firstRow="1" w:lastColumn="0" w:lastRow="0" w:noHBand="0" w:noVBand="1" w:val="04A0"/>
      </w:tblPr>
      <w:tblGrid>
        <w:gridCol w:w="10080"/>
      </w:tblGrid>
      <w:tr>
        <w:tc>
          <w:tcPr>
            <w:tcW w:type="dxa" w:w="10310"/>
            <w:shd w:fill="EAF1F8"/>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CTA EXAM STRATEGY</w:t>
            </w:r>
          </w:p>
          <w:p>
            <w:pPr>
              <w:spacing w:before="0" w:after="0" w:line="240" w:lineRule="auto"/>
            </w:pPr>
            <w:r>
              <w:rPr>
                <w:rFonts w:ascii="Arial" w:hAnsi="Arial" w:eastAsia="Arial"/>
                <w:color w:val="1F2937"/>
                <w:sz w:val="16"/>
              </w:rPr>
              <w:t>Prefer monitoring plans that combine symptom, process, function, and client feedback. Avoid single-indicator rules.</w:t>
            </w:r>
          </w:p>
        </w:tc>
      </w:tr>
    </w:tbl>
    <w:tbl>
      <w:tblPr>
        <w:tblW w:type="auto" w:w="0"/>
        <w:jc w:val="center"/>
        <w:tblLayout w:type="fixed"/>
        <w:tblLook w:firstColumn="1" w:firstRow="1" w:lastColumn="0" w:lastRow="0" w:noHBand="0" w:noVBand="1" w:val="04A0"/>
      </w:tblPr>
      <w:tblGrid>
        <w:gridCol w:w="10080"/>
      </w:tblGrid>
      <w:tr>
        <w:tc>
          <w:tcPr>
            <w:tcW w:type="dxa" w:w="10310"/>
            <w:shd w:fill="F3F4F6"/>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LIKELY ERROR CODE</w:t>
            </w:r>
          </w:p>
          <w:p>
            <w:pPr>
              <w:spacing w:before="0" w:after="0" w:line="240" w:lineRule="auto"/>
            </w:pPr>
            <w:r>
              <w:rPr>
                <w:rFonts w:ascii="Arial" w:hAnsi="Arial" w:eastAsia="Arial"/>
                <w:color w:val="1F2937"/>
                <w:sz w:val="15"/>
              </w:rPr>
              <w:t>O - Outcome-monitoring gap. Progress is broader than how calm the client feels during one exercise.</w:t>
            </w:r>
          </w:p>
        </w:tc>
      </w:tr>
    </w:tbl>
    <w:p>
      <w:r>
        <w:br w:type="page"/>
      </w:r>
    </w:p>
    <w:p>
      <w:pPr>
        <w:pStyle w:val="Heading2"/>
        <w:spacing w:before="0" w:after="60" w:line="245" w:lineRule="auto"/>
        <w:keepNext/>
      </w:pPr>
      <w:r>
        <w:rPr>
          <w:rFonts w:ascii="Arial" w:hAnsi="Arial" w:eastAsia="Arial"/>
          <w:b/>
          <w:color w:val="17365D"/>
          <w:sz w:val="21"/>
        </w:rPr>
        <w:t>Question 14 (LPCC-WB09-PB-Q014)</w:t>
      </w:r>
    </w:p>
    <w:p>
      <w:pPr>
        <w:spacing w:before="0" w:after="40" w:line="245" w:lineRule="auto"/>
      </w:pPr>
      <w:r>
        <w:rPr>
          <w:rFonts w:ascii="Arial" w:hAnsi="Arial" w:eastAsia="Arial"/>
          <w:b/>
          <w:i w:val="0"/>
          <w:color w:val="159C9C"/>
          <w:sz w:val="15"/>
        </w:rPr>
        <w:t>LPCC-WB09-PB-Q014 | Knowledge &amp; Application | Easy | Primary concept: Functional improvement</w:t>
      </w:r>
    </w:p>
    <w:p>
      <w:pPr>
        <w:spacing w:before="0" w:after="40" w:line="245" w:lineRule="auto"/>
      </w:pPr>
      <w:r>
        <w:rPr>
          <w:rFonts w:ascii="Arial" w:hAnsi="Arial" w:eastAsia="Arial"/>
          <w:b/>
          <w:i w:val="0"/>
          <w:color w:val="1F2937"/>
          <w:sz w:val="17"/>
        </w:rPr>
        <w:t>In Part 3, which finding provides the STRONGEST evidence of meaningful improvement despite modest change on the symptom scale?</w:t>
      </w:r>
    </w:p>
    <w:p>
      <w:pPr>
        <w:spacing w:before="0" w:after="16" w:line="240" w:lineRule="auto"/>
        <w:ind w:left="259" w:hanging="259"/>
      </w:pPr>
      <w:r>
        <w:rPr>
          <w:rFonts w:ascii="Arial" w:hAnsi="Arial" w:eastAsia="Arial"/>
          <w:sz w:val="16"/>
        </w:rPr>
        <w:t>A. Jordan still experiences contamination thoughts.</w:t>
      </w:r>
    </w:p>
    <w:p>
      <w:pPr>
        <w:spacing w:before="0" w:after="16" w:line="240" w:lineRule="auto"/>
        <w:ind w:left="259" w:hanging="259"/>
      </w:pPr>
      <w:r>
        <w:rPr>
          <w:rFonts w:ascii="Arial" w:hAnsi="Arial" w:eastAsia="Arial"/>
          <w:sz w:val="16"/>
        </w:rPr>
        <w:t>B. Washing and shower duration decreased, public transit resumed twice weekly, and work attendance improved.</w:t>
      </w:r>
    </w:p>
    <w:p>
      <w:pPr>
        <w:spacing w:before="0" w:after="16" w:line="240" w:lineRule="auto"/>
        <w:ind w:left="259" w:hanging="259"/>
      </w:pPr>
      <w:r>
        <w:rPr>
          <w:rFonts w:ascii="Arial" w:hAnsi="Arial" w:eastAsia="Arial"/>
          <w:sz w:val="16"/>
        </w:rPr>
        <w:t>C. Jordan asked to change the homework format.</w:t>
      </w:r>
    </w:p>
    <w:p>
      <w:pPr>
        <w:spacing w:before="0" w:after="16" w:line="240" w:lineRule="auto"/>
        <w:ind w:left="259" w:hanging="259"/>
      </w:pPr>
      <w:r>
        <w:rPr>
          <w:rFonts w:ascii="Arial" w:hAnsi="Arial" w:eastAsia="Arial"/>
          <w:sz w:val="16"/>
        </w:rPr>
        <w:t>D. The partner sometimes continues to provide reassurance.</w:t>
      </w:r>
    </w:p>
    <w:tbl>
      <w:tblPr>
        <w:tblW w:type="auto" w:w="0"/>
        <w:jc w:val="center"/>
        <w:tblLayout w:type="fixed"/>
        <w:tblLook w:firstColumn="1" w:firstRow="1" w:lastColumn="0" w:lastRow="0" w:noHBand="0" w:noVBand="1" w:val="04A0"/>
      </w:tblPr>
      <w:tblGrid>
        <w:gridCol w:w="10080"/>
      </w:tblGrid>
      <w:tr>
        <w:tc>
          <w:tcPr>
            <w:tcW w:type="dxa" w:w="10310"/>
            <w:shd w:fill="E8F5F5"/>
            <w:tcMar>
              <w:top w:w="70" w:type="dxa"/>
              <w:start w:w="95" w:type="dxa"/>
              <w:bottom w:w="70" w:type="dxa"/>
              <w:end w:w="95" w:type="dxa"/>
            </w:tcMar>
            <w:tcBorders>
              <w:top w:val="single" w:sz="7" w:color="159C9C"/>
              <w:left w:val="single" w:sz="7" w:color="159C9C"/>
              <w:bottom w:val="single" w:sz="7" w:color="159C9C"/>
              <w:right w:val="single" w:sz="7" w:color="159C9C"/>
              <w:insideH w:val="single" w:sz="7" w:color="159C9C"/>
              <w:insideV w:val="single" w:sz="7" w:color="159C9C"/>
            </w:tcBorders>
          </w:tcPr>
          <w:p>
            <w:pPr>
              <w:spacing w:before="0" w:after="20" w:line="245" w:lineRule="auto"/>
            </w:pPr>
            <w:r>
              <w:rPr>
                <w:rFonts w:ascii="Arial" w:hAnsi="Arial" w:eastAsia="Arial"/>
                <w:b/>
                <w:color w:val="159C9C"/>
                <w:sz w:val="17"/>
              </w:rPr>
              <w:t>CORRECT ANSWER</w:t>
            </w:r>
          </w:p>
          <w:p>
            <w:pPr>
              <w:spacing w:before="0" w:after="0" w:line="240" w:lineRule="auto"/>
            </w:pPr>
            <w:r>
              <w:rPr>
                <w:rFonts w:ascii="Arial" w:hAnsi="Arial" w:eastAsia="Arial"/>
                <w:color w:val="1F2937"/>
                <w:sz w:val="16"/>
              </w:rPr>
              <w:t>B. Washing and shower duration decreased, public transit resumed twice weekly, and work attendance improved.</w:t>
            </w:r>
          </w:p>
        </w:tc>
      </w:tr>
    </w:tbl>
    <w:p>
      <w:pPr>
        <w:pStyle w:val="Heading2"/>
        <w:spacing w:before="0" w:after="60" w:line="245" w:lineRule="auto"/>
        <w:keepNext/>
      </w:pPr>
      <w:r>
        <w:rPr>
          <w:rFonts w:ascii="Arial" w:hAnsi="Arial" w:eastAsia="Arial"/>
          <w:b/>
          <w:color w:val="17365D"/>
          <w:sz w:val="21"/>
        </w:rPr>
        <w:t>Why Each Option Is Correct or Incorrect</w:t>
      </w:r>
    </w:p>
    <w:p>
      <w:pPr>
        <w:spacing w:after="20" w:before="0" w:line="240" w:lineRule="auto"/>
      </w:pPr>
      <w:r>
        <w:rPr>
          <w:rFonts w:ascii="Arial" w:hAnsi="Arial" w:eastAsia="Arial"/>
          <w:b/>
          <w:color w:val="17365D"/>
          <w:sz w:val="16"/>
        </w:rPr>
        <w:t xml:space="preserve">A. </w:t>
      </w:r>
      <w:r>
        <w:rPr>
          <w:rFonts w:ascii="Arial" w:hAnsi="Arial" w:eastAsia="Arial"/>
          <w:sz w:val="16"/>
        </w:rPr>
        <w:t>Incorrect. Persistent thoughts do not by themselves indicate improvement or deterioration.</w:t>
      </w:r>
    </w:p>
    <w:p>
      <w:pPr>
        <w:spacing w:after="20" w:before="0" w:line="240" w:lineRule="auto"/>
      </w:pPr>
      <w:r>
        <w:rPr>
          <w:rFonts w:ascii="Arial" w:hAnsi="Arial" w:eastAsia="Arial"/>
          <w:b/>
          <w:color w:val="17365D"/>
          <w:sz w:val="16"/>
        </w:rPr>
        <w:t xml:space="preserve">B. </w:t>
      </w:r>
      <w:r>
        <w:rPr>
          <w:rFonts w:ascii="Arial" w:hAnsi="Arial" w:eastAsia="Arial"/>
          <w:sz w:val="16"/>
        </w:rPr>
        <w:t>Correct. These are measurable behavioral and functional gains directly linked to the treatment targets.</w:t>
      </w:r>
    </w:p>
    <w:p>
      <w:pPr>
        <w:spacing w:after="20" w:before="0" w:line="240" w:lineRule="auto"/>
      </w:pPr>
      <w:r>
        <w:rPr>
          <w:rFonts w:ascii="Arial" w:hAnsi="Arial" w:eastAsia="Arial"/>
          <w:b/>
          <w:color w:val="17365D"/>
          <w:sz w:val="16"/>
        </w:rPr>
        <w:t xml:space="preserve">C. </w:t>
      </w:r>
      <w:r>
        <w:rPr>
          <w:rFonts w:ascii="Arial" w:hAnsi="Arial" w:eastAsia="Arial"/>
          <w:sz w:val="16"/>
        </w:rPr>
        <w:t>Incorrect. The request identifies a fit issue and opportunity for adaptation, not the strongest evidence of outcome.</w:t>
      </w:r>
    </w:p>
    <w:p>
      <w:pPr>
        <w:spacing w:after="20" w:before="0" w:line="240" w:lineRule="auto"/>
      </w:pPr>
      <w:r>
        <w:rPr>
          <w:rFonts w:ascii="Arial" w:hAnsi="Arial" w:eastAsia="Arial"/>
          <w:b/>
          <w:color w:val="17365D"/>
          <w:sz w:val="16"/>
        </w:rPr>
        <w:t xml:space="preserve">D. </w:t>
      </w:r>
      <w:r>
        <w:rPr>
          <w:rFonts w:ascii="Arial" w:hAnsi="Arial" w:eastAsia="Arial"/>
          <w:sz w:val="16"/>
        </w:rPr>
        <w:t>Incorrect. Continued accommodation is a barrier rather than evidence of improvement.</w:t>
      </w:r>
    </w:p>
    <w:tbl>
      <w:tblPr>
        <w:tblW w:type="auto" w:w="0"/>
        <w:jc w:val="center"/>
        <w:tblLayout w:type="fixed"/>
        <w:tblLook w:firstColumn="1" w:firstRow="1" w:lastColumn="0" w:lastRow="0" w:noHBand="0" w:noVBand="1" w:val="04A0"/>
      </w:tblPr>
      <w:tblGrid>
        <w:gridCol w:w="10080"/>
      </w:tblGrid>
      <w:tr>
        <w:tc>
          <w:tcPr>
            <w:tcW w:type="dxa" w:w="10310"/>
            <w:shd w:fill="EAF1F8"/>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CTA EXAM STRATEGY</w:t>
            </w:r>
          </w:p>
          <w:p>
            <w:pPr>
              <w:spacing w:before="0" w:after="0" w:line="240" w:lineRule="auto"/>
            </w:pPr>
            <w:r>
              <w:rPr>
                <w:rFonts w:ascii="Arial" w:hAnsi="Arial" w:eastAsia="Arial"/>
                <w:color w:val="1F2937"/>
                <w:sz w:val="16"/>
              </w:rPr>
              <w:t>When scores and function diverge, do not ignore either. Identify the clearest objective changes in the target behavior and daily life.</w:t>
            </w:r>
          </w:p>
        </w:tc>
      </w:tr>
    </w:tbl>
    <w:tbl>
      <w:tblPr>
        <w:tblW w:type="auto" w:w="0"/>
        <w:jc w:val="center"/>
        <w:tblLayout w:type="fixed"/>
        <w:tblLook w:firstColumn="1" w:firstRow="1" w:lastColumn="0" w:lastRow="0" w:noHBand="0" w:noVBand="1" w:val="04A0"/>
      </w:tblPr>
      <w:tblGrid>
        <w:gridCol w:w="10080"/>
      </w:tblGrid>
      <w:tr>
        <w:tc>
          <w:tcPr>
            <w:tcW w:type="dxa" w:w="10310"/>
            <w:shd w:fill="F3F4F6"/>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LIKELY ERROR CODE</w:t>
            </w:r>
          </w:p>
          <w:p>
            <w:pPr>
              <w:spacing w:before="0" w:after="0" w:line="240" w:lineRule="auto"/>
            </w:pPr>
            <w:r>
              <w:rPr>
                <w:rFonts w:ascii="Arial" w:hAnsi="Arial" w:eastAsia="Arial"/>
                <w:color w:val="1F2937"/>
                <w:sz w:val="15"/>
              </w:rPr>
              <w:t>O - Outcome-monitoring gap. Function can improve before symptoms disappear.</w:t>
            </w:r>
          </w:p>
        </w:tc>
      </w:tr>
    </w:tbl>
    <w:p>
      <w:r>
        <w:br w:type="page"/>
      </w:r>
    </w:p>
    <w:p>
      <w:pPr>
        <w:pStyle w:val="Heading2"/>
        <w:spacing w:before="0" w:after="60" w:line="245" w:lineRule="auto"/>
        <w:keepNext/>
      </w:pPr>
      <w:r>
        <w:rPr>
          <w:rFonts w:ascii="Arial" w:hAnsi="Arial" w:eastAsia="Arial"/>
          <w:b/>
          <w:color w:val="17365D"/>
          <w:sz w:val="21"/>
        </w:rPr>
        <w:t>Question 15 (LPCC-WB09-PB-Q015)</w:t>
      </w:r>
    </w:p>
    <w:p>
      <w:pPr>
        <w:spacing w:before="0" w:after="40" w:line="245" w:lineRule="auto"/>
      </w:pPr>
      <w:r>
        <w:rPr>
          <w:rFonts w:ascii="Arial" w:hAnsi="Arial" w:eastAsia="Arial"/>
          <w:b/>
          <w:i w:val="0"/>
          <w:color w:val="159C9C"/>
          <w:sz w:val="15"/>
        </w:rPr>
        <w:t>LPCC-WB09-PB-Q015 | Application | Moderate | Primary concept: Adaptation with active-ingredient preservation</w:t>
      </w:r>
    </w:p>
    <w:p>
      <w:pPr>
        <w:spacing w:before="0" w:after="40" w:line="245" w:lineRule="auto"/>
      </w:pPr>
      <w:r>
        <w:rPr>
          <w:rFonts w:ascii="Arial" w:hAnsi="Arial" w:eastAsia="Arial"/>
          <w:b/>
          <w:i w:val="0"/>
          <w:color w:val="1F2937"/>
          <w:sz w:val="17"/>
        </w:rPr>
        <w:t>Jordan says written homework feels shaming and is rarely completed. Which adaptation is BEST?</w:t>
      </w:r>
    </w:p>
    <w:p>
      <w:pPr>
        <w:spacing w:before="0" w:after="16" w:line="240" w:lineRule="auto"/>
        <w:ind w:left="259" w:hanging="259"/>
      </w:pPr>
      <w:r>
        <w:rPr>
          <w:rFonts w:ascii="Arial" w:hAnsi="Arial" w:eastAsia="Arial"/>
          <w:sz w:val="16"/>
        </w:rPr>
        <w:t>A. Use shorter audio prompts, more in-session practice, and a feasible schedule while preserving repeated exposure and response prevention; with consent, help the partner reduce reassurance accommodation.</w:t>
      </w:r>
    </w:p>
    <w:p>
      <w:pPr>
        <w:spacing w:before="0" w:after="16" w:line="240" w:lineRule="auto"/>
        <w:ind w:left="259" w:hanging="259"/>
      </w:pPr>
      <w:r>
        <w:rPr>
          <w:rFonts w:ascii="Arial" w:hAnsi="Arial" w:eastAsia="Arial"/>
          <w:sz w:val="16"/>
        </w:rPr>
        <w:t>B. Eliminate exposure and response prevention and substitute general supportive counseling only.</w:t>
      </w:r>
    </w:p>
    <w:p>
      <w:pPr>
        <w:spacing w:before="0" w:after="16" w:line="240" w:lineRule="auto"/>
        <w:ind w:left="259" w:hanging="259"/>
      </w:pPr>
      <w:r>
        <w:rPr>
          <w:rFonts w:ascii="Arial" w:hAnsi="Arial" w:eastAsia="Arial"/>
          <w:sz w:val="16"/>
        </w:rPr>
        <w:t>C. Keep the written format unchanged because any adaptation violates fidelity.</w:t>
      </w:r>
    </w:p>
    <w:p>
      <w:pPr>
        <w:spacing w:before="0" w:after="16" w:line="240" w:lineRule="auto"/>
        <w:ind w:left="259" w:hanging="259"/>
      </w:pPr>
      <w:r>
        <w:rPr>
          <w:rFonts w:ascii="Arial" w:hAnsi="Arial" w:eastAsia="Arial"/>
          <w:sz w:val="16"/>
        </w:rPr>
        <w:t>D. Ask the partner to monitor and grade Jordan's compliance every day.</w:t>
      </w:r>
    </w:p>
    <w:tbl>
      <w:tblPr>
        <w:tblW w:type="auto" w:w="0"/>
        <w:jc w:val="center"/>
        <w:tblLayout w:type="fixed"/>
        <w:tblLook w:firstColumn="1" w:firstRow="1" w:lastColumn="0" w:lastRow="0" w:noHBand="0" w:noVBand="1" w:val="04A0"/>
      </w:tblPr>
      <w:tblGrid>
        <w:gridCol w:w="10080"/>
      </w:tblGrid>
      <w:tr>
        <w:tc>
          <w:tcPr>
            <w:tcW w:type="dxa" w:w="10310"/>
            <w:shd w:fill="E8F5F5"/>
            <w:tcMar>
              <w:top w:w="70" w:type="dxa"/>
              <w:start w:w="95" w:type="dxa"/>
              <w:bottom w:w="70" w:type="dxa"/>
              <w:end w:w="95" w:type="dxa"/>
            </w:tcMar>
            <w:tcBorders>
              <w:top w:val="single" w:sz="7" w:color="159C9C"/>
              <w:left w:val="single" w:sz="7" w:color="159C9C"/>
              <w:bottom w:val="single" w:sz="7" w:color="159C9C"/>
              <w:right w:val="single" w:sz="7" w:color="159C9C"/>
              <w:insideH w:val="single" w:sz="7" w:color="159C9C"/>
              <w:insideV w:val="single" w:sz="7" w:color="159C9C"/>
            </w:tcBorders>
          </w:tcPr>
          <w:p>
            <w:pPr>
              <w:spacing w:before="0" w:after="20" w:line="245" w:lineRule="auto"/>
            </w:pPr>
            <w:r>
              <w:rPr>
                <w:rFonts w:ascii="Arial" w:hAnsi="Arial" w:eastAsia="Arial"/>
                <w:b/>
                <w:color w:val="159C9C"/>
                <w:sz w:val="17"/>
              </w:rPr>
              <w:t>CORRECT ANSWER</w:t>
            </w:r>
          </w:p>
          <w:p>
            <w:pPr>
              <w:spacing w:before="0" w:after="0" w:line="240" w:lineRule="auto"/>
            </w:pPr>
            <w:r>
              <w:rPr>
                <w:rFonts w:ascii="Arial" w:hAnsi="Arial" w:eastAsia="Arial"/>
                <w:color w:val="1F2937"/>
                <w:sz w:val="16"/>
              </w:rPr>
              <w:t>A. Use shorter audio prompts, more in-session practice, and a feasible schedule while preserving repeated exposure and response prevention; with consent, help the partner reduce reassurance accommodation.</w:t>
            </w:r>
          </w:p>
        </w:tc>
      </w:tr>
    </w:tbl>
    <w:p>
      <w:pPr>
        <w:pStyle w:val="Heading2"/>
        <w:spacing w:before="0" w:after="60" w:line="245" w:lineRule="auto"/>
        <w:keepNext/>
      </w:pPr>
      <w:r>
        <w:rPr>
          <w:rFonts w:ascii="Arial" w:hAnsi="Arial" w:eastAsia="Arial"/>
          <w:b/>
          <w:color w:val="17365D"/>
          <w:sz w:val="21"/>
        </w:rPr>
        <w:t>Why Each Option Is Correct or Incorrect</w:t>
      </w:r>
    </w:p>
    <w:p>
      <w:pPr>
        <w:spacing w:after="20" w:before="0" w:line="240" w:lineRule="auto"/>
      </w:pPr>
      <w:r>
        <w:rPr>
          <w:rFonts w:ascii="Arial" w:hAnsi="Arial" w:eastAsia="Arial"/>
          <w:b/>
          <w:color w:val="17365D"/>
          <w:sz w:val="16"/>
        </w:rPr>
        <w:t xml:space="preserve">A. </w:t>
      </w:r>
      <w:r>
        <w:rPr>
          <w:rFonts w:ascii="Arial" w:hAnsi="Arial" w:eastAsia="Arial"/>
          <w:sz w:val="16"/>
        </w:rPr>
        <w:t>Correct. The adaptation reduces burden while preserving the active ingredients and addressing family accommodation collaboratively.</w:t>
      </w:r>
    </w:p>
    <w:p>
      <w:pPr>
        <w:spacing w:after="20" w:before="0" w:line="240" w:lineRule="auto"/>
      </w:pPr>
      <w:r>
        <w:rPr>
          <w:rFonts w:ascii="Arial" w:hAnsi="Arial" w:eastAsia="Arial"/>
          <w:b/>
          <w:color w:val="17365D"/>
          <w:sz w:val="16"/>
        </w:rPr>
        <w:t xml:space="preserve">B. </w:t>
      </w:r>
      <w:r>
        <w:rPr>
          <w:rFonts w:ascii="Arial" w:hAnsi="Arial" w:eastAsia="Arial"/>
          <w:sz w:val="16"/>
        </w:rPr>
        <w:t>Incorrect. Support may be valuable, but replacing the mechanism-focused treatment solely because of format would be premature.</w:t>
      </w:r>
    </w:p>
    <w:p>
      <w:pPr>
        <w:spacing w:after="20" w:before="0" w:line="240" w:lineRule="auto"/>
      </w:pPr>
      <w:r>
        <w:rPr>
          <w:rFonts w:ascii="Arial" w:hAnsi="Arial" w:eastAsia="Arial"/>
          <w:b/>
          <w:color w:val="17365D"/>
          <w:sz w:val="16"/>
        </w:rPr>
        <w:t xml:space="preserve">C. </w:t>
      </w:r>
      <w:r>
        <w:rPr>
          <w:rFonts w:ascii="Arial" w:hAnsi="Arial" w:eastAsia="Arial"/>
          <w:sz w:val="16"/>
        </w:rPr>
        <w:t>Incorrect. Fidelity means preserving the mechanism, not forcing one delivery format despite a known barrier.</w:t>
      </w:r>
    </w:p>
    <w:p>
      <w:pPr>
        <w:spacing w:after="20" w:before="0" w:line="240" w:lineRule="auto"/>
      </w:pPr>
      <w:r>
        <w:rPr>
          <w:rFonts w:ascii="Arial" w:hAnsi="Arial" w:eastAsia="Arial"/>
          <w:b/>
          <w:color w:val="17365D"/>
          <w:sz w:val="16"/>
        </w:rPr>
        <w:t xml:space="preserve">D. </w:t>
      </w:r>
      <w:r>
        <w:rPr>
          <w:rFonts w:ascii="Arial" w:hAnsi="Arial" w:eastAsia="Arial"/>
          <w:sz w:val="16"/>
        </w:rPr>
        <w:t>Incorrect. Surveillance and grading can increase shame, power problems, and accommodation dynamics.</w:t>
      </w:r>
    </w:p>
    <w:tbl>
      <w:tblPr>
        <w:tblW w:type="auto" w:w="0"/>
        <w:jc w:val="center"/>
        <w:tblLayout w:type="fixed"/>
        <w:tblLook w:firstColumn="1" w:firstRow="1" w:lastColumn="0" w:lastRow="0" w:noHBand="0" w:noVBand="1" w:val="04A0"/>
      </w:tblPr>
      <w:tblGrid>
        <w:gridCol w:w="10080"/>
      </w:tblGrid>
      <w:tr>
        <w:tc>
          <w:tcPr>
            <w:tcW w:type="dxa" w:w="10310"/>
            <w:shd w:fill="EAF1F8"/>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CTA EXAM STRATEGY</w:t>
            </w:r>
          </w:p>
          <w:p>
            <w:pPr>
              <w:spacing w:before="0" w:after="0" w:line="240" w:lineRule="auto"/>
            </w:pPr>
            <w:r>
              <w:rPr>
                <w:rFonts w:ascii="Arial" w:hAnsi="Arial" w:eastAsia="Arial"/>
                <w:color w:val="1F2937"/>
                <w:sz w:val="16"/>
              </w:rPr>
              <w:t>The best adaptation changes the route, not the destination. Preserve the active mechanism while reducing unnecessary burden.</w:t>
            </w:r>
          </w:p>
        </w:tc>
      </w:tr>
    </w:tbl>
    <w:tbl>
      <w:tblPr>
        <w:tblW w:type="auto" w:w="0"/>
        <w:jc w:val="center"/>
        <w:tblLayout w:type="fixed"/>
        <w:tblLook w:firstColumn="1" w:firstRow="1" w:lastColumn="0" w:lastRow="0" w:noHBand="0" w:noVBand="1" w:val="04A0"/>
      </w:tblPr>
      <w:tblGrid>
        <w:gridCol w:w="10080"/>
      </w:tblGrid>
      <w:tr>
        <w:tc>
          <w:tcPr>
            <w:tcW w:type="dxa" w:w="10310"/>
            <w:shd w:fill="F3F4F6"/>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LIKELY ERROR CODE</w:t>
            </w:r>
          </w:p>
          <w:p>
            <w:pPr>
              <w:spacing w:before="0" w:after="0" w:line="240" w:lineRule="auto"/>
            </w:pPr>
            <w:r>
              <w:rPr>
                <w:rFonts w:ascii="Arial" w:hAnsi="Arial" w:eastAsia="Arial"/>
                <w:color w:val="1F2937"/>
                <w:sz w:val="15"/>
              </w:rPr>
              <w:t>F - Feasibility and fidelity error. Flexible delivery and treatment fidelity can coexist.</w:t>
            </w:r>
          </w:p>
        </w:tc>
      </w:tr>
    </w:tbl>
    <w:p>
      <w:r>
        <w:br w:type="page"/>
      </w:r>
    </w:p>
    <w:p>
      <w:pPr>
        <w:pStyle w:val="Heading2"/>
        <w:spacing w:before="0" w:after="60" w:line="245" w:lineRule="auto"/>
        <w:keepNext/>
      </w:pPr>
      <w:r>
        <w:rPr>
          <w:rFonts w:ascii="Arial" w:hAnsi="Arial" w:eastAsia="Arial"/>
          <w:b/>
          <w:color w:val="17365D"/>
          <w:sz w:val="21"/>
        </w:rPr>
        <w:t>Question 16 (LPCC-WB09-PB-Q016)</w:t>
      </w:r>
    </w:p>
    <w:p>
      <w:pPr>
        <w:spacing w:before="0" w:after="40" w:line="245" w:lineRule="auto"/>
      </w:pPr>
      <w:r>
        <w:rPr>
          <w:rFonts w:ascii="Arial" w:hAnsi="Arial" w:eastAsia="Arial"/>
          <w:b/>
          <w:i w:val="0"/>
          <w:color w:val="159C9C"/>
          <w:sz w:val="15"/>
        </w:rPr>
        <w:t>LPCC-WB09-PB-Q016 | Integrated Clinical Reasoning | Difficult | Primary concept: PIVOT before intensification</w:t>
      </w:r>
    </w:p>
    <w:p>
      <w:pPr>
        <w:spacing w:before="0" w:after="40" w:line="245" w:lineRule="auto"/>
      </w:pPr>
      <w:r>
        <w:rPr>
          <w:rFonts w:ascii="Arial" w:hAnsi="Arial" w:eastAsia="Arial"/>
          <w:b/>
          <w:i w:val="0"/>
          <w:color w:val="1F2937"/>
          <w:sz w:val="17"/>
        </w:rPr>
        <w:t>Before moving Jordan to the highest-level exposure or declaring ERP unsuccessful, what should the counselor do FIRST?</w:t>
      </w:r>
    </w:p>
    <w:p>
      <w:pPr>
        <w:spacing w:before="0" w:after="16" w:line="240" w:lineRule="auto"/>
        <w:ind w:left="259" w:hanging="259"/>
      </w:pPr>
      <w:r>
        <w:rPr>
          <w:rFonts w:ascii="Arial" w:hAnsi="Arial" w:eastAsia="Arial"/>
          <w:sz w:val="16"/>
        </w:rPr>
        <w:t>A. Assume the remaining symptoms prove a personality disorder.</w:t>
      </w:r>
    </w:p>
    <w:p>
      <w:pPr>
        <w:spacing w:before="0" w:after="16" w:line="240" w:lineRule="auto"/>
        <w:ind w:left="259" w:hanging="259"/>
      </w:pPr>
      <w:r>
        <w:rPr>
          <w:rFonts w:ascii="Arial" w:hAnsi="Arial" w:eastAsia="Arial"/>
          <w:sz w:val="16"/>
        </w:rPr>
        <w:t>B. Increase exposure intensity without discussing burden or preference.</w:t>
      </w:r>
    </w:p>
    <w:p>
      <w:pPr>
        <w:spacing w:before="0" w:after="16" w:line="240" w:lineRule="auto"/>
        <w:ind w:left="259" w:hanging="259"/>
      </w:pPr>
      <w:r>
        <w:rPr>
          <w:rFonts w:ascii="Arial" w:hAnsi="Arial" w:eastAsia="Arial"/>
          <w:sz w:val="16"/>
        </w:rPr>
        <w:t>C. Review the formulation, actual exposure dose and response prevention, partner accommodation, homework burden, cultural and contextual fit, alliance, readiness, and outcome pattern; then revise the plan collaboratively.</w:t>
      </w:r>
    </w:p>
    <w:p>
      <w:pPr>
        <w:spacing w:before="0" w:after="16" w:line="240" w:lineRule="auto"/>
        <w:ind w:left="259" w:hanging="259"/>
      </w:pPr>
      <w:r>
        <w:rPr>
          <w:rFonts w:ascii="Arial" w:hAnsi="Arial" w:eastAsia="Arial"/>
          <w:sz w:val="16"/>
        </w:rPr>
        <w:t>D. Terminate because Jordan requested a different homework format.</w:t>
      </w:r>
    </w:p>
    <w:tbl>
      <w:tblPr>
        <w:tblW w:type="auto" w:w="0"/>
        <w:jc w:val="center"/>
        <w:tblLayout w:type="fixed"/>
        <w:tblLook w:firstColumn="1" w:firstRow="1" w:lastColumn="0" w:lastRow="0" w:noHBand="0" w:noVBand="1" w:val="04A0"/>
      </w:tblPr>
      <w:tblGrid>
        <w:gridCol w:w="10080"/>
      </w:tblGrid>
      <w:tr>
        <w:tc>
          <w:tcPr>
            <w:tcW w:type="dxa" w:w="10310"/>
            <w:shd w:fill="E8F5F5"/>
            <w:tcMar>
              <w:top w:w="70" w:type="dxa"/>
              <w:start w:w="95" w:type="dxa"/>
              <w:bottom w:w="70" w:type="dxa"/>
              <w:end w:w="95" w:type="dxa"/>
            </w:tcMar>
            <w:tcBorders>
              <w:top w:val="single" w:sz="7" w:color="159C9C"/>
              <w:left w:val="single" w:sz="7" w:color="159C9C"/>
              <w:bottom w:val="single" w:sz="7" w:color="159C9C"/>
              <w:right w:val="single" w:sz="7" w:color="159C9C"/>
              <w:insideH w:val="single" w:sz="7" w:color="159C9C"/>
              <w:insideV w:val="single" w:sz="7" w:color="159C9C"/>
            </w:tcBorders>
          </w:tcPr>
          <w:p>
            <w:pPr>
              <w:spacing w:before="0" w:after="20" w:line="245" w:lineRule="auto"/>
            </w:pPr>
            <w:r>
              <w:rPr>
                <w:rFonts w:ascii="Arial" w:hAnsi="Arial" w:eastAsia="Arial"/>
                <w:b/>
                <w:color w:val="159C9C"/>
                <w:sz w:val="17"/>
              </w:rPr>
              <w:t>CORRECT ANSWER</w:t>
            </w:r>
          </w:p>
          <w:p>
            <w:pPr>
              <w:spacing w:before="0" w:after="0" w:line="240" w:lineRule="auto"/>
            </w:pPr>
            <w:r>
              <w:rPr>
                <w:rFonts w:ascii="Arial" w:hAnsi="Arial" w:eastAsia="Arial"/>
                <w:color w:val="1F2937"/>
                <w:sz w:val="16"/>
              </w:rPr>
              <w:t>C. Review the formulation, actual exposure dose and response prevention, partner accommodation, homework burden, cultural and contextual fit, alliance, readiness, and outcome pattern; then revise the plan collaboratively.</w:t>
            </w:r>
          </w:p>
        </w:tc>
      </w:tr>
    </w:tbl>
    <w:p>
      <w:pPr>
        <w:pStyle w:val="Heading2"/>
        <w:spacing w:before="0" w:after="60" w:line="245" w:lineRule="auto"/>
        <w:keepNext/>
      </w:pPr>
      <w:r>
        <w:rPr>
          <w:rFonts w:ascii="Arial" w:hAnsi="Arial" w:eastAsia="Arial"/>
          <w:b/>
          <w:color w:val="17365D"/>
          <w:sz w:val="21"/>
        </w:rPr>
        <w:t>Why Each Option Is Correct or Incorrect</w:t>
      </w:r>
    </w:p>
    <w:p>
      <w:pPr>
        <w:spacing w:after="20" w:before="0" w:line="240" w:lineRule="auto"/>
      </w:pPr>
      <w:r>
        <w:rPr>
          <w:rFonts w:ascii="Arial" w:hAnsi="Arial" w:eastAsia="Arial"/>
          <w:b/>
          <w:color w:val="17365D"/>
          <w:sz w:val="16"/>
        </w:rPr>
        <w:t xml:space="preserve">A. </w:t>
      </w:r>
      <w:r>
        <w:rPr>
          <w:rFonts w:ascii="Arial" w:hAnsi="Arial" w:eastAsia="Arial"/>
          <w:sz w:val="16"/>
        </w:rPr>
        <w:t>Incorrect. Residual symptoms and implementation barriers do not establish a personality disorder.</w:t>
      </w:r>
    </w:p>
    <w:p>
      <w:pPr>
        <w:spacing w:after="20" w:before="0" w:line="240" w:lineRule="auto"/>
      </w:pPr>
      <w:r>
        <w:rPr>
          <w:rFonts w:ascii="Arial" w:hAnsi="Arial" w:eastAsia="Arial"/>
          <w:b/>
          <w:color w:val="17365D"/>
          <w:sz w:val="16"/>
        </w:rPr>
        <w:t xml:space="preserve">B. </w:t>
      </w:r>
      <w:r>
        <w:rPr>
          <w:rFonts w:ascii="Arial" w:hAnsi="Arial" w:eastAsia="Arial"/>
          <w:sz w:val="16"/>
        </w:rPr>
        <w:t>Incorrect. Intensity should not be increased before understanding dosage, fit, safety, and client readiness.</w:t>
      </w:r>
    </w:p>
    <w:p>
      <w:pPr>
        <w:spacing w:after="20" w:before="0" w:line="240" w:lineRule="auto"/>
      </w:pPr>
      <w:r>
        <w:rPr>
          <w:rFonts w:ascii="Arial" w:hAnsi="Arial" w:eastAsia="Arial"/>
          <w:b/>
          <w:color w:val="17365D"/>
          <w:sz w:val="16"/>
        </w:rPr>
        <w:t xml:space="preserve">C. </w:t>
      </w:r>
      <w:r>
        <w:rPr>
          <w:rFonts w:ascii="Arial" w:hAnsi="Arial" w:eastAsia="Arial"/>
          <w:sz w:val="16"/>
        </w:rPr>
        <w:t>Correct. PIVOT calls for a structured review of mechanism, fidelity, feasibility, context, alliance, and outcomes before intensifying or switching.</w:t>
      </w:r>
    </w:p>
    <w:p>
      <w:pPr>
        <w:spacing w:after="20" w:before="0" w:line="240" w:lineRule="auto"/>
      </w:pPr>
      <w:r>
        <w:rPr>
          <w:rFonts w:ascii="Arial" w:hAnsi="Arial" w:eastAsia="Arial"/>
          <w:b/>
          <w:color w:val="17365D"/>
          <w:sz w:val="16"/>
        </w:rPr>
        <w:t xml:space="preserve">D. </w:t>
      </w:r>
      <w:r>
        <w:rPr>
          <w:rFonts w:ascii="Arial" w:hAnsi="Arial" w:eastAsia="Arial"/>
          <w:sz w:val="16"/>
        </w:rPr>
        <w:t>Incorrect. A delivery-format request is an opportunity for adaptation and collaboration, not grounds for termination.</w:t>
      </w:r>
    </w:p>
    <w:tbl>
      <w:tblPr>
        <w:tblW w:type="auto" w:w="0"/>
        <w:jc w:val="center"/>
        <w:tblLayout w:type="fixed"/>
        <w:tblLook w:firstColumn="1" w:firstRow="1" w:lastColumn="0" w:lastRow="0" w:noHBand="0" w:noVBand="1" w:val="04A0"/>
      </w:tblPr>
      <w:tblGrid>
        <w:gridCol w:w="10080"/>
      </w:tblGrid>
      <w:tr>
        <w:tc>
          <w:tcPr>
            <w:tcW w:type="dxa" w:w="10310"/>
            <w:shd w:fill="EAF1F8"/>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CTA EXAM STRATEGY</w:t>
            </w:r>
          </w:p>
          <w:p>
            <w:pPr>
              <w:spacing w:before="0" w:after="0" w:line="240" w:lineRule="auto"/>
            </w:pPr>
            <w:r>
              <w:rPr>
                <w:rFonts w:ascii="Arial" w:hAnsi="Arial" w:eastAsia="Arial"/>
                <w:color w:val="1F2937"/>
                <w:sz w:val="16"/>
              </w:rPr>
              <w:t>For nonresponse or partial response, choose the option that investigates the treatment trial before blaming the client, escalating, or abandoning the mechanism.</w:t>
            </w:r>
          </w:p>
        </w:tc>
      </w:tr>
    </w:tbl>
    <w:tbl>
      <w:tblPr>
        <w:tblW w:type="auto" w:w="0"/>
        <w:jc w:val="center"/>
        <w:tblLayout w:type="fixed"/>
        <w:tblLook w:firstColumn="1" w:firstRow="1" w:lastColumn="0" w:lastRow="0" w:noHBand="0" w:noVBand="1" w:val="04A0"/>
      </w:tblPr>
      <w:tblGrid>
        <w:gridCol w:w="10080"/>
      </w:tblGrid>
      <w:tr>
        <w:tc>
          <w:tcPr>
            <w:tcW w:type="dxa" w:w="10310"/>
            <w:shd w:fill="F3F4F6"/>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LIKELY ERROR CODE</w:t>
            </w:r>
          </w:p>
          <w:p>
            <w:pPr>
              <w:spacing w:before="0" w:after="0" w:line="240" w:lineRule="auto"/>
            </w:pPr>
            <w:r>
              <w:rPr>
                <w:rFonts w:ascii="Arial" w:hAnsi="Arial" w:eastAsia="Arial"/>
                <w:color w:val="1F2937"/>
                <w:sz w:val="15"/>
              </w:rPr>
              <w:t>V - PIVOT failure. A plan should be revised on evidence, not frustration.</w:t>
            </w:r>
          </w:p>
        </w:tc>
      </w:tr>
    </w:tbl>
    <w:p>
      <w:r>
        <w:br w:type="page"/>
      </w:r>
    </w:p>
    <w:p>
      <w:pPr>
        <w:pStyle w:val="Heading2"/>
        <w:spacing w:before="0" w:after="60" w:line="245" w:lineRule="auto"/>
        <w:keepNext/>
      </w:pPr>
      <w:r>
        <w:rPr>
          <w:rFonts w:ascii="Arial" w:hAnsi="Arial" w:eastAsia="Arial"/>
          <w:b/>
          <w:color w:val="17365D"/>
          <w:sz w:val="21"/>
        </w:rPr>
        <w:t>Question 17 (LPCC-WB09-PB-Q017)</w:t>
      </w:r>
    </w:p>
    <w:p>
      <w:pPr>
        <w:spacing w:before="0" w:after="40" w:line="245" w:lineRule="auto"/>
      </w:pPr>
      <w:r>
        <w:rPr>
          <w:rFonts w:ascii="Arial" w:hAnsi="Arial" w:eastAsia="Arial"/>
          <w:b/>
          <w:i w:val="0"/>
          <w:color w:val="159C9C"/>
          <w:sz w:val="15"/>
        </w:rPr>
        <w:t>LPCC-WB09-PB-Q017 | Integrated Clinical Reasoning | Difficult | Primary concept: Consultation, referral, and continuity</w:t>
      </w:r>
    </w:p>
    <w:p>
      <w:pPr>
        <w:spacing w:before="0" w:after="40" w:line="245" w:lineRule="auto"/>
      </w:pPr>
      <w:r>
        <w:rPr>
          <w:rFonts w:ascii="Arial" w:hAnsi="Arial" w:eastAsia="Arial"/>
          <w:b/>
          <w:i w:val="0"/>
          <w:color w:val="1F2937"/>
          <w:sz w:val="17"/>
        </w:rPr>
        <w:t>When would referral to an OCD specialty program be MOST appropriate?</w:t>
      </w:r>
    </w:p>
    <w:p>
      <w:pPr>
        <w:spacing w:before="0" w:after="16" w:line="240" w:lineRule="auto"/>
        <w:ind w:left="259" w:hanging="259"/>
      </w:pPr>
      <w:r>
        <w:rPr>
          <w:rFonts w:ascii="Arial" w:hAnsi="Arial" w:eastAsia="Arial"/>
          <w:sz w:val="16"/>
        </w:rPr>
        <w:t>A. Immediately after the first session because all OCD requires specialty care.</w:t>
      </w:r>
    </w:p>
    <w:p>
      <w:pPr>
        <w:spacing w:before="0" w:after="16" w:line="240" w:lineRule="auto"/>
        <w:ind w:left="259" w:hanging="259"/>
      </w:pPr>
      <w:r>
        <w:rPr>
          <w:rFonts w:ascii="Arial" w:hAnsi="Arial" w:eastAsia="Arial"/>
          <w:sz w:val="16"/>
        </w:rPr>
        <w:t>B. Only after the counselor has continued the same plan indefinitely.</w:t>
      </w:r>
    </w:p>
    <w:p>
      <w:pPr>
        <w:spacing w:before="0" w:after="16" w:line="240" w:lineRule="auto"/>
        <w:ind w:left="259" w:hanging="259"/>
      </w:pPr>
      <w:r>
        <w:rPr>
          <w:rFonts w:ascii="Arial" w:hAnsi="Arial" w:eastAsia="Arial"/>
          <w:sz w:val="16"/>
        </w:rPr>
        <w:t>C. Whenever Jordan experiences anxiety during an exposure.</w:t>
      </w:r>
    </w:p>
    <w:p>
      <w:pPr>
        <w:spacing w:before="0" w:after="16" w:line="240" w:lineRule="auto"/>
        <w:ind w:left="259" w:hanging="259"/>
      </w:pPr>
      <w:r>
        <w:rPr>
          <w:rFonts w:ascii="Arial" w:hAnsi="Arial" w:eastAsia="Arial"/>
          <w:sz w:val="16"/>
        </w:rPr>
        <w:t>D. When severe impairment persists after an adequate, feasible, competently delivered and collaboratively adapted ERP trial; complexity exceeds the counselor or setting; Jordan prefers specialty care; or a higher treatment intensity is indicated, with a coordinated handoff and continuity plan.</w:t>
      </w:r>
    </w:p>
    <w:tbl>
      <w:tblPr>
        <w:tblW w:type="auto" w:w="0"/>
        <w:jc w:val="center"/>
        <w:tblLayout w:type="fixed"/>
        <w:tblLook w:firstColumn="1" w:firstRow="1" w:lastColumn="0" w:lastRow="0" w:noHBand="0" w:noVBand="1" w:val="04A0"/>
      </w:tblPr>
      <w:tblGrid>
        <w:gridCol w:w="10080"/>
      </w:tblGrid>
      <w:tr>
        <w:tc>
          <w:tcPr>
            <w:tcW w:type="dxa" w:w="10310"/>
            <w:shd w:fill="E8F5F5"/>
            <w:tcMar>
              <w:top w:w="70" w:type="dxa"/>
              <w:start w:w="95" w:type="dxa"/>
              <w:bottom w:w="70" w:type="dxa"/>
              <w:end w:w="95" w:type="dxa"/>
            </w:tcMar>
            <w:tcBorders>
              <w:top w:val="single" w:sz="7" w:color="159C9C"/>
              <w:left w:val="single" w:sz="7" w:color="159C9C"/>
              <w:bottom w:val="single" w:sz="7" w:color="159C9C"/>
              <w:right w:val="single" w:sz="7" w:color="159C9C"/>
              <w:insideH w:val="single" w:sz="7" w:color="159C9C"/>
              <w:insideV w:val="single" w:sz="7" w:color="159C9C"/>
            </w:tcBorders>
          </w:tcPr>
          <w:p>
            <w:pPr>
              <w:spacing w:before="0" w:after="20" w:line="245" w:lineRule="auto"/>
            </w:pPr>
            <w:r>
              <w:rPr>
                <w:rFonts w:ascii="Arial" w:hAnsi="Arial" w:eastAsia="Arial"/>
                <w:b/>
                <w:color w:val="159C9C"/>
                <w:sz w:val="17"/>
              </w:rPr>
              <w:t>CORRECT ANSWER</w:t>
            </w:r>
          </w:p>
          <w:p>
            <w:pPr>
              <w:spacing w:before="0" w:after="0" w:line="240" w:lineRule="auto"/>
            </w:pPr>
            <w:r>
              <w:rPr>
                <w:rFonts w:ascii="Arial" w:hAnsi="Arial" w:eastAsia="Arial"/>
                <w:color w:val="1F2937"/>
                <w:sz w:val="16"/>
              </w:rPr>
              <w:t>D. When severe impairment persists after an adequate, feasible, competently delivered and collaboratively adapted ERP trial; complexity exceeds the counselor or setting; Jordan prefers specialty care; or a higher treatment intensity is indicated, with a coordinated handoff and continuity plan.</w:t>
            </w:r>
          </w:p>
        </w:tc>
      </w:tr>
    </w:tbl>
    <w:p>
      <w:pPr>
        <w:pStyle w:val="Heading2"/>
        <w:spacing w:before="0" w:after="60" w:line="245" w:lineRule="auto"/>
        <w:keepNext/>
      </w:pPr>
      <w:r>
        <w:rPr>
          <w:rFonts w:ascii="Arial" w:hAnsi="Arial" w:eastAsia="Arial"/>
          <w:b/>
          <w:color w:val="17365D"/>
          <w:sz w:val="21"/>
        </w:rPr>
        <w:t>Why Each Option Is Correct or Incorrect</w:t>
      </w:r>
    </w:p>
    <w:p>
      <w:pPr>
        <w:spacing w:after="20" w:before="0" w:line="240" w:lineRule="auto"/>
      </w:pPr>
      <w:r>
        <w:rPr>
          <w:rFonts w:ascii="Arial" w:hAnsi="Arial" w:eastAsia="Arial"/>
          <w:b/>
          <w:color w:val="17365D"/>
          <w:sz w:val="16"/>
        </w:rPr>
        <w:t xml:space="preserve">A. </w:t>
      </w:r>
      <w:r>
        <w:rPr>
          <w:rFonts w:ascii="Arial" w:hAnsi="Arial" w:eastAsia="Arial"/>
          <w:sz w:val="16"/>
        </w:rPr>
        <w:t>Incorrect. A counselor competent in OCD treatment may provide care when the case and setting are appropriate; automatic referral is not required.</w:t>
      </w:r>
    </w:p>
    <w:p>
      <w:pPr>
        <w:spacing w:after="20" w:before="0" w:line="240" w:lineRule="auto"/>
      </w:pPr>
      <w:r>
        <w:rPr>
          <w:rFonts w:ascii="Arial" w:hAnsi="Arial" w:eastAsia="Arial"/>
          <w:b/>
          <w:color w:val="17365D"/>
          <w:sz w:val="16"/>
        </w:rPr>
        <w:t xml:space="preserve">B. </w:t>
      </w:r>
      <w:r>
        <w:rPr>
          <w:rFonts w:ascii="Arial" w:hAnsi="Arial" w:eastAsia="Arial"/>
          <w:sz w:val="16"/>
        </w:rPr>
        <w:t>Incorrect. Indefinite repetition of a nonresponsive plan delays appropriate care.</w:t>
      </w:r>
    </w:p>
    <w:p>
      <w:pPr>
        <w:spacing w:after="20" w:before="0" w:line="240" w:lineRule="auto"/>
      </w:pPr>
      <w:r>
        <w:rPr>
          <w:rFonts w:ascii="Arial" w:hAnsi="Arial" w:eastAsia="Arial"/>
          <w:b/>
          <w:color w:val="17365D"/>
          <w:sz w:val="16"/>
        </w:rPr>
        <w:t xml:space="preserve">C. </w:t>
      </w:r>
      <w:r>
        <w:rPr>
          <w:rFonts w:ascii="Arial" w:hAnsi="Arial" w:eastAsia="Arial"/>
          <w:sz w:val="16"/>
        </w:rPr>
        <w:t>Incorrect. Anxiety is expected in exposure and does not alone indicate the need for specialty referral.</w:t>
      </w:r>
    </w:p>
    <w:p>
      <w:pPr>
        <w:spacing w:after="20" w:before="0" w:line="240" w:lineRule="auto"/>
      </w:pPr>
      <w:r>
        <w:rPr>
          <w:rFonts w:ascii="Arial" w:hAnsi="Arial" w:eastAsia="Arial"/>
          <w:b/>
          <w:color w:val="17365D"/>
          <w:sz w:val="16"/>
        </w:rPr>
        <w:t xml:space="preserve">D. </w:t>
      </w:r>
      <w:r>
        <w:rPr>
          <w:rFonts w:ascii="Arial" w:hAnsi="Arial" w:eastAsia="Arial"/>
          <w:sz w:val="16"/>
        </w:rPr>
        <w:t>Correct. Referral is indicated by competence, complexity, treatment adequacy, severity, client preference, and level-of-care needs, with continuity rather than abandonment.</w:t>
      </w:r>
    </w:p>
    <w:tbl>
      <w:tblPr>
        <w:tblW w:type="auto" w:w="0"/>
        <w:jc w:val="center"/>
        <w:tblLayout w:type="fixed"/>
        <w:tblLook w:firstColumn="1" w:firstRow="1" w:lastColumn="0" w:lastRow="0" w:noHBand="0" w:noVBand="1" w:val="04A0"/>
      </w:tblPr>
      <w:tblGrid>
        <w:gridCol w:w="10080"/>
      </w:tblGrid>
      <w:tr>
        <w:tc>
          <w:tcPr>
            <w:tcW w:type="dxa" w:w="10310"/>
            <w:shd w:fill="EAF1F8"/>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CTA EXAM STRATEGY</w:t>
            </w:r>
          </w:p>
          <w:p>
            <w:pPr>
              <w:spacing w:before="0" w:after="0" w:line="240" w:lineRule="auto"/>
            </w:pPr>
            <w:r>
              <w:rPr>
                <w:rFonts w:ascii="Arial" w:hAnsi="Arial" w:eastAsia="Arial"/>
                <w:color w:val="1F2937"/>
                <w:sz w:val="16"/>
              </w:rPr>
              <w:t>Referral answers should identify a defensible threshold and a coordinated transition. Avoid automatic referral, endless treatment, or referral simply because the active intervention creates expected discomfort.</w:t>
            </w:r>
          </w:p>
        </w:tc>
      </w:tr>
    </w:tbl>
    <w:tbl>
      <w:tblPr>
        <w:tblW w:type="auto" w:w="0"/>
        <w:jc w:val="center"/>
        <w:tblLayout w:type="fixed"/>
        <w:tblLook w:firstColumn="1" w:firstRow="1" w:lastColumn="0" w:lastRow="0" w:noHBand="0" w:noVBand="1" w:val="04A0"/>
      </w:tblPr>
      <w:tblGrid>
        <w:gridCol w:w="10080"/>
      </w:tblGrid>
      <w:tr>
        <w:tc>
          <w:tcPr>
            <w:tcW w:type="dxa" w:w="10310"/>
            <w:shd w:fill="F3F4F6"/>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LIKELY ERROR CODE</w:t>
            </w:r>
          </w:p>
          <w:p>
            <w:pPr>
              <w:spacing w:before="0" w:after="0" w:line="240" w:lineRule="auto"/>
            </w:pPr>
            <w:r>
              <w:rPr>
                <w:rFonts w:ascii="Arial" w:hAnsi="Arial" w:eastAsia="Arial"/>
                <w:color w:val="1F2937"/>
                <w:sz w:val="15"/>
              </w:rPr>
              <w:t>R - Referral and competence error. Appropriate referral is evidence-informed care, not treatment failure.</w:t>
            </w:r>
          </w:p>
        </w:tc>
      </w:tr>
    </w:tbl>
    <w:p>
      <w:r>
        <w:br w:type="page"/>
      </w:r>
    </w:p>
    <w:p>
      <w:pPr>
        <w:pStyle w:val="Heading1"/>
        <w:spacing w:before="0" w:after="60" w:line="245" w:lineRule="auto"/>
        <w:keepNext/>
      </w:pPr>
      <w:r>
        <w:rPr>
          <w:rFonts w:ascii="Arial" w:hAnsi="Arial" w:eastAsia="Arial"/>
          <w:b/>
          <w:color w:val="159C9C"/>
          <w:sz w:val="28"/>
        </w:rPr>
        <w:t>Scoring and Error Analysis</w:t>
      </w:r>
    </w:p>
    <w:tbl>
      <w:tblPr>
        <w:tblW w:type="auto" w:w="0"/>
        <w:jc w:val="center"/>
        <w:tblLayout w:type="fixed"/>
        <w:tblLook w:firstColumn="1" w:firstRow="1" w:lastColumn="0" w:lastRow="0" w:noHBand="0" w:noVBand="1" w:val="04A0"/>
      </w:tblPr>
      <w:tblGrid>
        <w:gridCol w:w="5155"/>
        <w:gridCol w:w="5155"/>
      </w:tblGrid>
      <w:tr>
        <w:trPr>
          <w:tblHeader w:val="true"/>
        </w:trPr>
        <w:tc>
          <w:tcPr>
            <w:tcW w:type="dxa" w:w="6336"/>
            <w:shd w:fill="17365D"/>
            <w:tcMar>
              <w:top w:w="35" w:type="dxa"/>
              <w:start w:w="45" w:type="dxa"/>
              <w:bottom w:w="35" w:type="dxa"/>
              <w:end w:w="45" w:type="dxa"/>
            </w:tcMar>
            <w:tcBorders>
              <w:top w:val="single" w:sz="3" w:color="FFFFFF"/>
              <w:left w:val="single" w:sz="3" w:color="FFFFFF"/>
              <w:bottom w:val="single" w:sz="3" w:color="FFFFFF"/>
              <w:right w:val="single" w:sz="3" w:color="FFFFFF"/>
              <w:insideH w:val="single" w:sz="3" w:color="FFFFFF"/>
              <w:insideV w:val="single" w:sz="3" w:color="FFFFFF"/>
            </w:tcBorders>
          </w:tcPr>
          <w:p>
            <w:pPr>
              <w:spacing w:before="0" w:after="0" w:line="240" w:lineRule="auto"/>
            </w:pPr>
            <w:r>
              <w:rPr>
                <w:rFonts w:ascii="Arial" w:hAnsi="Arial" w:eastAsia="Arial"/>
                <w:b/>
                <w:color w:val="FFFFFF"/>
                <w:sz w:val="15"/>
              </w:rPr>
              <w:t>Scoring Area</w:t>
            </w:r>
          </w:p>
        </w:tc>
        <w:tc>
          <w:tcPr>
            <w:tcW w:type="dxa" w:w="3744"/>
            <w:shd w:fill="17365D"/>
            <w:tcMar>
              <w:top w:w="35" w:type="dxa"/>
              <w:start w:w="45" w:type="dxa"/>
              <w:bottom w:w="35" w:type="dxa"/>
              <w:end w:w="45" w:type="dxa"/>
            </w:tcMar>
            <w:tcBorders>
              <w:top w:val="single" w:sz="3" w:color="FFFFFF"/>
              <w:left w:val="single" w:sz="3" w:color="FFFFFF"/>
              <w:bottom w:val="single" w:sz="3" w:color="FFFFFF"/>
              <w:right w:val="single" w:sz="3" w:color="FFFFFF"/>
              <w:insideH w:val="single" w:sz="3" w:color="FFFFFF"/>
              <w:insideV w:val="single" w:sz="3" w:color="FFFFFF"/>
            </w:tcBorders>
          </w:tcPr>
          <w:p>
            <w:pPr>
              <w:spacing w:before="0" w:after="0" w:line="240" w:lineRule="auto"/>
            </w:pPr>
            <w:r>
              <w:rPr>
                <w:rFonts w:ascii="Arial" w:hAnsi="Arial" w:eastAsia="Arial"/>
                <w:b/>
                <w:color w:val="FFFFFF"/>
                <w:sz w:val="15"/>
              </w:rPr>
              <w:t>Result</w:t>
            </w:r>
          </w:p>
        </w:tc>
      </w:tr>
      <w:tr>
        <w:trPr>
          <w:cantSplit/>
          <w:trHeight w:val="403"/>
        </w:trPr>
        <w:tc>
          <w:tcPr>
            <w:tcW w:type="dxa" w:w="6336"/>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6"/>
              </w:rPr>
              <w:t>Raw score</w:t>
            </w:r>
          </w:p>
        </w:tc>
        <w:tc>
          <w:tcPr>
            <w:tcW w:type="dxa" w:w="374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6"/>
              </w:rPr>
              <w:t>____ / 17</w:t>
            </w:r>
          </w:p>
        </w:tc>
      </w:tr>
      <w:tr>
        <w:trPr>
          <w:cantSplit/>
          <w:trHeight w:val="403"/>
        </w:trPr>
        <w:tc>
          <w:tcPr>
            <w:tcW w:type="dxa" w:w="6336"/>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6"/>
              </w:rPr>
              <w:t>Easy</w:t>
            </w:r>
          </w:p>
        </w:tc>
        <w:tc>
          <w:tcPr>
            <w:tcW w:type="dxa" w:w="3744"/>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6"/>
              </w:rPr>
              <w:t>____ / 5</w:t>
            </w:r>
          </w:p>
        </w:tc>
      </w:tr>
      <w:tr>
        <w:trPr>
          <w:cantSplit/>
          <w:trHeight w:val="403"/>
        </w:trPr>
        <w:tc>
          <w:tcPr>
            <w:tcW w:type="dxa" w:w="6336"/>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6"/>
              </w:rPr>
              <w:t>Moderate</w:t>
            </w:r>
          </w:p>
        </w:tc>
        <w:tc>
          <w:tcPr>
            <w:tcW w:type="dxa" w:w="374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6"/>
              </w:rPr>
              <w:t>____ / 7</w:t>
            </w:r>
          </w:p>
        </w:tc>
      </w:tr>
      <w:tr>
        <w:trPr>
          <w:cantSplit/>
          <w:trHeight w:val="403"/>
        </w:trPr>
        <w:tc>
          <w:tcPr>
            <w:tcW w:type="dxa" w:w="6336"/>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6"/>
              </w:rPr>
              <w:t>Difficult</w:t>
            </w:r>
          </w:p>
        </w:tc>
        <w:tc>
          <w:tcPr>
            <w:tcW w:type="dxa" w:w="3744"/>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6"/>
              </w:rPr>
              <w:t>____ / 5</w:t>
            </w:r>
          </w:p>
        </w:tc>
      </w:tr>
      <w:tr>
        <w:trPr>
          <w:cantSplit/>
          <w:trHeight w:val="403"/>
        </w:trPr>
        <w:tc>
          <w:tcPr>
            <w:tcW w:type="dxa" w:w="6336"/>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6"/>
              </w:rPr>
              <w:t>High-confidence incorrect</w:t>
            </w:r>
          </w:p>
        </w:tc>
        <w:tc>
          <w:tcPr>
            <w:tcW w:type="dxa" w:w="374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6"/>
              </w:rPr>
              <w:t>____</w:t>
            </w:r>
          </w:p>
        </w:tc>
      </w:tr>
      <w:tr>
        <w:trPr>
          <w:cantSplit/>
          <w:trHeight w:val="403"/>
        </w:trPr>
        <w:tc>
          <w:tcPr>
            <w:tcW w:type="dxa" w:w="6336"/>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6"/>
              </w:rPr>
              <w:t>Low-confidence correct</w:t>
            </w:r>
          </w:p>
        </w:tc>
        <w:tc>
          <w:tcPr>
            <w:tcW w:type="dxa" w:w="3744"/>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6"/>
              </w:rPr>
              <w:t>____</w:t>
            </w:r>
          </w:p>
        </w:tc>
      </w:tr>
      <w:tr>
        <w:trPr>
          <w:cantSplit/>
          <w:trHeight w:val="403"/>
        </w:trPr>
        <w:tc>
          <w:tcPr>
            <w:tcW w:type="dxa" w:w="6336"/>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6"/>
              </w:rPr>
              <w:t>Case Questions 6-17</w:t>
            </w:r>
          </w:p>
        </w:tc>
        <w:tc>
          <w:tcPr>
            <w:tcW w:type="dxa" w:w="374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6"/>
              </w:rPr>
              <w:t>____ / 12</w:t>
            </w:r>
          </w:p>
        </w:tc>
      </w:tr>
      <w:tr>
        <w:trPr>
          <w:cantSplit/>
          <w:trHeight w:val="403"/>
        </w:trPr>
        <w:tc>
          <w:tcPr>
            <w:tcW w:type="dxa" w:w="6336"/>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6"/>
              </w:rPr>
              <w:t>Targeted Questions 1-5</w:t>
            </w:r>
          </w:p>
        </w:tc>
        <w:tc>
          <w:tcPr>
            <w:tcW w:type="dxa" w:w="3744"/>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6"/>
              </w:rPr>
              <w:t>____ / 5</w:t>
            </w:r>
          </w:p>
        </w:tc>
      </w:tr>
    </w:tbl>
    <w:p>
      <w:pPr>
        <w:pStyle w:val="Heading2"/>
        <w:spacing w:before="0" w:after="60" w:line="245" w:lineRule="auto"/>
        <w:keepNext/>
      </w:pPr>
      <w:r>
        <w:rPr>
          <w:rFonts w:ascii="Arial" w:hAnsi="Arial" w:eastAsia="Arial"/>
          <w:b/>
          <w:color w:val="17365D"/>
          <w:sz w:val="21"/>
        </w:rPr>
        <w:t>Workbook 9 Error-Code Guide</w:t>
      </w:r>
    </w:p>
    <w:tbl>
      <w:tblPr>
        <w:tblW w:type="auto" w:w="0"/>
        <w:jc w:val="center"/>
        <w:tblLayout w:type="fixed"/>
        <w:tblLook w:firstColumn="1" w:firstRow="1" w:lastColumn="0" w:lastRow="0" w:noHBand="0" w:noVBand="1" w:val="04A0"/>
      </w:tblPr>
      <w:tblGrid>
        <w:gridCol w:w="3437"/>
        <w:gridCol w:w="3437"/>
        <w:gridCol w:w="3437"/>
      </w:tblGrid>
      <w:tr>
        <w:trPr>
          <w:tblHeader w:val="true"/>
        </w:trPr>
        <w:tc>
          <w:tcPr>
            <w:tcW w:type="dxa" w:w="648"/>
            <w:shd w:fill="17365D"/>
            <w:tcMar>
              <w:top w:w="35" w:type="dxa"/>
              <w:start w:w="45" w:type="dxa"/>
              <w:bottom w:w="35" w:type="dxa"/>
              <w:end w:w="45" w:type="dxa"/>
            </w:tcMar>
            <w:tcBorders>
              <w:top w:val="single" w:sz="3" w:color="FFFFFF"/>
              <w:left w:val="single" w:sz="3" w:color="FFFFFF"/>
              <w:bottom w:val="single" w:sz="3" w:color="FFFFFF"/>
              <w:right w:val="single" w:sz="3" w:color="FFFFFF"/>
              <w:insideH w:val="single" w:sz="3" w:color="FFFFFF"/>
              <w:insideV w:val="single" w:sz="3" w:color="FFFFFF"/>
            </w:tcBorders>
          </w:tcPr>
          <w:p>
            <w:pPr>
              <w:spacing w:before="0" w:after="0" w:line="240" w:lineRule="auto"/>
            </w:pPr>
            <w:r>
              <w:rPr>
                <w:rFonts w:ascii="Arial" w:hAnsi="Arial" w:eastAsia="Arial"/>
                <w:b/>
                <w:color w:val="FFFFFF"/>
                <w:sz w:val="15"/>
              </w:rPr>
              <w:t>Code</w:t>
            </w:r>
          </w:p>
        </w:tc>
        <w:tc>
          <w:tcPr>
            <w:tcW w:type="dxa" w:w="3024"/>
            <w:shd w:fill="17365D"/>
            <w:tcMar>
              <w:top w:w="35" w:type="dxa"/>
              <w:start w:w="45" w:type="dxa"/>
              <w:bottom w:w="35" w:type="dxa"/>
              <w:end w:w="45" w:type="dxa"/>
            </w:tcMar>
            <w:tcBorders>
              <w:top w:val="single" w:sz="3" w:color="FFFFFF"/>
              <w:left w:val="single" w:sz="3" w:color="FFFFFF"/>
              <w:bottom w:val="single" w:sz="3" w:color="FFFFFF"/>
              <w:right w:val="single" w:sz="3" w:color="FFFFFF"/>
              <w:insideH w:val="single" w:sz="3" w:color="FFFFFF"/>
              <w:insideV w:val="single" w:sz="3" w:color="FFFFFF"/>
            </w:tcBorders>
          </w:tcPr>
          <w:p>
            <w:pPr>
              <w:spacing w:before="0" w:after="0" w:line="240" w:lineRule="auto"/>
            </w:pPr>
            <w:r>
              <w:rPr>
                <w:rFonts w:ascii="Arial" w:hAnsi="Arial" w:eastAsia="Arial"/>
                <w:b/>
                <w:color w:val="FFFFFF"/>
                <w:sz w:val="15"/>
              </w:rPr>
              <w:t>Meaning</w:t>
            </w:r>
          </w:p>
        </w:tc>
        <w:tc>
          <w:tcPr>
            <w:tcW w:type="dxa" w:w="6408"/>
            <w:shd w:fill="17365D"/>
            <w:tcMar>
              <w:top w:w="35" w:type="dxa"/>
              <w:start w:w="45" w:type="dxa"/>
              <w:bottom w:w="35" w:type="dxa"/>
              <w:end w:w="45" w:type="dxa"/>
            </w:tcMar>
            <w:tcBorders>
              <w:top w:val="single" w:sz="3" w:color="FFFFFF"/>
              <w:left w:val="single" w:sz="3" w:color="FFFFFF"/>
              <w:bottom w:val="single" w:sz="3" w:color="FFFFFF"/>
              <w:right w:val="single" w:sz="3" w:color="FFFFFF"/>
              <w:insideH w:val="single" w:sz="3" w:color="FFFFFF"/>
              <w:insideV w:val="single" w:sz="3" w:color="FFFFFF"/>
            </w:tcBorders>
          </w:tcPr>
          <w:p>
            <w:pPr>
              <w:spacing w:before="0" w:after="0" w:line="240" w:lineRule="auto"/>
            </w:pPr>
            <w:r>
              <w:rPr>
                <w:rFonts w:ascii="Arial" w:hAnsi="Arial" w:eastAsia="Arial"/>
                <w:b/>
                <w:color w:val="FFFFFF"/>
                <w:sz w:val="15"/>
              </w:rPr>
              <w:t>Remediation Question</w:t>
            </w:r>
          </w:p>
        </w:tc>
      </w:tr>
      <w:tr>
        <w:trPr>
          <w:cantSplit/>
        </w:trPr>
        <w:tc>
          <w:tcPr>
            <w:tcW w:type="dxa" w:w="648"/>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E</w:t>
            </w:r>
          </w:p>
        </w:tc>
        <w:tc>
          <w:tcPr>
            <w:tcW w:type="dxa" w:w="302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Evidence integration error</w:t>
            </w:r>
          </w:p>
        </w:tc>
        <w:tc>
          <w:tcPr>
            <w:tcW w:type="dxa" w:w="6408"/>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Did I integrate research with expertise, client context, preference, feasibility, and monitoring?</w:t>
            </w:r>
          </w:p>
        </w:tc>
      </w:tr>
      <w:tr>
        <w:trPr>
          <w:cantSplit/>
        </w:trPr>
        <w:tc>
          <w:tcPr>
            <w:tcW w:type="dxa" w:w="648"/>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M</w:t>
            </w:r>
          </w:p>
        </w:tc>
        <w:tc>
          <w:tcPr>
            <w:tcW w:type="dxa" w:w="3024"/>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Mechanism mismatch</w:t>
            </w:r>
          </w:p>
        </w:tc>
        <w:tc>
          <w:tcPr>
            <w:tcW w:type="dxa" w:w="6408"/>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Did the intervention target what is maintaining the current problem?</w:t>
            </w:r>
          </w:p>
        </w:tc>
      </w:tr>
      <w:tr>
        <w:trPr>
          <w:cantSplit/>
        </w:trPr>
        <w:tc>
          <w:tcPr>
            <w:tcW w:type="dxa" w:w="648"/>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D</w:t>
            </w:r>
          </w:p>
        </w:tc>
        <w:tc>
          <w:tcPr>
            <w:tcW w:type="dxa" w:w="302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DOSE mismatch</w:t>
            </w:r>
          </w:p>
        </w:tc>
        <w:tc>
          <w:tcPr>
            <w:tcW w:type="dxa" w:w="6408"/>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Was the active ingredient delivered at an adequate, graded, feasible dose?</w:t>
            </w:r>
          </w:p>
        </w:tc>
      </w:tr>
      <w:tr>
        <w:trPr>
          <w:cantSplit/>
        </w:trPr>
        <w:tc>
          <w:tcPr>
            <w:tcW w:type="dxa" w:w="648"/>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P</w:t>
            </w:r>
          </w:p>
        </w:tc>
        <w:tc>
          <w:tcPr>
            <w:tcW w:type="dxa" w:w="3024"/>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PHASE mismatch</w:t>
            </w:r>
          </w:p>
        </w:tc>
        <w:tc>
          <w:tcPr>
            <w:tcW w:type="dxa" w:w="6408"/>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Did I choose an intervention before safety, readiness, capacity, or stabilization supported it?</w:t>
            </w:r>
          </w:p>
        </w:tc>
      </w:tr>
      <w:tr>
        <w:trPr>
          <w:cantSplit/>
        </w:trPr>
        <w:tc>
          <w:tcPr>
            <w:tcW w:type="dxa" w:w="648"/>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C</w:t>
            </w:r>
          </w:p>
        </w:tc>
        <w:tc>
          <w:tcPr>
            <w:tcW w:type="dxa" w:w="302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CHANGE failure</w:t>
            </w:r>
          </w:p>
        </w:tc>
        <w:tc>
          <w:tcPr>
            <w:tcW w:type="dxa" w:w="6408"/>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Did I prescribe or confront rather than evoke motivation and support autonomy?</w:t>
            </w:r>
          </w:p>
        </w:tc>
      </w:tr>
      <w:tr>
        <w:trPr>
          <w:cantSplit/>
        </w:trPr>
        <w:tc>
          <w:tcPr>
            <w:tcW w:type="dxa" w:w="648"/>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A</w:t>
            </w:r>
          </w:p>
        </w:tc>
        <w:tc>
          <w:tcPr>
            <w:tcW w:type="dxa" w:w="3024"/>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Active-ingredient error</w:t>
            </w:r>
          </w:p>
        </w:tc>
        <w:tc>
          <w:tcPr>
            <w:tcW w:type="dxa" w:w="6408"/>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Did reassurance, avoidance, safety behavior, or adaptation remove the mechanism of change?</w:t>
            </w:r>
          </w:p>
        </w:tc>
      </w:tr>
      <w:tr>
        <w:trPr>
          <w:cantSplit/>
        </w:trPr>
        <w:tc>
          <w:tcPr>
            <w:tcW w:type="dxa" w:w="648"/>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O</w:t>
            </w:r>
          </w:p>
        </w:tc>
        <w:tc>
          <w:tcPr>
            <w:tcW w:type="dxa" w:w="302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Outcome-monitoring gap</w:t>
            </w:r>
          </w:p>
        </w:tc>
        <w:tc>
          <w:tcPr>
            <w:tcW w:type="dxa" w:w="6408"/>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Did I rely on one score or feeling instead of symptoms, behavior, function, process, and client feedback?</w:t>
            </w:r>
          </w:p>
        </w:tc>
      </w:tr>
      <w:tr>
        <w:trPr>
          <w:cantSplit/>
        </w:trPr>
        <w:tc>
          <w:tcPr>
            <w:tcW w:type="dxa" w:w="648"/>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V</w:t>
            </w:r>
          </w:p>
        </w:tc>
        <w:tc>
          <w:tcPr>
            <w:tcW w:type="dxa" w:w="3024"/>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PIVOT failure</w:t>
            </w:r>
          </w:p>
        </w:tc>
        <w:tc>
          <w:tcPr>
            <w:tcW w:type="dxa" w:w="6408"/>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Did I intensify, switch, or blame before reviewing formulation, fidelity, burden, alliance, and barriers?</w:t>
            </w:r>
          </w:p>
        </w:tc>
      </w:tr>
      <w:tr>
        <w:trPr>
          <w:cantSplit/>
        </w:trPr>
        <w:tc>
          <w:tcPr>
            <w:tcW w:type="dxa" w:w="648"/>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R</w:t>
            </w:r>
          </w:p>
        </w:tc>
        <w:tc>
          <w:tcPr>
            <w:tcW w:type="dxa" w:w="302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Referral/competence error</w:t>
            </w:r>
          </w:p>
        </w:tc>
        <w:tc>
          <w:tcPr>
            <w:tcW w:type="dxa" w:w="6408"/>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Did I miss a competence, complexity, specialty, or level-of-care threshold?</w:t>
            </w:r>
          </w:p>
        </w:tc>
      </w:tr>
      <w:tr>
        <w:trPr>
          <w:cantSplit/>
        </w:trPr>
        <w:tc>
          <w:tcPr>
            <w:tcW w:type="dxa" w:w="648"/>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S</w:t>
            </w:r>
          </w:p>
        </w:tc>
        <w:tc>
          <w:tcPr>
            <w:tcW w:type="dxa" w:w="3024"/>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Sequencing error</w:t>
            </w:r>
          </w:p>
        </w:tc>
        <w:tc>
          <w:tcPr>
            <w:tcW w:type="dxa" w:w="6408"/>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Did I intervene before understanding, empathy, collaboration, or informed consent?</w:t>
            </w:r>
          </w:p>
        </w:tc>
      </w:tr>
    </w:tbl>
    <w:tbl>
      <w:tblPr>
        <w:tblW w:type="auto" w:w="0"/>
        <w:jc w:val="center"/>
        <w:tblLayout w:type="fixed"/>
        <w:tblLook w:firstColumn="1" w:firstRow="1" w:lastColumn="0" w:lastRow="0" w:noHBand="0" w:noVBand="1" w:val="04A0"/>
      </w:tblPr>
      <w:tblGrid>
        <w:gridCol w:w="10080"/>
      </w:tblGrid>
      <w:tr>
        <w:tc>
          <w:tcPr>
            <w:tcW w:type="dxa" w:w="10310"/>
            <w:shd w:fill="EAF1F8"/>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INTERPRETATION RULE</w:t>
            </w:r>
          </w:p>
          <w:p>
            <w:pPr>
              <w:spacing w:before="0" w:after="0" w:line="240" w:lineRule="auto"/>
            </w:pPr>
            <w:r>
              <w:rPr>
                <w:rFonts w:ascii="Arial" w:hAnsi="Arial" w:eastAsia="Arial"/>
                <w:color w:val="1F2937"/>
                <w:sz w:val="16"/>
              </w:rPr>
              <w:t>A correct answer with low confidence still deserves review. A repeated error code is more useful than one raw score because it identifies the decision process that needs repair.</w:t>
            </w:r>
          </w:p>
        </w:tc>
      </w:tr>
    </w:tbl>
    <w:p>
      <w:r>
        <w:br w:type="page"/>
      </w:r>
    </w:p>
    <w:p>
      <w:pPr>
        <w:pStyle w:val="Heading1"/>
        <w:spacing w:before="0" w:after="60" w:line="245" w:lineRule="auto"/>
        <w:keepNext/>
      </w:pPr>
      <w:r>
        <w:rPr>
          <w:rFonts w:ascii="Arial" w:hAnsi="Arial" w:eastAsia="Arial"/>
          <w:b/>
          <w:color w:val="159C9C"/>
          <w:sz w:val="28"/>
        </w:rPr>
        <w:t>Remediation Record</w:t>
      </w:r>
    </w:p>
    <w:tbl>
      <w:tblPr>
        <w:tblW w:type="auto" w:w="0"/>
        <w:jc w:val="center"/>
        <w:tblLayout w:type="fixed"/>
        <w:tblLook w:firstColumn="1" w:firstRow="1" w:lastColumn="0" w:lastRow="0" w:noHBand="0" w:noVBand="1" w:val="04A0"/>
      </w:tblPr>
      <w:tblGrid>
        <w:gridCol w:w="2577"/>
        <w:gridCol w:w="2577"/>
        <w:gridCol w:w="2577"/>
        <w:gridCol w:w="2577"/>
      </w:tblGrid>
      <w:tr>
        <w:trPr>
          <w:tblHeader w:val="true"/>
        </w:trPr>
        <w:tc>
          <w:tcPr>
            <w:tcW w:type="dxa" w:w="936"/>
            <w:shd w:fill="17365D"/>
            <w:tcMar>
              <w:top w:w="35" w:type="dxa"/>
              <w:start w:w="45" w:type="dxa"/>
              <w:bottom w:w="35" w:type="dxa"/>
              <w:end w:w="45" w:type="dxa"/>
            </w:tcMar>
            <w:tcBorders>
              <w:top w:val="single" w:sz="3" w:color="FFFFFF"/>
              <w:left w:val="single" w:sz="3" w:color="FFFFFF"/>
              <w:bottom w:val="single" w:sz="3" w:color="FFFFFF"/>
              <w:right w:val="single" w:sz="3" w:color="FFFFFF"/>
              <w:insideH w:val="single" w:sz="3" w:color="FFFFFF"/>
              <w:insideV w:val="single" w:sz="3" w:color="FFFFFF"/>
            </w:tcBorders>
          </w:tcPr>
          <w:p>
            <w:pPr>
              <w:spacing w:before="0" w:after="0" w:line="240" w:lineRule="auto"/>
            </w:pPr>
            <w:r>
              <w:rPr>
                <w:rFonts w:ascii="Arial" w:hAnsi="Arial" w:eastAsia="Arial"/>
                <w:b/>
                <w:color w:val="FFFFFF"/>
                <w:sz w:val="15"/>
              </w:rPr>
              <w:t>Question</w:t>
            </w:r>
          </w:p>
        </w:tc>
        <w:tc>
          <w:tcPr>
            <w:tcW w:type="dxa" w:w="1440"/>
            <w:shd w:fill="17365D"/>
            <w:tcMar>
              <w:top w:w="35" w:type="dxa"/>
              <w:start w:w="45" w:type="dxa"/>
              <w:bottom w:w="35" w:type="dxa"/>
              <w:end w:w="45" w:type="dxa"/>
            </w:tcMar>
            <w:tcBorders>
              <w:top w:val="single" w:sz="3" w:color="FFFFFF"/>
              <w:left w:val="single" w:sz="3" w:color="FFFFFF"/>
              <w:bottom w:val="single" w:sz="3" w:color="FFFFFF"/>
              <w:right w:val="single" w:sz="3" w:color="FFFFFF"/>
              <w:insideH w:val="single" w:sz="3" w:color="FFFFFF"/>
              <w:insideV w:val="single" w:sz="3" w:color="FFFFFF"/>
            </w:tcBorders>
          </w:tcPr>
          <w:p>
            <w:pPr>
              <w:spacing w:before="0" w:after="0" w:line="240" w:lineRule="auto"/>
            </w:pPr>
            <w:r>
              <w:rPr>
                <w:rFonts w:ascii="Arial" w:hAnsi="Arial" w:eastAsia="Arial"/>
                <w:b/>
                <w:color w:val="FFFFFF"/>
                <w:sz w:val="15"/>
              </w:rPr>
              <w:t>Error Code</w:t>
            </w:r>
          </w:p>
        </w:tc>
        <w:tc>
          <w:tcPr>
            <w:tcW w:type="dxa" w:w="4176"/>
            <w:shd w:fill="17365D"/>
            <w:tcMar>
              <w:top w:w="35" w:type="dxa"/>
              <w:start w:w="45" w:type="dxa"/>
              <w:bottom w:w="35" w:type="dxa"/>
              <w:end w:w="45" w:type="dxa"/>
            </w:tcMar>
            <w:tcBorders>
              <w:top w:val="single" w:sz="3" w:color="FFFFFF"/>
              <w:left w:val="single" w:sz="3" w:color="FFFFFF"/>
              <w:bottom w:val="single" w:sz="3" w:color="FFFFFF"/>
              <w:right w:val="single" w:sz="3" w:color="FFFFFF"/>
              <w:insideH w:val="single" w:sz="3" w:color="FFFFFF"/>
              <w:insideV w:val="single" w:sz="3" w:color="FFFFFF"/>
            </w:tcBorders>
          </w:tcPr>
          <w:p>
            <w:pPr>
              <w:spacing w:before="0" w:after="0" w:line="240" w:lineRule="auto"/>
            </w:pPr>
            <w:r>
              <w:rPr>
                <w:rFonts w:ascii="Arial" w:hAnsi="Arial" w:eastAsia="Arial"/>
                <w:b/>
                <w:color w:val="FFFFFF"/>
                <w:sz w:val="15"/>
              </w:rPr>
              <w:t>Why My Answer Was Weaker</w:t>
            </w:r>
          </w:p>
        </w:tc>
        <w:tc>
          <w:tcPr>
            <w:tcW w:type="dxa" w:w="3528"/>
            <w:shd w:fill="17365D"/>
            <w:tcMar>
              <w:top w:w="35" w:type="dxa"/>
              <w:start w:w="45" w:type="dxa"/>
              <w:bottom w:w="35" w:type="dxa"/>
              <w:end w:w="45" w:type="dxa"/>
            </w:tcMar>
            <w:tcBorders>
              <w:top w:val="single" w:sz="3" w:color="FFFFFF"/>
              <w:left w:val="single" w:sz="3" w:color="FFFFFF"/>
              <w:bottom w:val="single" w:sz="3" w:color="FFFFFF"/>
              <w:right w:val="single" w:sz="3" w:color="FFFFFF"/>
              <w:insideH w:val="single" w:sz="3" w:color="FFFFFF"/>
              <w:insideV w:val="single" w:sz="3" w:color="FFFFFF"/>
            </w:tcBorders>
          </w:tcPr>
          <w:p>
            <w:pPr>
              <w:spacing w:before="0" w:after="0" w:line="240" w:lineRule="auto"/>
            </w:pPr>
            <w:r>
              <w:rPr>
                <w:rFonts w:ascii="Arial" w:hAnsi="Arial" w:eastAsia="Arial"/>
                <w:b/>
                <w:color w:val="FFFFFF"/>
                <w:sz w:val="15"/>
              </w:rPr>
              <w:t>Transferable Correction Rule</w:t>
            </w:r>
          </w:p>
        </w:tc>
      </w:tr>
      <w:tr>
        <w:trPr>
          <w:cantSplit/>
          <w:trHeight w:val="691"/>
        </w:trPr>
        <w:tc>
          <w:tcPr>
            <w:tcW w:type="dxa" w:w="936"/>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144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4176"/>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3528"/>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r>
      <w:tr>
        <w:trPr>
          <w:cantSplit/>
          <w:trHeight w:val="691"/>
        </w:trPr>
        <w:tc>
          <w:tcPr>
            <w:tcW w:type="dxa" w:w="936"/>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1440"/>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4176"/>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3528"/>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r>
      <w:tr>
        <w:trPr>
          <w:cantSplit/>
          <w:trHeight w:val="691"/>
        </w:trPr>
        <w:tc>
          <w:tcPr>
            <w:tcW w:type="dxa" w:w="936"/>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144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4176"/>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3528"/>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r>
      <w:tr>
        <w:trPr>
          <w:cantSplit/>
          <w:trHeight w:val="691"/>
        </w:trPr>
        <w:tc>
          <w:tcPr>
            <w:tcW w:type="dxa" w:w="936"/>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1440"/>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4176"/>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3528"/>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r>
      <w:tr>
        <w:trPr>
          <w:cantSplit/>
          <w:trHeight w:val="691"/>
        </w:trPr>
        <w:tc>
          <w:tcPr>
            <w:tcW w:type="dxa" w:w="936"/>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144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4176"/>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3528"/>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r>
      <w:tr>
        <w:trPr>
          <w:cantSplit/>
          <w:trHeight w:val="691"/>
        </w:trPr>
        <w:tc>
          <w:tcPr>
            <w:tcW w:type="dxa" w:w="936"/>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1440"/>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4176"/>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3528"/>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r>
    </w:tbl>
    <w:p>
      <w:pPr>
        <w:pStyle w:val="Heading2"/>
        <w:spacing w:before="0" w:after="60" w:line="245" w:lineRule="auto"/>
        <w:keepNext/>
      </w:pPr>
      <w:r>
        <w:rPr>
          <w:rFonts w:ascii="Arial" w:hAnsi="Arial" w:eastAsia="Arial"/>
          <w:b/>
          <w:color w:val="17365D"/>
          <w:sz w:val="21"/>
        </w:rPr>
        <w:t>Build a New Application Item</w:t>
      </w:r>
    </w:p>
    <w:p>
      <w:pPr>
        <w:pStyle w:val="ListNumber"/>
        <w:spacing w:before="0" w:after="20" w:line="245" w:lineRule="auto"/>
      </w:pPr>
      <w:r>
        <w:rPr>
          <w:rFonts w:ascii="Arial" w:hAnsi="Arial"/>
          <w:sz w:val="16"/>
        </w:rPr>
        <w:t>Select one missed mechanism or sequencing rule.</w:t>
      </w:r>
    </w:p>
    <w:p>
      <w:pPr>
        <w:pStyle w:val="ListNumber"/>
        <w:spacing w:before="0" w:after="20" w:line="245" w:lineRule="auto"/>
      </w:pPr>
      <w:r>
        <w:rPr>
          <w:rFonts w:ascii="Arial" w:hAnsi="Arial"/>
          <w:sz w:val="16"/>
        </w:rPr>
        <w:t>Write a new two- or three-sentence clinical stem using different client details.</w:t>
      </w:r>
    </w:p>
    <w:p>
      <w:pPr>
        <w:pStyle w:val="ListNumber"/>
        <w:spacing w:before="0" w:after="20" w:line="245" w:lineRule="auto"/>
      </w:pPr>
      <w:r>
        <w:rPr>
          <w:rFonts w:ascii="Arial" w:hAnsi="Arial"/>
          <w:sz w:val="16"/>
        </w:rPr>
        <w:t>Create one best answer that follows EVIDENCE, DOSE, PHASE, CHANGE, or PIVOT.</w:t>
      </w:r>
    </w:p>
    <w:p>
      <w:pPr>
        <w:pStyle w:val="ListNumber"/>
        <w:spacing w:before="0" w:after="20" w:line="245" w:lineRule="auto"/>
      </w:pPr>
      <w:r>
        <w:rPr>
          <w:rFonts w:ascii="Arial" w:hAnsi="Arial"/>
          <w:sz w:val="16"/>
        </w:rPr>
        <w:t>Create three plausible distractors: premature intensity, mechanism mismatch, active-ingredient removal, client-blaming, or failure to monitor.</w:t>
      </w:r>
    </w:p>
    <w:p>
      <w:pPr>
        <w:pStyle w:val="ListNumber"/>
        <w:spacing w:before="0" w:after="20" w:line="245" w:lineRule="auto"/>
      </w:pPr>
      <w:r>
        <w:rPr>
          <w:rFonts w:ascii="Arial" w:hAnsi="Arial"/>
          <w:sz w:val="16"/>
        </w:rPr>
        <w:t>Explain why the best answer is stronger without relying on a memorized slogan.</w:t>
      </w:r>
    </w:p>
    <w:tbl>
      <w:tblPr>
        <w:tblW w:type="auto" w:w="0"/>
        <w:jc w:val="center"/>
        <w:tblLayout w:type="fixed"/>
        <w:tblLook w:firstColumn="1" w:firstRow="1" w:lastColumn="0" w:lastRow="0" w:noHBand="0" w:noVBand="1" w:val="04A0"/>
      </w:tblPr>
      <w:tblGrid>
        <w:gridCol w:w="10080"/>
      </w:tblGrid>
      <w:tr>
        <w:tc>
          <w:tcPr>
            <w:tcW w:type="dxa" w:w="10310"/>
            <w:shd w:fill="E8F5F5"/>
            <w:tcMar>
              <w:top w:w="70" w:type="dxa"/>
              <w:start w:w="95" w:type="dxa"/>
              <w:bottom w:w="70" w:type="dxa"/>
              <w:end w:w="95" w:type="dxa"/>
            </w:tcMar>
            <w:tcBorders>
              <w:top w:val="single" w:sz="7" w:color="159C9C"/>
              <w:left w:val="single" w:sz="7" w:color="159C9C"/>
              <w:bottom w:val="single" w:sz="7" w:color="159C9C"/>
              <w:right w:val="single" w:sz="7" w:color="159C9C"/>
              <w:insideH w:val="single" w:sz="7" w:color="159C9C"/>
              <w:insideV w:val="single" w:sz="7" w:color="159C9C"/>
            </w:tcBorders>
          </w:tcPr>
          <w:p>
            <w:pPr>
              <w:spacing w:before="0" w:after="20" w:line="245" w:lineRule="auto"/>
            </w:pPr>
            <w:r>
              <w:rPr>
                <w:rFonts w:ascii="Arial" w:hAnsi="Arial" w:eastAsia="Arial"/>
                <w:b/>
                <w:color w:val="159C9C"/>
                <w:sz w:val="17"/>
              </w:rPr>
              <w:t>MY NEXT STUDY PRIORITY</w:t>
            </w:r>
          </w:p>
          <w:p>
            <w:pPr>
              <w:spacing w:before="0" w:after="0" w:line="240" w:lineRule="auto"/>
            </w:pPr>
            <w:r>
              <w:rPr>
                <w:rFonts w:ascii="Arial" w:hAnsi="Arial" w:eastAsia="Arial"/>
                <w:color w:val="1F2937"/>
                <w:sz w:val="16"/>
              </w:rPr>
              <w:t>Tool or topic: ________________________________    Review date: ________________</w:t>
              <w:br/>
              <w:t>New practice item or case to complete: ____________________________________________________________</w:t>
            </w:r>
          </w:p>
        </w:tc>
      </w:tr>
    </w:tbl>
    <w:tbl>
      <w:tblPr>
        <w:tblW w:type="auto" w:w="0"/>
        <w:jc w:val="center"/>
        <w:tblLayout w:type="fixed"/>
        <w:tblLook w:firstColumn="1" w:firstRow="1" w:lastColumn="0" w:lastRow="0" w:noHBand="0" w:noVBand="1" w:val="04A0"/>
      </w:tblPr>
      <w:tblGrid>
        <w:gridCol w:w="10080"/>
      </w:tblGrid>
      <w:tr>
        <w:tc>
          <w:tcPr>
            <w:tcW w:type="dxa" w:w="10310"/>
            <w:shd w:fill="FFF7D6"/>
            <w:tcMar>
              <w:top w:w="70" w:type="dxa"/>
              <w:start w:w="95" w:type="dxa"/>
              <w:bottom w:w="70" w:type="dxa"/>
              <w:end w:w="95" w:type="dxa"/>
            </w:tcMar>
            <w:tcBorders>
              <w:top w:val="single" w:sz="7" w:color="D6B656"/>
              <w:left w:val="single" w:sz="7" w:color="D6B656"/>
              <w:bottom w:val="single" w:sz="7" w:color="D6B656"/>
              <w:right w:val="single" w:sz="7" w:color="D6B656"/>
              <w:insideH w:val="single" w:sz="7" w:color="D6B656"/>
              <w:insideV w:val="single" w:sz="7" w:color="D6B656"/>
            </w:tcBorders>
          </w:tcPr>
          <w:p>
            <w:pPr>
              <w:spacing w:before="0" w:after="20" w:line="245" w:lineRule="auto"/>
            </w:pPr>
            <w:r>
              <w:rPr>
                <w:rFonts w:ascii="Arial" w:hAnsi="Arial" w:eastAsia="Arial"/>
                <w:b/>
                <w:color w:val="17365D"/>
                <w:sz w:val="17"/>
              </w:rPr>
              <w:t>PROGRESS, NOT A GUARANTEE</w:t>
            </w:r>
          </w:p>
          <w:p>
            <w:pPr>
              <w:spacing w:before="0" w:after="0" w:line="240" w:lineRule="auto"/>
            </w:pPr>
            <w:r>
              <w:rPr>
                <w:rFonts w:ascii="Arial" w:hAnsi="Arial" w:eastAsia="Arial"/>
                <w:color w:val="1F2937"/>
                <w:sz w:val="15"/>
              </w:rPr>
              <w:t>Use this bank to improve reasoning, not to predict an official examination result. CTA practice scores are not NBCC scaled scores and do not establish licensure-examination readiness by themselves.</w:t>
            </w:r>
          </w:p>
        </w:tc>
      </w:tr>
    </w:tbl>
    <w:sectPr w:rsidR="00FC693F" w:rsidRPr="0006063C" w:rsidSect="00034616">
      <w:headerReference w:type="default" r:id="rId9"/>
      <w:footerReference w:type="default" r:id="rId10"/>
      <w:headerReference w:type="first" r:id="rId12"/>
      <w:headerReference w:type="even" r:id="rId13"/>
      <w:footerReference w:type="first" r:id="rId14"/>
      <w:footerReference w:type="even" r:id="rId15"/>
      <w:pgSz w:w="12240" w:h="15840"/>
      <w:pgMar w:top="922" w:right="965" w:bottom="893" w:left="965" w:header="317"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rial" w:hAnsi="Arial" w:eastAsia="Arial"/>
        <w:color w:val="6B7280"/>
        <w:sz w:val="14"/>
      </w:rPr>
      <w:t xml:space="preserve">Clinical Training Academy - LPCC WB9 Practice Bank Answer &amp; Rationales v1.0  |  Page </w:t>
    </w: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5256"/>
      <w:gridCol w:w="5256"/>
    </w:tblGrid>
    <w:tr>
      <w:trPr>
        <w:tblHeader w:val="true"/>
      </w:trPr>
      <w:tc>
        <w:tcPr>
          <w:tcW w:type="dxa" w:w="2520"/>
          <w:tcMar>
            <w:top w:w="0" w:type="dxa"/>
            <w:start w:w="0" w:type="dxa"/>
            <w:bottom w:w="0" w:type="dxa"/>
            <w:end w:w="0" w:type="dxa"/>
          </w:tcMar>
        </w:tcPr>
        <w:p>
          <w:pPr>
            <w:spacing w:after="0"/>
          </w:pPr>
          <w:r>
            <w:drawing>
              <wp:inline xmlns:a="http://schemas.openxmlformats.org/drawingml/2006/main" xmlns:pic="http://schemas.openxmlformats.org/drawingml/2006/picture">
                <wp:extent cx="1417320" cy="320220"/>
                <wp:docPr id="1" name="CTA horizontal logo" descr="Clinical Training and Supervision Academy logo"/>
                <wp:cNvGraphicFramePr>
                  <a:graphicFrameLocks noChangeAspect="1"/>
                </wp:cNvGraphicFramePr>
                <a:graphic>
                  <a:graphicData uri="http://schemas.openxmlformats.org/drawingml/2006/picture">
                    <pic:pic>
                      <pic:nvPicPr>
                        <pic:cNvPr id="0" name="CTA_Horizontal_Logo.png"/>
                        <pic:cNvPicPr/>
                      </pic:nvPicPr>
                      <pic:blipFill>
                        <a:blip r:embed="rId1"/>
                        <a:stretch>
                          <a:fillRect/>
                        </a:stretch>
                      </pic:blipFill>
                      <pic:spPr>
                        <a:xfrm>
                          <a:off x="0" y="0"/>
                          <a:ext cx="1417320" cy="320220"/>
                        </a:xfrm>
                        <a:prstGeom prst="rect"/>
                      </pic:spPr>
                    </pic:pic>
                  </a:graphicData>
                </a:graphic>
              </wp:inline>
            </w:drawing>
          </w:r>
        </w:p>
      </w:tc>
      <w:tc>
        <w:tcPr>
          <w:tcW w:type="dxa" w:w="7992"/>
          <w:tcMar>
            <w:top w:w="0" w:type="dxa"/>
            <w:start w:w="0" w:type="dxa"/>
            <w:bottom w:w="0" w:type="dxa"/>
            <w:end w:w="0" w:type="dxa"/>
          </w:tcMar>
        </w:tcPr>
        <w:p>
          <w:pPr>
            <w:jc w:val="right"/>
          </w:pPr>
          <w:r>
            <w:rPr>
              <w:rFonts w:ascii="Arial" w:hAnsi="Arial" w:eastAsia="Arial"/>
              <w:color w:val="17365D"/>
              <w:sz w:val="14"/>
            </w:rPr>
            <w:t>CTA LPCC WB9 - 17-Question Practice Bank - Answer &amp; Rationales</w:t>
          </w:r>
        </w:p>
      </w:tc>
    </w:tr>
  </w:tbl>
  <w:p>
    <w:pPr>
      <w:spacing w:after="0"/>
      <w:pBdr>
        <w:bottom w:val="single" w:sz="5" w:space="1" w:color="159C9C"/>
      </w:pBd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rial" w:hAnsi="Arial" w:eastAsia="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eastAsia="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159C9C"/>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20"/>
    </w:rPr>
  </w:style>
  <w:style w:type="paragraph" w:styleId="ListBullet2">
    <w:name w:val="List Bullet 2"/>
    <w:basedOn w:val="Normal"/>
    <w:uiPriority w:val="99"/>
    <w:unhideWhenUsed/>
    <w:rsid w:val="00326F90"/>
    <w:pPr>
      <w:numPr>
        <w:numId w:val="2"/>
      </w:numPr>
      <w:contextualSpacing/>
    </w:pPr>
    <w:rPr>
      <w:rFonts w:ascii="Arial" w:hAnsi="Arial" w:eastAsia="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LPCC Workbook 9: 17-Question Practice Bank - Answer and Rationales</dc:title>
  <dc:subject>LPCC NCMHCE Exam Preparation</dc:subject>
  <dc:creator>Clinical Training Academy</dc:creator>
  <cp:keywords>LPCC, NCMHCE, evidence-based interventions, rationales</cp:keywords>
  <dc:description>Answer and Rationales v1.0 - July 2026</dc:description>
  <cp:lastModifiedBy/>
  <cp:revision>1</cp:revision>
  <dcterms:created xsi:type="dcterms:W3CDTF">2013-12-23T23:15:00Z</dcterms:created>
  <dcterms:modified xsi:type="dcterms:W3CDTF">2013-12-23T23:15:00Z</dcterms:modified>
  <cp:category/>
</cp:coreProperties>
</file>