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ontserrat" w:hAnsi="Montserrat" w:eastAsia="Montserrat"/>
          <w:b/>
          <w:color w:val="17365D"/>
          <w:sz w:val="44"/>
        </w:rPr>
        <w:t>LPCC FORM A REMEDIATION WORKBOOK</w:t>
      </w:r>
    </w:p>
    <w:p>
      <w:pPr>
        <w:jc w:val="center"/>
      </w:pPr>
      <w:r>
        <w:rPr>
          <w:rFonts w:ascii="Montserrat" w:hAnsi="Montserrat" w:eastAsia="Montserrat"/>
          <w:b/>
          <w:color w:val="159C9C"/>
          <w:sz w:val="26"/>
        </w:rPr>
        <w:t>Structured Error Analysis, Corrected Decision Rules, and Form B Readiness</w:t>
      </w:r>
    </w:p>
    <w:p>
      <w:pPr>
        <w:jc w:val="center"/>
      </w:pPr>
      <w:r>
        <w:rPr>
          <w:rFonts w:ascii="Montserrat" w:hAnsi="Montserrat" w:eastAsia="Montserrat"/>
          <w:b/>
          <w:color w:val="666666"/>
          <w:sz w:val="18"/>
        </w:rPr>
        <w:t>EXAM PREPARATION SUPPORT RESOURCE | NO CE CREDIT</w:t>
      </w:r>
    </w:p>
    <w:p>
      <w:pPr>
        <w:jc w:val="center"/>
      </w:pPr>
      <w:r>
        <w:rPr>
          <w:rFonts w:ascii="Montserrat" w:hAnsi="Montserrat" w:eastAsia="Montserrat"/>
          <w:color w:val="666666"/>
          <w:sz w:val="18"/>
        </w:rPr>
        <w:t>Version 1.0 | July 2026 | Editable and Print-Optimized Word Resource</w:t>
      </w:r>
    </w:p>
    <w:p/>
    <w:tbl>
      <w:tblPr>
        <w:tblW w:type="auto" w:w="0"/>
        <w:jc w:val="center"/>
        <w:tblLook w:firstColumn="1" w:firstRow="1" w:lastColumn="0" w:lastRow="0" w:noHBand="0" w:noVBand="1" w:val="04A0"/>
        <w:tblBorders>
          <w:top w:val="single" w:sz="4" w:color="EAF6F6"/>
          <w:left w:val="single" w:sz="4" w:color="EAF6F6"/>
          <w:bottom w:val="single" w:sz="4" w:color="EAF6F6"/>
          <w:right w:val="single" w:sz="4" w:color="EAF6F6"/>
          <w:insideH w:val="single" w:sz="4" w:color="EAF6F6"/>
          <w:insideV w:val="single" w:sz="4" w:color="EAF6F6"/>
        </w:tblBorders>
      </w:tblPr>
      <w:tblGrid>
        <w:gridCol w:w="10282"/>
      </w:tblGrid>
      <w:tr>
        <w:tc>
          <w:tcPr>
            <w:tcW w:type="dxa" w:w="10282"/>
            <w:shd w:fill="EAF6F6"/>
            <w:tcMar>
              <w:top w:w="100" w:type="dxa"/>
              <w:start w:w="120" w:type="dxa"/>
              <w:bottom w:w="100" w:type="dxa"/>
              <w:end w:w="120" w:type="dxa"/>
            </w:tcMar>
          </w:tcPr>
          <w:p>
            <w:r>
              <w:rPr>
                <w:rFonts w:ascii="Montserrat" w:hAnsi="Montserrat" w:eastAsia="Montserrat"/>
                <w:b/>
                <w:color w:val="17365D"/>
                <w:sz w:val="20"/>
              </w:rPr>
              <w:t>PURPOSE</w:t>
              <w:br/>
            </w:r>
            <w:r>
              <w:rPr>
                <w:rFonts w:ascii="Montserrat" w:hAnsi="Montserrat" w:eastAsia="Montserrat"/>
                <w:color w:val="222222"/>
                <w:sz w:val="18"/>
              </w:rPr>
              <w:t>Use this workbook only after completing LPCC Comprehensive Simulation Form A and reviewing the controlled answer-and-rationales form. The goal is to convert every missed or low-confidence item into a reusable clinical-reasoning rule before attempting Form B.</w:t>
            </w:r>
          </w:p>
        </w:tc>
      </w:tr>
    </w:tbl>
    <w:p>
      <w:pPr>
        <w:spacing w:after="0"/>
      </w:pPr>
    </w:p>
    <w:p>
      <w:pPr>
        <w:pStyle w:val="Heading1"/>
      </w:pPr>
      <w:r>
        <w:t>How to Use This Workbook</w:t>
      </w:r>
    </w:p>
    <w:p>
      <w:pPr>
        <w:pStyle w:val="ListBullet"/>
        <w:spacing w:after="40"/>
      </w:pPr>
      <w:r>
        <w:rPr>
          <w:rFonts w:ascii="Montserrat" w:hAnsi="Montserrat" w:eastAsia="Montserrat"/>
          <w:sz w:val="19"/>
        </w:rPr>
        <w:t>Score Form A without changing answers after seeing the key.</w:t>
      </w:r>
    </w:p>
    <w:p>
      <w:pPr>
        <w:pStyle w:val="ListBullet"/>
        <w:spacing w:after="40"/>
      </w:pPr>
      <w:r>
        <w:rPr>
          <w:rFonts w:ascii="Montserrat" w:hAnsi="Montserrat" w:eastAsia="Montserrat"/>
          <w:sz w:val="19"/>
        </w:rPr>
        <w:t>Mark every missed item and every correct item answered with low confidence.</w:t>
      </w:r>
    </w:p>
    <w:p>
      <w:pPr>
        <w:pStyle w:val="ListBullet"/>
        <w:spacing w:after="40"/>
      </w:pPr>
      <w:r>
        <w:rPr>
          <w:rFonts w:ascii="Montserrat" w:hAnsi="Montserrat" w:eastAsia="Montserrat"/>
          <w:sz w:val="19"/>
        </w:rPr>
        <w:t>Identify the controlling issue and the specific reasoning error.</w:t>
      </w:r>
    </w:p>
    <w:p>
      <w:pPr>
        <w:pStyle w:val="ListBullet"/>
        <w:spacing w:after="40"/>
      </w:pPr>
      <w:r>
        <w:rPr>
          <w:rFonts w:ascii="Montserrat" w:hAnsi="Montserrat" w:eastAsia="Montserrat"/>
          <w:sz w:val="19"/>
        </w:rPr>
        <w:t>Write a corrected decision rule in your own words.</w:t>
      </w:r>
    </w:p>
    <w:p>
      <w:pPr>
        <w:pStyle w:val="ListBullet"/>
        <w:spacing w:after="40"/>
      </w:pPr>
      <w:r>
        <w:rPr>
          <w:rFonts w:ascii="Montserrat" w:hAnsi="Montserrat" w:eastAsia="Montserrat"/>
          <w:sz w:val="19"/>
        </w:rPr>
        <w:t>Revisit the matching workbook, framework, or quick-reference tool.</w:t>
      </w:r>
    </w:p>
    <w:p>
      <w:pPr>
        <w:pStyle w:val="ListBullet"/>
        <w:spacing w:after="40"/>
      </w:pPr>
      <w:r>
        <w:rPr>
          <w:rFonts w:ascii="Montserrat" w:hAnsi="Montserrat" w:eastAsia="Montserrat"/>
          <w:sz w:val="19"/>
        </w:rPr>
        <w:t>Complete a short re-application exercise without looking at the original answer.</w:t>
      </w:r>
    </w:p>
    <w:p>
      <w:pPr>
        <w:pStyle w:val="ListBullet"/>
        <w:spacing w:after="40"/>
      </w:pPr>
      <w:r>
        <w:rPr>
          <w:rFonts w:ascii="Montserrat" w:hAnsi="Montserrat" w:eastAsia="Montserrat"/>
          <w:sz w:val="19"/>
        </w:rPr>
        <w:t>Attempt Form B only after the readiness gate is satisfied.</w:t>
      </w:r>
    </w:p>
    <w:tbl>
      <w:tblPr>
        <w:tblW w:type="auto" w:w="0"/>
        <w:jc w:val="center"/>
        <w:tblLook w:firstColumn="1" w:firstRow="1" w:lastColumn="0" w:lastRow="0" w:noHBand="0" w:noVBand="1" w:val="04A0"/>
        <w:tblBorders>
          <w:top w:val="single" w:sz="4" w:color="EAF6F6"/>
          <w:left w:val="single" w:sz="4" w:color="EAF6F6"/>
          <w:bottom w:val="single" w:sz="4" w:color="EAF6F6"/>
          <w:right w:val="single" w:sz="4" w:color="EAF6F6"/>
          <w:insideH w:val="single" w:sz="4" w:color="EAF6F6"/>
          <w:insideV w:val="single" w:sz="4" w:color="EAF6F6"/>
        </w:tblBorders>
      </w:tblPr>
      <w:tblGrid>
        <w:gridCol w:w="10282"/>
      </w:tblGrid>
      <w:tr>
        <w:tc>
          <w:tcPr>
            <w:tcW w:type="dxa" w:w="10282"/>
            <w:shd w:fill="EAF6F6"/>
            <w:tcMar>
              <w:top w:w="100" w:type="dxa"/>
              <w:start w:w="120" w:type="dxa"/>
              <w:bottom w:w="100" w:type="dxa"/>
              <w:end w:w="120" w:type="dxa"/>
            </w:tcMar>
          </w:tcPr>
          <w:p>
            <w:r>
              <w:rPr>
                <w:rFonts w:ascii="Montserrat" w:hAnsi="Montserrat" w:eastAsia="Montserrat"/>
                <w:b/>
                <w:color w:val="17365D"/>
                <w:sz w:val="20"/>
              </w:rPr>
              <w:t>IMPORTANT</w:t>
              <w:br/>
            </w:r>
            <w:r>
              <w:rPr>
                <w:rFonts w:ascii="Montserrat" w:hAnsi="Montserrat" w:eastAsia="Montserrat"/>
                <w:color w:val="222222"/>
                <w:sz w:val="18"/>
              </w:rPr>
              <w:t>CTA does not claim an official passing percentage and does not convert this simulation raw score to an NBCC scaled score. Use the score to locate patterns, not to predict an official result.</w:t>
            </w:r>
          </w:p>
        </w:tc>
      </w:tr>
    </w:tbl>
    <w:p>
      <w:pPr>
        <w:spacing w:after="0"/>
      </w:pPr>
    </w:p>
    <w:p>
      <w:pPr>
        <w:pStyle w:val="Heading1"/>
      </w:pPr>
      <w:r>
        <w:t>Candidate Information</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Field</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Entry</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7"/>
              </w:rPr>
              <w:t>Candidate name</w:t>
            </w:r>
          </w:p>
        </w:tc>
        <w:tc>
          <w:tcPr>
            <w:tcW w:type="dxa" w:w="5141"/>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t>Date Form A completed</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7"/>
              </w:rPr>
              <w:t>Total testing time</w:t>
            </w:r>
          </w:p>
        </w:tc>
        <w:tc>
          <w:tcPr>
            <w:tcW w:type="dxa" w:w="5141"/>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t>Raw score</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t>____ / 143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7"/>
              </w:rPr>
              <w:t>Unanswered items</w:t>
            </w:r>
          </w:p>
        </w:tc>
        <w:tc>
          <w:tcPr>
            <w:tcW w:type="dxa" w:w="5141"/>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t>Highest-confidence cases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7"/>
              </w:rPr>
              <w:t>Lowest-confidence cases</w:t>
            </w:r>
          </w:p>
        </w:tc>
        <w:tc>
          <w:tcPr>
            <w:tcW w:type="dxa" w:w="5141"/>
            <w:tcMar>
              <w:top w:w="55" w:type="dxa"/>
              <w:start w:w="65" w:type="dxa"/>
              <w:bottom w:w="55" w:type="dxa"/>
              <w:end w:w="65" w:type="dxa"/>
            </w:tcMar>
            <w:vAlign w:val="top"/>
          </w:tcPr>
          <w:p>
            <w:pPr>
              <w:pStyle w:val="CTATable"/>
            </w:pPr>
            <w:r>
              <w:rPr>
                <w:rFonts w:ascii="Montserrat" w:hAnsi="Montserrat" w:eastAsia="Montserrat"/>
                <w:sz w:val="17"/>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t>Planned Form B date</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7"/>
              </w:rPr>
            </w:r>
          </w:p>
        </w:tc>
      </w:tr>
    </w:tbl>
    <w:p>
      <w:r>
        <w:br w:type="page"/>
      </w:r>
    </w:p>
    <w:p>
      <w:pPr>
        <w:jc w:val="center"/>
      </w:pPr>
      <w:r>
        <w:rPr>
          <w:rFonts w:ascii="Montserrat" w:hAnsi="Montserrat" w:eastAsia="Montserrat"/>
          <w:b/>
          <w:color w:val="17365D"/>
          <w:sz w:val="36"/>
        </w:rPr>
        <w:t>SECTION 1 - SCORE AND CONFIDENCE REVIEW</w:t>
      </w:r>
    </w:p>
    <w:p>
      <w:pPr>
        <w:jc w:val="center"/>
      </w:pPr>
      <w:r>
        <w:rPr>
          <w:rFonts w:ascii="Montserrat" w:hAnsi="Montserrat" w:eastAsia="Montserrat"/>
          <w:i/>
          <w:color w:val="159C9C"/>
          <w:sz w:val="21"/>
        </w:rPr>
        <w:t>Begin with facts before interpreting performance.</w:t>
      </w:r>
    </w:p>
    <w:p>
      <w:pPr>
        <w:pStyle w:val="Heading1"/>
      </w:pPr>
      <w:r>
        <w:t>1. Overall Score Snapshot</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3427"/>
        <w:gridCol w:w="3427"/>
        <w:gridCol w:w="3427"/>
      </w:tblGrid>
      <w:tr>
        <w:trPr>
          <w:tblHeader w:val="true"/>
        </w:trPr>
        <w:tc>
          <w:tcPr>
            <w:tcW w:type="dxa" w:w="3427"/>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Measure</w:t>
            </w:r>
          </w:p>
        </w:tc>
        <w:tc>
          <w:tcPr>
            <w:tcW w:type="dxa" w:w="3427"/>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Result</w:t>
            </w:r>
          </w:p>
        </w:tc>
        <w:tc>
          <w:tcPr>
            <w:tcW w:type="dxa" w:w="3427"/>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What It Suggests</w:t>
            </w:r>
          </w:p>
        </w:tc>
      </w:tr>
      <w:tr>
        <w:tc>
          <w:tcPr>
            <w:tcW w:type="dxa" w:w="3427"/>
            <w:tcMar>
              <w:top w:w="55" w:type="dxa"/>
              <w:start w:w="65" w:type="dxa"/>
              <w:bottom w:w="55" w:type="dxa"/>
              <w:end w:w="65" w:type="dxa"/>
            </w:tcMar>
            <w:vAlign w:val="top"/>
          </w:tcPr>
          <w:p>
            <w:pPr>
              <w:pStyle w:val="CTATable"/>
            </w:pPr>
            <w:r>
              <w:rPr>
                <w:rFonts w:ascii="Montserrat" w:hAnsi="Montserrat" w:eastAsia="Montserrat"/>
                <w:sz w:val="16"/>
              </w:rPr>
              <w:t>Raw score</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____ / 143</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Overall accuracy only; do not interpret in isolation.</w:t>
            </w:r>
          </w:p>
        </w:tc>
      </w:tr>
      <w:tr>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High-confidence correct</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____</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Likely stable knowledge and reasoning.</w:t>
            </w:r>
          </w:p>
        </w:tc>
      </w:tr>
      <w:tr>
        <w:tc>
          <w:tcPr>
            <w:tcW w:type="dxa" w:w="3427"/>
            <w:tcMar>
              <w:top w:w="55" w:type="dxa"/>
              <w:start w:w="65" w:type="dxa"/>
              <w:bottom w:w="55" w:type="dxa"/>
              <w:end w:w="65" w:type="dxa"/>
            </w:tcMar>
            <w:vAlign w:val="top"/>
          </w:tcPr>
          <w:p>
            <w:pPr>
              <w:pStyle w:val="CTATable"/>
            </w:pPr>
            <w:r>
              <w:rPr>
                <w:rFonts w:ascii="Montserrat" w:hAnsi="Montserrat" w:eastAsia="Montserrat"/>
                <w:sz w:val="16"/>
              </w:rPr>
              <w:t>Low-confidence correct</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____</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Correct outcome with fragile reasoning; still remediate.</w:t>
            </w:r>
          </w:p>
        </w:tc>
      </w:tr>
      <w:tr>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High-confidence incorrect</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____</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Potential misconception or habitual reasoning error.</w:t>
            </w:r>
          </w:p>
        </w:tc>
      </w:tr>
      <w:tr>
        <w:tc>
          <w:tcPr>
            <w:tcW w:type="dxa" w:w="3427"/>
            <w:tcMar>
              <w:top w:w="55" w:type="dxa"/>
              <w:start w:w="65" w:type="dxa"/>
              <w:bottom w:w="55" w:type="dxa"/>
              <w:end w:w="65" w:type="dxa"/>
            </w:tcMar>
            <w:vAlign w:val="top"/>
          </w:tcPr>
          <w:p>
            <w:pPr>
              <w:pStyle w:val="CTATable"/>
            </w:pPr>
            <w:r>
              <w:rPr>
                <w:rFonts w:ascii="Montserrat" w:hAnsi="Montserrat" w:eastAsia="Montserrat"/>
                <w:sz w:val="16"/>
              </w:rPr>
              <w:t>Low-confidence incorrect</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____</w:t>
            </w:r>
          </w:p>
        </w:tc>
        <w:tc>
          <w:tcPr>
            <w:tcW w:type="dxa" w:w="3427"/>
            <w:tcMar>
              <w:top w:w="55" w:type="dxa"/>
              <w:start w:w="65" w:type="dxa"/>
              <w:bottom w:w="55" w:type="dxa"/>
              <w:end w:w="65" w:type="dxa"/>
            </w:tcMar>
            <w:vAlign w:val="top"/>
          </w:tcPr>
          <w:p>
            <w:pPr>
              <w:pStyle w:val="CTATable"/>
            </w:pPr>
            <w:r>
              <w:rPr>
                <w:rFonts w:ascii="Montserrat" w:hAnsi="Montserrat" w:eastAsia="Montserrat"/>
                <w:sz w:val="16"/>
              </w:rPr>
              <w:t>Knowledge gap, uncertainty, or distractor vulnerability.</w:t>
            </w:r>
          </w:p>
        </w:tc>
      </w:tr>
      <w:tr>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Unanswered</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____</w:t>
            </w:r>
          </w:p>
        </w:tc>
        <w:tc>
          <w:tcPr>
            <w:tcW w:type="dxa" w:w="3427"/>
            <w:shd w:fill="F3F4F6"/>
            <w:tcMar>
              <w:top w:w="55" w:type="dxa"/>
              <w:start w:w="65" w:type="dxa"/>
              <w:bottom w:w="55" w:type="dxa"/>
              <w:end w:w="65" w:type="dxa"/>
            </w:tcMar>
            <w:vAlign w:val="top"/>
          </w:tcPr>
          <w:p>
            <w:pPr>
              <w:pStyle w:val="CTATable"/>
            </w:pPr>
            <w:r>
              <w:rPr>
                <w:rFonts w:ascii="Montserrat" w:hAnsi="Montserrat" w:eastAsia="Montserrat"/>
                <w:sz w:val="16"/>
              </w:rPr>
              <w:t>Pacing, fatigue, or decision paralysis.</w:t>
            </w:r>
          </w:p>
        </w:tc>
      </w:tr>
    </w:tbl>
    <w:p>
      <w:pPr>
        <w:pStyle w:val="Heading1"/>
      </w:pPr>
      <w:r>
        <w:t>2. Case-Level Performance</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1714"/>
        <w:gridCol w:w="1714"/>
        <w:gridCol w:w="1714"/>
        <w:gridCol w:w="1714"/>
        <w:gridCol w:w="1714"/>
        <w:gridCol w:w="1714"/>
      </w:tblGrid>
      <w:tr>
        <w:trPr>
          <w:tblHeader w:val="true"/>
        </w:trPr>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Case</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Case Focus</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Correct</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Low-Confidence Correct</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Incorrect</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Priority</w:t>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1</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Maya R. - Panic and Avoidance</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2</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Jordan K. - Depression and Suicide Risk</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Eli P. - Psychosis and Substance Effects</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4</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Nadia S. - Trauma and Dissociation</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5</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Marcus D. - Alcohol Withdrawal</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6</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Sofia L. - Adolescent Self-Harm</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7</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Darnell W. - Pain, Opioids, and Depression</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8</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Avery and Sam - IPV and Modality</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9</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Grace T. - Cognitive Change and Exploitation</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10</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Theo B. - ADHD and Accommodation</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11</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Priya N. - Telehealth and Termination</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 / 13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____</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bl>
    <w:p>
      <w:pPr>
        <w:pStyle w:val="Heading1"/>
      </w:pPr>
      <w:r>
        <w:t>3. Performance Pattern Notes</w:t>
      </w:r>
    </w:p>
    <w:p>
      <w:r>
        <w:rPr>
          <w:rFonts w:ascii="Montserrat" w:hAnsi="Montserrat" w:eastAsia="Montserrat"/>
          <w:b/>
          <w:color w:val="17365D"/>
          <w:sz w:val="19"/>
        </w:rPr>
        <w:t>What patterns appeared across cases?</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r>
        <w:rPr>
          <w:rFonts w:ascii="Montserrat" w:hAnsi="Montserrat" w:eastAsia="Montserrat"/>
          <w:b/>
          <w:color w:val="17365D"/>
          <w:sz w:val="19"/>
        </w:rPr>
        <w:t>Which cases felt difficult because of content, and which felt difficult because of sequencing or distractors?</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r>
        <w:br w:type="page"/>
      </w:r>
    </w:p>
    <w:p>
      <w:pPr>
        <w:jc w:val="center"/>
      </w:pPr>
      <w:r>
        <w:rPr>
          <w:rFonts w:ascii="Montserrat" w:hAnsi="Montserrat" w:eastAsia="Montserrat"/>
          <w:b/>
          <w:color w:val="17365D"/>
          <w:sz w:val="36"/>
        </w:rPr>
        <w:t>SECTION 2 - CTA REASONING ERROR TAXONOMY</w:t>
      </w:r>
    </w:p>
    <w:p>
      <w:pPr>
        <w:jc w:val="center"/>
      </w:pPr>
      <w:r>
        <w:rPr>
          <w:rFonts w:ascii="Montserrat" w:hAnsi="Montserrat" w:eastAsia="Montserrat"/>
          <w:i/>
          <w:color w:val="159C9C"/>
          <w:sz w:val="21"/>
        </w:rPr>
        <w:t>Name the error precisely so the repair matches the problem.</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2570"/>
        <w:gridCol w:w="2570"/>
        <w:gridCol w:w="2570"/>
        <w:gridCol w:w="2570"/>
      </w:tblGrid>
      <w:tr>
        <w:trPr>
          <w:tblHeader w:val="true"/>
        </w:trPr>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Code</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Error</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Description</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Repair Rule</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E1</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Qualifier Error</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Missed FIRST, NEXT, BEST, MOST, EXCEPT, or priority language.</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Underline the qualifier; answer the exact task.</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E2</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Evidence Omission</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Ignored a key fact, timing clue, risk marker, or change in presentation.</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Build an evidence ledger before selecting an answer.</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E3</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Premature Action</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Selected treatment, diagnosis, disclosure, or referral before required assessment.</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Ask what must be known or done before this option is safe.</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E4</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Safety/Urgency Error</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Failed to prioritize imminent danger, medical instability, abuse, withdrawal, or level of care.</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Safety and medical/legal urgency control the sequence.</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E5</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Diagnostic Overreach</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Chose certainty not supported by duration, differential, or rule-outs.</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Use the narrowest defensible working formulation.</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E6</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Scope/Competence Error</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Selected an action beyond LPCC scope, training, role, or jurisdiction.</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Consult, coordinate, or refer while preserving continuity.</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E7</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Ethics/Legal Error</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Confused consent, confidentiality, privilege, reporting, records, telehealth, or duty.</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Identify controlling authority and disclose only what is permitted or required.</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E8</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Intervention-Fit Error</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Chose a technique without matching readiness, culture, preference, mechanism, or contraindications.</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Select for formulation and fit, not familiarity.</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E9</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Alliance/Culture Error</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Used assumptions, avoidance, confrontation, or counselor-centered priorities.</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Broach respectfully, validate, collaborate, and repair.</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E10</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Measurement Error</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Failed to monitor symptoms, functioning, safety, adherence, or response.</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Use repeated relevant data and revise when progress stalls.</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4"/>
              </w:rPr>
              <w:t>E11</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Referral/Continuity Error</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Referred abruptly, delayed needed coordination, or omitted a warm handoff.</w:t>
            </w:r>
          </w:p>
        </w:tc>
        <w:tc>
          <w:tcPr>
            <w:tcW w:type="dxa" w:w="2570"/>
            <w:tcMar>
              <w:top w:w="55" w:type="dxa"/>
              <w:start w:w="65" w:type="dxa"/>
              <w:bottom w:w="55" w:type="dxa"/>
              <w:end w:w="65" w:type="dxa"/>
            </w:tcMar>
            <w:vAlign w:val="top"/>
          </w:tcPr>
          <w:p>
            <w:pPr>
              <w:pStyle w:val="CTATable"/>
            </w:pPr>
            <w:r>
              <w:rPr>
                <w:rFonts w:ascii="Montserrat" w:hAnsi="Montserrat" w:eastAsia="Montserrat"/>
                <w:sz w:val="14"/>
              </w:rPr>
              <w:t>Match level of care and protect continuity.</w:t>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E12</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Distractor Attraction</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Selected an absolute, dramatic, overly broad, or partly true response.</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4"/>
              </w:rPr>
              <w:t>Choose the most precise, proportionate, and well-sequenced option.</w:t>
            </w:r>
          </w:p>
        </w:tc>
      </w:tr>
    </w:tbl>
    <w:p>
      <w:pPr>
        <w:pStyle w:val="Heading1"/>
      </w:pPr>
      <w:r>
        <w:t>My Three Most Frequent Errors</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2570"/>
        <w:gridCol w:w="2570"/>
        <w:gridCol w:w="2570"/>
        <w:gridCol w:w="2570"/>
      </w:tblGrid>
      <w:tr>
        <w:trPr>
          <w:tblHeader w:val="true"/>
        </w:trPr>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Rank</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Error Code</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Evidence From Form A</w:t>
            </w:r>
          </w:p>
        </w:tc>
        <w:tc>
          <w:tcPr>
            <w:tcW w:type="dxa" w:w="2570"/>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Repair Commitment</w:t>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6"/>
              </w:rPr>
              <w:t>1</w:t>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2570"/>
            <w:shd w:fill="F3F4F6"/>
            <w:tcMar>
              <w:top w:w="55" w:type="dxa"/>
              <w:start w:w="65" w:type="dxa"/>
              <w:bottom w:w="55" w:type="dxa"/>
              <w:end w:w="65" w:type="dxa"/>
            </w:tcMar>
            <w:vAlign w:val="top"/>
          </w:tcPr>
          <w:p>
            <w:pPr>
              <w:pStyle w:val="CTATable"/>
            </w:pPr>
            <w:r>
              <w:rPr>
                <w:rFonts w:ascii="Montserrat" w:hAnsi="Montserrat" w:eastAsia="Montserrat"/>
                <w:sz w:val="16"/>
              </w:rPr>
              <w:t>2</w:t>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2570"/>
            <w:tcMar>
              <w:top w:w="55" w:type="dxa"/>
              <w:start w:w="65" w:type="dxa"/>
              <w:bottom w:w="55" w:type="dxa"/>
              <w:end w:w="65" w:type="dxa"/>
            </w:tcMar>
            <w:vAlign w:val="top"/>
          </w:tcPr>
          <w:p>
            <w:pPr>
              <w:pStyle w:val="CTATable"/>
            </w:pPr>
            <w:r>
              <w:rPr>
                <w:rFonts w:ascii="Montserrat" w:hAnsi="Montserrat" w:eastAsia="Montserrat"/>
                <w:sz w:val="16"/>
              </w:rPr>
              <w:t>3</w:t>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c>
          <w:tcPr>
            <w:tcW w:type="dxa" w:w="2570"/>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jc w:val="center"/>
      </w:pPr>
      <w:r>
        <w:rPr>
          <w:rFonts w:ascii="Montserrat" w:hAnsi="Montserrat" w:eastAsia="Montserrat"/>
          <w:b/>
          <w:color w:val="17365D"/>
          <w:sz w:val="36"/>
        </w:rPr>
        <w:t>SECTION 3 - ITEM-BY-ITEM REMEDIATION LOG</w:t>
      </w:r>
    </w:p>
    <w:p>
      <w:pPr>
        <w:jc w:val="center"/>
      </w:pPr>
      <w:r>
        <w:rPr>
          <w:rFonts w:ascii="Montserrat" w:hAnsi="Montserrat" w:eastAsia="Montserrat"/>
          <w:i/>
          <w:color w:val="159C9C"/>
          <w:sz w:val="21"/>
        </w:rPr>
        <w:t>Complete one row for every missed or low-confidence item.</w:t>
      </w:r>
    </w:p>
    <w:tbl>
      <w:tblPr>
        <w:tblW w:type="auto" w:w="0"/>
        <w:jc w:val="center"/>
        <w:tblLook w:firstColumn="1" w:firstRow="1" w:lastColumn="0" w:lastRow="0" w:noHBand="0" w:noVBand="1" w:val="04A0"/>
        <w:tblBorders>
          <w:top w:val="single" w:sz="4" w:color="EAF6F6"/>
          <w:left w:val="single" w:sz="4" w:color="EAF6F6"/>
          <w:bottom w:val="single" w:sz="4" w:color="EAF6F6"/>
          <w:right w:val="single" w:sz="4" w:color="EAF6F6"/>
          <w:insideH w:val="single" w:sz="4" w:color="EAF6F6"/>
          <w:insideV w:val="single" w:sz="4" w:color="EAF6F6"/>
        </w:tblBorders>
      </w:tblPr>
      <w:tblGrid>
        <w:gridCol w:w="10282"/>
      </w:tblGrid>
      <w:tr>
        <w:tc>
          <w:tcPr>
            <w:tcW w:type="dxa" w:w="10282"/>
            <w:shd w:fill="EAF6F6"/>
            <w:tcMar>
              <w:top w:w="100" w:type="dxa"/>
              <w:start w:w="120" w:type="dxa"/>
              <w:bottom w:w="100" w:type="dxa"/>
              <w:end w:w="120" w:type="dxa"/>
            </w:tcMar>
          </w:tcPr>
          <w:p>
            <w:r>
              <w:rPr>
                <w:rFonts w:ascii="Montserrat" w:hAnsi="Montserrat" w:eastAsia="Montserrat"/>
                <w:b/>
                <w:color w:val="17365D"/>
                <w:sz w:val="20"/>
              </w:rPr>
              <w:t>MINIMUM STANDARD</w:t>
              <w:br/>
            </w:r>
            <w:r>
              <w:rPr>
                <w:rFonts w:ascii="Montserrat" w:hAnsi="Montserrat" w:eastAsia="Montserrat"/>
                <w:color w:val="222222"/>
                <w:sz w:val="18"/>
              </w:rPr>
              <w:t>A correct answer with weak reasoning is not fully mastered. Include low-confidence correct items when the rationale reveals guessing, incomplete evidence use, or an unsafe rule.</w:t>
            </w:r>
          </w:p>
        </w:tc>
      </w:tr>
    </w:tbl>
    <w:p>
      <w:pPr>
        <w:spacing w:after="0"/>
      </w:pPr>
    </w:p>
    <w:p>
      <w:pPr>
        <w:pStyle w:val="Heading1"/>
      </w:pPr>
      <w:r>
        <w:t>Remediation Log - Block 1</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1469"/>
        <w:gridCol w:w="1469"/>
        <w:gridCol w:w="1469"/>
        <w:gridCol w:w="1469"/>
        <w:gridCol w:w="1469"/>
        <w:gridCol w:w="1469"/>
        <w:gridCol w:w="1469"/>
      </w:tblGrid>
      <w:tr>
        <w:trPr>
          <w:tblHeader w:val="true"/>
        </w:trPr>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Q</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Case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Answer / Correct</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Confidence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Error Code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Controlling Clue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Corrected Decision Rule</w:t>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bl>
    <w:p>
      <w:r>
        <w:br w:type="page"/>
      </w:r>
    </w:p>
    <w:p>
      <w:pPr>
        <w:pStyle w:val="Heading1"/>
      </w:pPr>
      <w:r>
        <w:t>Remediation Log - Block 2</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1469"/>
        <w:gridCol w:w="1469"/>
        <w:gridCol w:w="1469"/>
        <w:gridCol w:w="1469"/>
        <w:gridCol w:w="1469"/>
        <w:gridCol w:w="1469"/>
        <w:gridCol w:w="1469"/>
      </w:tblGrid>
      <w:tr>
        <w:trPr>
          <w:tblHeader w:val="true"/>
        </w:trPr>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Q</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Case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Answer / Correct</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Confidence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Error Code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Controlling Clue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Corrected Decision Rule</w:t>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bl>
    <w:p>
      <w:r>
        <w:br w:type="page"/>
      </w:r>
    </w:p>
    <w:p>
      <w:pPr>
        <w:pStyle w:val="Heading1"/>
      </w:pPr>
      <w:r>
        <w:t>Remediation Log - Block 3</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1469"/>
        <w:gridCol w:w="1469"/>
        <w:gridCol w:w="1469"/>
        <w:gridCol w:w="1469"/>
        <w:gridCol w:w="1469"/>
        <w:gridCol w:w="1469"/>
        <w:gridCol w:w="1469"/>
      </w:tblGrid>
      <w:tr>
        <w:trPr>
          <w:tblHeader w:val="true"/>
        </w:trPr>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Q</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Case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Answer / Correct</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Confidence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Error Code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Controlling Clue</w:t>
            </w:r>
          </w:p>
        </w:tc>
        <w:tc>
          <w:tcPr>
            <w:tcW w:type="dxa" w:w="1469"/>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Corrected Decision Rule</w:t>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tcMar>
              <w:top w:w="55" w:type="dxa"/>
              <w:start w:w="65" w:type="dxa"/>
              <w:bottom w:w="55" w:type="dxa"/>
              <w:end w:w="65" w:type="dxa"/>
            </w:tcMar>
            <w:vAlign w:val="top"/>
          </w:tcPr>
          <w:p>
            <w:pPr>
              <w:pStyle w:val="CTATable"/>
            </w:pPr>
            <w:r>
              <w:rPr>
                <w:rFonts w:ascii="Montserrat" w:hAnsi="Montserrat" w:eastAsia="Montserrat"/>
                <w:sz w:val="13"/>
              </w:rPr>
            </w:r>
          </w:p>
        </w:tc>
      </w:tr>
      <w:tr>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c>
          <w:tcPr>
            <w:tcW w:type="dxa" w:w="1469"/>
            <w:shd w:fill="F3F4F6"/>
            <w:tcMar>
              <w:top w:w="55" w:type="dxa"/>
              <w:start w:w="65" w:type="dxa"/>
              <w:bottom w:w="55" w:type="dxa"/>
              <w:end w:w="65" w:type="dxa"/>
            </w:tcMar>
            <w:vAlign w:val="top"/>
          </w:tcPr>
          <w:p>
            <w:pPr>
              <w:pStyle w:val="CTATable"/>
            </w:pPr>
            <w:r>
              <w:rPr>
                <w:rFonts w:ascii="Montserrat" w:hAnsi="Montserrat" w:eastAsia="Montserrat"/>
                <w:sz w:val="13"/>
              </w:rPr>
            </w:r>
          </w:p>
        </w:tc>
      </w:tr>
    </w:tbl>
    <w:p>
      <w:r>
        <w:br w:type="page"/>
      </w:r>
    </w:p>
    <w:p>
      <w:pPr>
        <w:jc w:val="center"/>
      </w:pPr>
      <w:r>
        <w:rPr>
          <w:rFonts w:ascii="Montserrat" w:hAnsi="Montserrat" w:eastAsia="Montserrat"/>
          <w:b/>
          <w:color w:val="17365D"/>
          <w:sz w:val="36"/>
        </w:rPr>
        <w:t>SECTION 4 - CORRECTED DECISION RULE BUILDER</w:t>
      </w:r>
    </w:p>
    <w:p>
      <w:pPr>
        <w:jc w:val="center"/>
      </w:pPr>
      <w:r>
        <w:rPr>
          <w:rFonts w:ascii="Montserrat" w:hAnsi="Montserrat" w:eastAsia="Montserrat"/>
          <w:i/>
          <w:color w:val="159C9C"/>
          <w:sz w:val="21"/>
        </w:rPr>
        <w:t>Turn rationales into portable rules that transfer to new cases.</w:t>
      </w:r>
    </w:p>
    <w:p>
      <w:pPr>
        <w:pStyle w:val="Heading2"/>
      </w:pPr>
      <w:r>
        <w:t>Rule 1 - Safety and Medical Urgency</w:t>
      </w:r>
    </w:p>
    <w:p>
      <w:r>
        <w:rPr>
          <w:rFonts w:ascii="Montserrat" w:hAnsi="Montserrat" w:eastAsia="Montserrat"/>
          <w:color w:val="222222"/>
          <w:sz w:val="18"/>
        </w:rPr>
        <w:t>When a case includes signs of imminent danger, medical instability, severe withdrawal, delirium, acute psychosis, or inability to maintain safety, what must happen before routine outpatient treatment?</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2 - Assessment Before Action</w:t>
      </w:r>
    </w:p>
    <w:p>
      <w:r>
        <w:rPr>
          <w:rFonts w:ascii="Montserrat" w:hAnsi="Montserrat" w:eastAsia="Montserrat"/>
          <w:color w:val="222222"/>
          <w:sz w:val="18"/>
        </w:rPr>
        <w:t>What information must be clarified before selecting a diagnosis, intervention, disclosure, or level of care?</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3 - Diagnostic Restraint</w:t>
      </w:r>
    </w:p>
    <w:p>
      <w:r>
        <w:rPr>
          <w:rFonts w:ascii="Montserrat" w:hAnsi="Montserrat" w:eastAsia="Montserrat"/>
          <w:color w:val="222222"/>
          <w:sz w:val="18"/>
        </w:rPr>
        <w:t>How will you preserve uncertainty when duration, substances, medication effects, medical causes, or longitudinal history remain incomplete?</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4 - Culture and Alliance</w:t>
      </w:r>
    </w:p>
    <w:p>
      <w:r>
        <w:rPr>
          <w:rFonts w:ascii="Montserrat" w:hAnsi="Montserrat" w:eastAsia="Montserrat"/>
          <w:color w:val="222222"/>
          <w:sz w:val="18"/>
        </w:rPr>
        <w:t>How will you respond when identity, stigma, language, mistrust, family meaning, disability, or power affects engagement?</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5 - Scope, Ethics, and Law</w:t>
      </w:r>
    </w:p>
    <w:p>
      <w:r>
        <w:rPr>
          <w:rFonts w:ascii="Montserrat" w:hAnsi="Montserrat" w:eastAsia="Montserrat"/>
          <w:color w:val="222222"/>
          <w:sz w:val="18"/>
        </w:rPr>
        <w:t>How will you identify when to consult, refer, obtain authorization, report, protect confidentiality, or verify jurisdiction?</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6 - Treatment Fit</w:t>
      </w:r>
    </w:p>
    <w:p>
      <w:r>
        <w:rPr>
          <w:rFonts w:ascii="Montserrat" w:hAnsi="Montserrat" w:eastAsia="Montserrat"/>
          <w:color w:val="222222"/>
          <w:sz w:val="18"/>
        </w:rPr>
        <w:t>How will you match intervention to formulation, readiness, preference, evidence, access, and contraindications?</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7 - Measurement and Nonresponse</w:t>
      </w:r>
    </w:p>
    <w:p>
      <w:r>
        <w:rPr>
          <w:rFonts w:ascii="Montserrat" w:hAnsi="Montserrat" w:eastAsia="Montserrat"/>
          <w:color w:val="222222"/>
          <w:sz w:val="18"/>
        </w:rPr>
        <w:t>What will you monitor, and what will you reassess before changing treatment?</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Heading2"/>
      </w:pPr>
      <w:r>
        <w:t>Rule 8 - Referral and Continuity</w:t>
      </w:r>
    </w:p>
    <w:p>
      <w:r>
        <w:rPr>
          <w:rFonts w:ascii="Montserrat" w:hAnsi="Montserrat" w:eastAsia="Montserrat"/>
          <w:color w:val="222222"/>
          <w:sz w:val="18"/>
        </w:rPr>
        <w:t>How will you make referrals clinically useful rather than administrative handoffs?</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r>
        <w:br w:type="page"/>
      </w:r>
    </w:p>
    <w:p>
      <w:pPr>
        <w:jc w:val="center"/>
      </w:pPr>
      <w:r>
        <w:rPr>
          <w:rFonts w:ascii="Montserrat" w:hAnsi="Montserrat" w:eastAsia="Montserrat"/>
          <w:b/>
          <w:color w:val="17365D"/>
          <w:sz w:val="36"/>
        </w:rPr>
        <w:t>SECTION 5 - CASE RE-APPLICATION PAGES</w:t>
      </w:r>
    </w:p>
    <w:p>
      <w:pPr>
        <w:jc w:val="center"/>
      </w:pPr>
      <w:r>
        <w:rPr>
          <w:rFonts w:ascii="Montserrat" w:hAnsi="Montserrat" w:eastAsia="Montserrat"/>
          <w:i/>
          <w:color w:val="159C9C"/>
          <w:sz w:val="21"/>
        </w:rPr>
        <w:t>Explain the case without relying on the original answer letters.</w:t>
      </w:r>
    </w:p>
    <w:p>
      <w:pPr>
        <w:pStyle w:val="Heading1"/>
      </w:pPr>
      <w:r>
        <w:t>Case 1 - Panic and Avoidance</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medical/substance rule-out, panic formulation, exposure readiness, stigma, telehealth</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pPr>
        <w:pStyle w:val="Heading1"/>
      </w:pPr>
      <w:r>
        <w:t>Case 2 - Depression and Suicide Risk</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direct risk assessment, means safety, outpatient versus emergency care, affirming practice</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pStyle w:val="Heading1"/>
      </w:pPr>
      <w:r>
        <w:t>Case 3 - Psychosis and Substance Effects</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violence risk, weapons, intoxication, sleep, urgent psychiatric/medical evaluation</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pPr>
        <w:pStyle w:val="Heading1"/>
      </w:pPr>
      <w:r>
        <w:t>Case 4 - Trauma and Dissociation</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interpreter confidentiality, stabilization, dissociation, pacing, client choice</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pStyle w:val="Heading1"/>
      </w:pPr>
      <w:r>
        <w:t>Case 5 - Alcohol Withdrawal</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seizure history, medical urgency, scope, integrated addiction care</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pPr>
        <w:pStyle w:val="Heading1"/>
      </w:pPr>
      <w:r>
        <w:t>Case 6 - Adolescent Self-Harm</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NSSI versus suicide, minor confidentiality, family work, safety planning</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pStyle w:val="Heading1"/>
      </w:pPr>
      <w:r>
        <w:t>Case 7 - Pain, Opioids, and Depression</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overdose risk, medical mistrust, integrated care, collaborative releases</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pPr>
        <w:pStyle w:val="Heading1"/>
      </w:pPr>
      <w:r>
        <w:t>Case 8 - IPV and Modality</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separate screening, coercive control, conjoint contraindications, conflicts</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pStyle w:val="Heading1"/>
      </w:pPr>
      <w:r>
        <w:t>Case 9 - Cognitive Change and Exploitation</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capacity, hearing/medical factors, elder reporting, autonomy</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pPr>
        <w:pStyle w:val="Heading1"/>
      </w:pPr>
      <w:r>
        <w:t>Case 10 - ADHD and Accommodation</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developmental evidence, confounds, assessment limits, documentation</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pStyle w:val="Heading1"/>
      </w:pPr>
      <w:r>
        <w:t>Case 11 - Telehealth and Termination</w:t>
      </w:r>
    </w:p>
    <w:tbl>
      <w:tblPr>
        <w:tblW w:type="auto" w:w="0"/>
        <w:jc w:val="center"/>
        <w:tblLook w:firstColumn="1" w:firstRow="1" w:lastColumn="0" w:lastRow="0" w:noHBand="0" w:noVBand="1" w:val="04A0"/>
        <w:tblBorders>
          <w:top w:val="single" w:sz="4" w:color="EAF0F8"/>
          <w:left w:val="single" w:sz="4" w:color="EAF0F8"/>
          <w:bottom w:val="single" w:sz="4" w:color="EAF0F8"/>
          <w:right w:val="single" w:sz="4" w:color="EAF0F8"/>
          <w:insideH w:val="single" w:sz="4" w:color="EAF0F8"/>
          <w:insideV w:val="single" w:sz="4" w:color="EAF0F8"/>
        </w:tblBorders>
      </w:tblPr>
      <w:tblGrid>
        <w:gridCol w:w="10282"/>
      </w:tblGrid>
      <w:tr>
        <w:tc>
          <w:tcPr>
            <w:tcW w:type="dxa" w:w="10282"/>
            <w:shd w:fill="EAF0F8"/>
            <w:tcMar>
              <w:top w:w="100" w:type="dxa"/>
              <w:start w:w="120" w:type="dxa"/>
              <w:bottom w:w="100" w:type="dxa"/>
              <w:end w:w="120" w:type="dxa"/>
            </w:tcMar>
          </w:tcPr>
          <w:p>
            <w:r>
              <w:rPr>
                <w:rFonts w:ascii="Montserrat" w:hAnsi="Montserrat" w:eastAsia="Montserrat"/>
                <w:b/>
                <w:color w:val="17365D"/>
                <w:sz w:val="20"/>
              </w:rPr>
              <w:t>HIGH-YIELD FOCUS</w:t>
              <w:br/>
            </w:r>
            <w:r>
              <w:rPr>
                <w:rFonts w:ascii="Montserrat" w:hAnsi="Montserrat" w:eastAsia="Montserrat"/>
                <w:color w:val="222222"/>
                <w:sz w:val="18"/>
              </w:rPr>
              <w:t>location, jurisdiction, AI privacy, records, continuity</w:t>
            </w:r>
          </w:p>
        </w:tc>
      </w:tr>
    </w:tbl>
    <w:p>
      <w:pPr>
        <w:spacing w:after="0"/>
      </w:pP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5141"/>
        <w:gridCol w:w="5141"/>
      </w:tblGrid>
      <w:tr>
        <w:trPr>
          <w:tblHeader w:val="true"/>
        </w:trPr>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Prompt</w:t>
            </w:r>
          </w:p>
        </w:tc>
        <w:tc>
          <w:tcPr>
            <w:tcW w:type="dxa" w:w="5141"/>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My Re-Application</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Controlling issue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Three decisive facts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1.</w:t>
              <w:br/>
              <w:t>2.</w:t>
              <w:br/>
              <w:t>3.</w:t>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What comes FIRST and why</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Most likely distractor and why it fails</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tcMar>
              <w:top w:w="55" w:type="dxa"/>
              <w:start w:w="65" w:type="dxa"/>
              <w:bottom w:w="55" w:type="dxa"/>
              <w:end w:w="65" w:type="dxa"/>
            </w:tcMar>
            <w:vAlign w:val="top"/>
          </w:tcPr>
          <w:p>
            <w:pPr>
              <w:pStyle w:val="CTATable"/>
            </w:pPr>
            <w:r>
              <w:rPr>
                <w:rFonts w:ascii="Montserrat" w:hAnsi="Montserrat" w:eastAsia="Montserrat"/>
                <w:sz w:val="16"/>
              </w:rPr>
              <w:t>One corrected decision rule</w:t>
            </w:r>
          </w:p>
        </w:tc>
        <w:tc>
          <w:tcPr>
            <w:tcW w:type="dxa" w:w="5141"/>
            <w:tcMar>
              <w:top w:w="55" w:type="dxa"/>
              <w:start w:w="65" w:type="dxa"/>
              <w:bottom w:w="55" w:type="dxa"/>
              <w:end w:w="65" w:type="dxa"/>
            </w:tcMar>
            <w:vAlign w:val="top"/>
          </w:tcPr>
          <w:p>
            <w:pPr>
              <w:pStyle w:val="CTATable"/>
            </w:pPr>
            <w:r>
              <w:rPr>
                <w:rFonts w:ascii="Montserrat" w:hAnsi="Montserrat" w:eastAsia="Montserrat"/>
                <w:sz w:val="16"/>
              </w:rPr>
            </w:r>
          </w:p>
        </w:tc>
      </w:tr>
      <w:tr>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t>Workbook/tool to revisit</w:t>
            </w:r>
          </w:p>
        </w:tc>
        <w:tc>
          <w:tcPr>
            <w:tcW w:type="dxa" w:w="5141"/>
            <w:shd w:fill="F3F4F6"/>
            <w:tcMar>
              <w:top w:w="55" w:type="dxa"/>
              <w:start w:w="65" w:type="dxa"/>
              <w:bottom w:w="55" w:type="dxa"/>
              <w:end w:w="65" w:type="dxa"/>
            </w:tcMar>
            <w:vAlign w:val="top"/>
          </w:tcPr>
          <w:p>
            <w:pPr>
              <w:pStyle w:val="CTATable"/>
            </w:pPr>
            <w:r>
              <w:rPr>
                <w:rFonts w:ascii="Montserrat" w:hAnsi="Montserrat" w:eastAsia="Montserrat"/>
                <w:sz w:val="16"/>
              </w:rPr>
            </w:r>
          </w:p>
        </w:tc>
      </w:tr>
    </w:tbl>
    <w:p>
      <w:r>
        <w:br w:type="page"/>
      </w:r>
    </w:p>
    <w:p>
      <w:pPr>
        <w:jc w:val="center"/>
      </w:pPr>
      <w:r>
        <w:rPr>
          <w:rFonts w:ascii="Montserrat" w:hAnsi="Montserrat" w:eastAsia="Montserrat"/>
          <w:b/>
          <w:color w:val="17365D"/>
          <w:sz w:val="36"/>
        </w:rPr>
        <w:t>SECTION 6 - TARGETED REMEDIATION PLAN</w:t>
      </w:r>
    </w:p>
    <w:p>
      <w:pPr>
        <w:jc w:val="center"/>
      </w:pPr>
      <w:r>
        <w:rPr>
          <w:rFonts w:ascii="Montserrat" w:hAnsi="Montserrat" w:eastAsia="Montserrat"/>
          <w:i/>
          <w:color w:val="159C9C"/>
          <w:sz w:val="21"/>
        </w:rPr>
        <w:t>Use the smallest effective plan that repairs the actual gaps.</w:t>
      </w:r>
    </w:p>
    <w:p>
      <w:pPr>
        <w:pStyle w:val="Heading1"/>
      </w:pPr>
      <w:r>
        <w:t>1. Workbook and Tool Revisit Map</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1714"/>
        <w:gridCol w:w="1714"/>
        <w:gridCol w:w="1714"/>
        <w:gridCol w:w="1714"/>
        <w:gridCol w:w="1714"/>
        <w:gridCol w:w="1714"/>
      </w:tblGrid>
      <w:tr>
        <w:trPr>
          <w:tblHeader w:val="true"/>
        </w:trPr>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WB</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Topic</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Review</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Redo Bank Items</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Rule Learned</w:t>
            </w:r>
          </w:p>
        </w:tc>
        <w:tc>
          <w:tcPr>
            <w:tcW w:type="dxa" w:w="1714"/>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Date</w:t>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WB1</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NCMHCE Strategy and Applied Counselor Reasoning</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WB2</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LPCC Identity, Scope, Competence, and Self-Awareness</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WB3</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Intake, Consent, Interviewing, MSE, and Assessment</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WB4</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Crisis, Trauma, Abuse, Violence, and Level of Care</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WB5</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Differential Diagnosis I</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WB6</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Differential Diagnosis II</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WB7</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Conceptualization, Planning, Measurement, and Termination</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WB8</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Theories, Alliance, and Core Skills</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WB9</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Evidence-Based and Evidence-Informed Interventions</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WB10</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Multicultural, Developmental, Career, Spiritual, and Disability</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tcMar>
              <w:top w:w="55" w:type="dxa"/>
              <w:start w:w="65" w:type="dxa"/>
              <w:bottom w:w="55" w:type="dxa"/>
              <w:end w:w="65" w:type="dxa"/>
            </w:tcMar>
            <w:vAlign w:val="top"/>
          </w:tcPr>
          <w:p>
            <w:pPr>
              <w:pStyle w:val="CTATable"/>
            </w:pPr>
            <w:r>
              <w:rPr>
                <w:rFonts w:ascii="Montserrat" w:hAnsi="Montserrat" w:eastAsia="Montserrat"/>
                <w:sz w:val="14"/>
              </w:rPr>
              <w:t>WB11</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Modalities, Referral, Continuity, and Collaboration</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tcMar>
              <w:top w:w="55" w:type="dxa"/>
              <w:start w:w="65" w:type="dxa"/>
              <w:bottom w:w="55" w:type="dxa"/>
              <w:end w:w="65" w:type="dxa"/>
            </w:tcMar>
            <w:vAlign w:val="top"/>
          </w:tcPr>
          <w:p>
            <w:pPr>
              <w:pStyle w:val="CTATable"/>
            </w:pPr>
            <w:r>
              <w:rPr>
                <w:rFonts w:ascii="Montserrat" w:hAnsi="Montserrat" w:eastAsia="Montserrat"/>
                <w:sz w:val="14"/>
              </w:rPr>
            </w:r>
          </w:p>
        </w:tc>
      </w:tr>
      <w:tr>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WB12</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California Legal, Ethical, Documentation, Technology, and Practice</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t>[ ]</w:t>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c>
          <w:tcPr>
            <w:tcW w:type="dxa" w:w="1714"/>
            <w:shd w:fill="F3F4F6"/>
            <w:tcMar>
              <w:top w:w="55" w:type="dxa"/>
              <w:start w:w="65" w:type="dxa"/>
              <w:bottom w:w="55" w:type="dxa"/>
              <w:end w:w="65" w:type="dxa"/>
            </w:tcMar>
            <w:vAlign w:val="top"/>
          </w:tcPr>
          <w:p>
            <w:pPr>
              <w:pStyle w:val="CTATable"/>
            </w:pPr>
            <w:r>
              <w:rPr>
                <w:rFonts w:ascii="Montserrat" w:hAnsi="Montserrat" w:eastAsia="Montserrat"/>
                <w:sz w:val="14"/>
              </w:rPr>
            </w:r>
          </w:p>
        </w:tc>
      </w:tr>
    </w:tbl>
    <w:p>
      <w:pPr>
        <w:pStyle w:val="Heading1"/>
      </w:pPr>
      <w:r>
        <w:t>2. Seven-Day Repair Schedule</w:t>
      </w:r>
    </w:p>
    <w:tbl>
      <w:tblPr>
        <w:tblW w:type="auto" w:w="0"/>
        <w:jc w:val="center"/>
        <w:tblLayout w:type="autofit"/>
        <w:tblLook w:firstColumn="1" w:firstRow="1" w:lastColumn="0" w:lastRow="0" w:noHBand="0" w:noVBand="1" w:val="04A0"/>
        <w:tblBorders>
          <w:top w:val="single" w:sz="4" w:color="B7BDC7"/>
          <w:left w:val="single" w:sz="4" w:color="B7BDC7"/>
          <w:bottom w:val="single" w:sz="4" w:color="B7BDC7"/>
          <w:right w:val="single" w:sz="4" w:color="B7BDC7"/>
          <w:insideH w:val="single" w:sz="4" w:color="B7BDC7"/>
          <w:insideV w:val="single" w:sz="4" w:color="B7BDC7"/>
        </w:tblBorders>
      </w:tblPr>
      <w:tblGrid>
        <w:gridCol w:w="2056"/>
        <w:gridCol w:w="2056"/>
        <w:gridCol w:w="2056"/>
        <w:gridCol w:w="2056"/>
        <w:gridCol w:w="2056"/>
      </w:tblGrid>
      <w:tr>
        <w:trPr>
          <w:tblHeader w:val="true"/>
        </w:trPr>
        <w:tc>
          <w:tcPr>
            <w:tcW w:type="dxa" w:w="2056"/>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Day</w:t>
            </w:r>
          </w:p>
        </w:tc>
        <w:tc>
          <w:tcPr>
            <w:tcW w:type="dxa" w:w="2056"/>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Focus</w:t>
            </w:r>
          </w:p>
        </w:tc>
        <w:tc>
          <w:tcPr>
            <w:tcW w:type="dxa" w:w="2056"/>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Assigned Material</w:t>
            </w:r>
          </w:p>
        </w:tc>
        <w:tc>
          <w:tcPr>
            <w:tcW w:type="dxa" w:w="2056"/>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Evidence of Mastery</w:t>
            </w:r>
          </w:p>
        </w:tc>
        <w:tc>
          <w:tcPr>
            <w:tcW w:type="dxa" w:w="2056"/>
            <w:shd w:fill="17365D"/>
            <w:tcMar>
              <w:top w:w="65" w:type="dxa"/>
              <w:start w:w="70" w:type="dxa"/>
              <w:bottom w:w="65" w:type="dxa"/>
              <w:end w:w="70" w:type="dxa"/>
            </w:tcMar>
            <w:vAlign w:val="center"/>
          </w:tcPr>
          <w:p>
            <w:pPr>
              <w:pStyle w:val="CTATable"/>
            </w:pPr>
            <w:r>
              <w:rPr>
                <w:rFonts w:ascii="Montserrat" w:hAnsi="Montserrat" w:eastAsia="Montserrat"/>
                <w:b/>
                <w:color w:val="FFFFFF"/>
                <w:sz w:val="16"/>
              </w:rPr>
              <w:t>Complete</w:t>
            </w:r>
          </w:p>
        </w:tc>
      </w:tr>
      <w:tr>
        <w:tc>
          <w:tcPr>
            <w:tcW w:type="dxa" w:w="2056"/>
            <w:tcMar>
              <w:top w:w="55" w:type="dxa"/>
              <w:start w:w="65" w:type="dxa"/>
              <w:bottom w:w="55" w:type="dxa"/>
              <w:end w:w="65" w:type="dxa"/>
            </w:tcMar>
            <w:vAlign w:val="top"/>
          </w:tcPr>
          <w:p>
            <w:pPr>
              <w:pStyle w:val="CTATable"/>
            </w:pPr>
            <w:r>
              <w:rPr>
                <w:rFonts w:ascii="Montserrat" w:hAnsi="Montserrat" w:eastAsia="Montserrat"/>
                <w:sz w:val="16"/>
              </w:rPr>
              <w:t>1</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Score and classify errors</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2</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Safety, crisis, and medical urgency</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tcMar>
              <w:top w:w="55" w:type="dxa"/>
              <w:start w:w="65" w:type="dxa"/>
              <w:bottom w:w="55" w:type="dxa"/>
              <w:end w:w="65" w:type="dxa"/>
            </w:tcMar>
            <w:vAlign w:val="top"/>
          </w:tcPr>
          <w:p>
            <w:pPr>
              <w:pStyle w:val="CTATable"/>
            </w:pPr>
            <w:r>
              <w:rPr>
                <w:rFonts w:ascii="Montserrat" w:hAnsi="Montserrat" w:eastAsia="Montserrat"/>
                <w:sz w:val="16"/>
              </w:rPr>
              <w:t>3</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Assessment and diagnosis</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4</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Treatment planning and intervention fit</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tcMar>
              <w:top w:w="55" w:type="dxa"/>
              <w:start w:w="65" w:type="dxa"/>
              <w:bottom w:w="55" w:type="dxa"/>
              <w:end w:w="65" w:type="dxa"/>
            </w:tcMar>
            <w:vAlign w:val="top"/>
          </w:tcPr>
          <w:p>
            <w:pPr>
              <w:pStyle w:val="CTATable"/>
            </w:pPr>
            <w:r>
              <w:rPr>
                <w:rFonts w:ascii="Montserrat" w:hAnsi="Montserrat" w:eastAsia="Montserrat"/>
                <w:sz w:val="16"/>
              </w:rPr>
              <w:t>5</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Culture, ethics, scope, and law</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6</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Referral, continuity, and mixed-case practice</w:t>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shd w:fill="F3F4F6"/>
            <w:tcMar>
              <w:top w:w="55" w:type="dxa"/>
              <w:start w:w="65" w:type="dxa"/>
              <w:bottom w:w="55" w:type="dxa"/>
              <w:end w:w="65" w:type="dxa"/>
            </w:tcMar>
            <w:vAlign w:val="top"/>
          </w:tcPr>
          <w:p>
            <w:pPr>
              <w:pStyle w:val="CTATable"/>
            </w:pPr>
            <w:r>
              <w:rPr>
                <w:rFonts w:ascii="Montserrat" w:hAnsi="Montserrat" w:eastAsia="Montserrat"/>
                <w:sz w:val="16"/>
              </w:rPr>
              <w:t>[ ]</w:t>
            </w:r>
          </w:p>
        </w:tc>
      </w:tr>
      <w:tr>
        <w:tc>
          <w:tcPr>
            <w:tcW w:type="dxa" w:w="2056"/>
            <w:tcMar>
              <w:top w:w="55" w:type="dxa"/>
              <w:start w:w="65" w:type="dxa"/>
              <w:bottom w:w="55" w:type="dxa"/>
              <w:end w:w="65" w:type="dxa"/>
            </w:tcMar>
            <w:vAlign w:val="top"/>
          </w:tcPr>
          <w:p>
            <w:pPr>
              <w:pStyle w:val="CTATable"/>
            </w:pPr>
            <w:r>
              <w:rPr>
                <w:rFonts w:ascii="Montserrat" w:hAnsi="Montserrat" w:eastAsia="Montserrat"/>
                <w:sz w:val="16"/>
              </w:rPr>
              <w:t>7</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Closed-book review and Form B decision</w:t>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r>
          </w:p>
        </w:tc>
        <w:tc>
          <w:tcPr>
            <w:tcW w:type="dxa" w:w="2056"/>
            <w:tcMar>
              <w:top w:w="55" w:type="dxa"/>
              <w:start w:w="65" w:type="dxa"/>
              <w:bottom w:w="55" w:type="dxa"/>
              <w:end w:w="65" w:type="dxa"/>
            </w:tcMar>
            <w:vAlign w:val="top"/>
          </w:tcPr>
          <w:p>
            <w:pPr>
              <w:pStyle w:val="CTATable"/>
            </w:pPr>
            <w:r>
              <w:rPr>
                <w:rFonts w:ascii="Montserrat" w:hAnsi="Montserrat" w:eastAsia="Montserrat"/>
                <w:sz w:val="16"/>
              </w:rPr>
              <w:t>[ ]</w:t>
            </w:r>
          </w:p>
        </w:tc>
      </w:tr>
    </w:tbl>
    <w:p>
      <w:pPr>
        <w:pStyle w:val="Heading1"/>
      </w:pPr>
      <w:r>
        <w:t>3. Teach-Back Check</w:t>
      </w:r>
    </w:p>
    <w:p>
      <w:r>
        <w:rPr>
          <w:rFonts w:ascii="Montserrat" w:hAnsi="Montserrat" w:eastAsia="Montserrat"/>
          <w:b/>
          <w:color w:val="17365D"/>
          <w:sz w:val="19"/>
        </w:rPr>
        <w:t>Without looking at the rationales, explain the five most important rules you learned from Form A.</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r>
        <w:br w:type="page"/>
      </w:r>
    </w:p>
    <w:p>
      <w:pPr>
        <w:jc w:val="center"/>
      </w:pPr>
      <w:r>
        <w:rPr>
          <w:rFonts w:ascii="Montserrat" w:hAnsi="Montserrat" w:eastAsia="Montserrat"/>
          <w:b/>
          <w:color w:val="17365D"/>
          <w:sz w:val="36"/>
        </w:rPr>
        <w:t>SECTION 7 - FORM B READINESS GATE</w:t>
      </w:r>
    </w:p>
    <w:p>
      <w:pPr>
        <w:jc w:val="center"/>
      </w:pPr>
      <w:r>
        <w:rPr>
          <w:rFonts w:ascii="Montserrat" w:hAnsi="Montserrat" w:eastAsia="Montserrat"/>
          <w:i/>
          <w:color w:val="159C9C"/>
          <w:sz w:val="21"/>
        </w:rPr>
        <w:t>Form B is a new measurement opportunity, not an immediate retest.</w:t>
      </w:r>
    </w:p>
    <w:p>
      <w:pPr>
        <w:spacing w:after="100"/>
      </w:pPr>
      <w:r>
        <w:rPr>
          <w:rFonts w:ascii="Montserrat" w:hAnsi="Montserrat" w:eastAsia="Montserrat"/>
          <w:sz w:val="20"/>
        </w:rPr>
        <w:t>[ ] Every missed item has an assigned error code.</w:t>
      </w:r>
    </w:p>
    <w:p>
      <w:pPr>
        <w:spacing w:after="100"/>
      </w:pPr>
      <w:r>
        <w:rPr>
          <w:rFonts w:ascii="Montserrat" w:hAnsi="Montserrat" w:eastAsia="Montserrat"/>
          <w:sz w:val="20"/>
        </w:rPr>
        <w:t>[ ] Every low-confidence correct item has been reviewed.</w:t>
      </w:r>
    </w:p>
    <w:p>
      <w:pPr>
        <w:spacing w:after="100"/>
      </w:pPr>
      <w:r>
        <w:rPr>
          <w:rFonts w:ascii="Montserrat" w:hAnsi="Montserrat" w:eastAsia="Montserrat"/>
          <w:sz w:val="20"/>
        </w:rPr>
        <w:t>[ ] I can explain why the correct option is best and why each distractor is less appropriate.</w:t>
      </w:r>
    </w:p>
    <w:p>
      <w:pPr>
        <w:spacing w:after="100"/>
      </w:pPr>
      <w:r>
        <w:rPr>
          <w:rFonts w:ascii="Montserrat" w:hAnsi="Montserrat" w:eastAsia="Montserrat"/>
          <w:sz w:val="20"/>
        </w:rPr>
        <w:t>[ ] I wrote at least eight corrected decision rules.</w:t>
      </w:r>
    </w:p>
    <w:p>
      <w:pPr>
        <w:spacing w:after="100"/>
      </w:pPr>
      <w:r>
        <w:rPr>
          <w:rFonts w:ascii="Montserrat" w:hAnsi="Montserrat" w:eastAsia="Montserrat"/>
          <w:sz w:val="20"/>
        </w:rPr>
        <w:t>[ ] I revisited the relevant workbook sections and quick-reference tools.</w:t>
      </w:r>
    </w:p>
    <w:p>
      <w:pPr>
        <w:spacing w:after="100"/>
      </w:pPr>
      <w:r>
        <w:rPr>
          <w:rFonts w:ascii="Montserrat" w:hAnsi="Montserrat" w:eastAsia="Montserrat"/>
          <w:sz w:val="20"/>
        </w:rPr>
        <w:t>[ ] I completed at least two closed-book case re-applications.</w:t>
      </w:r>
    </w:p>
    <w:p>
      <w:pPr>
        <w:spacing w:after="100"/>
      </w:pPr>
      <w:r>
        <w:rPr>
          <w:rFonts w:ascii="Montserrat" w:hAnsi="Montserrat" w:eastAsia="Montserrat"/>
          <w:sz w:val="20"/>
        </w:rPr>
        <w:t>[ ] I can prioritize safety, medical urgency, legal duties, and level of care without hesitation.</w:t>
      </w:r>
    </w:p>
    <w:p>
      <w:pPr>
        <w:spacing w:after="100"/>
      </w:pPr>
      <w:r>
        <w:rPr>
          <w:rFonts w:ascii="Montserrat" w:hAnsi="Montserrat" w:eastAsia="Montserrat"/>
          <w:sz w:val="20"/>
        </w:rPr>
        <w:t>[ ] I can distinguish assessment from intervention and provisional formulation from unsupported certainty.</w:t>
      </w:r>
    </w:p>
    <w:p>
      <w:pPr>
        <w:spacing w:after="100"/>
      </w:pPr>
      <w:r>
        <w:rPr>
          <w:rFonts w:ascii="Montserrat" w:hAnsi="Montserrat" w:eastAsia="Montserrat"/>
          <w:sz w:val="20"/>
        </w:rPr>
        <w:t>[ ] I have a pacing plan for 11 cases and a break plan after Case 5.</w:t>
      </w:r>
    </w:p>
    <w:p>
      <w:pPr>
        <w:spacing w:after="100"/>
      </w:pPr>
      <w:r>
        <w:rPr>
          <w:rFonts w:ascii="Montserrat" w:hAnsi="Montserrat" w:eastAsia="Montserrat"/>
          <w:sz w:val="20"/>
        </w:rPr>
        <w:t>[ ] I will take Form B under timed, distraction-limited conditions.</w:t>
      </w:r>
    </w:p>
    <w:tbl>
      <w:tblPr>
        <w:tblW w:type="auto" w:w="0"/>
        <w:jc w:val="center"/>
        <w:tblLook w:firstColumn="1" w:firstRow="1" w:lastColumn="0" w:lastRow="0" w:noHBand="0" w:noVBand="1" w:val="04A0"/>
        <w:tblBorders>
          <w:top w:val="single" w:sz="4" w:color="EAF6F6"/>
          <w:left w:val="single" w:sz="4" w:color="EAF6F6"/>
          <w:bottom w:val="single" w:sz="4" w:color="EAF6F6"/>
          <w:right w:val="single" w:sz="4" w:color="EAF6F6"/>
          <w:insideH w:val="single" w:sz="4" w:color="EAF6F6"/>
          <w:insideV w:val="single" w:sz="4" w:color="EAF6F6"/>
        </w:tblBorders>
      </w:tblPr>
      <w:tblGrid>
        <w:gridCol w:w="10282"/>
      </w:tblGrid>
      <w:tr>
        <w:tc>
          <w:tcPr>
            <w:tcW w:type="dxa" w:w="10282"/>
            <w:shd w:fill="EAF6F6"/>
            <w:tcMar>
              <w:top w:w="100" w:type="dxa"/>
              <w:start w:w="120" w:type="dxa"/>
              <w:bottom w:w="100" w:type="dxa"/>
              <w:end w:w="120" w:type="dxa"/>
            </w:tcMar>
          </w:tcPr>
          <w:p>
            <w:r>
              <w:rPr>
                <w:rFonts w:ascii="Montserrat" w:hAnsi="Montserrat" w:eastAsia="Montserrat"/>
                <w:b/>
                <w:color w:val="17365D"/>
                <w:sz w:val="20"/>
              </w:rPr>
              <w:t>DECISION</w:t>
              <w:br/>
            </w:r>
            <w:r>
              <w:rPr>
                <w:rFonts w:ascii="Montserrat" w:hAnsi="Montserrat" w:eastAsia="Montserrat"/>
                <w:color w:val="222222"/>
                <w:sz w:val="18"/>
              </w:rPr>
              <w:t>Proceed to Form B only when all criteria are checked or when the remaining gaps have a documented plan that does not undermine safety, scope, or core reasoning.</w:t>
            </w:r>
          </w:p>
        </w:tc>
      </w:tr>
    </w:tbl>
    <w:p>
      <w:pPr>
        <w:spacing w:after="0"/>
      </w:pPr>
    </w:p>
    <w:p>
      <w:pPr>
        <w:pStyle w:val="Heading1"/>
      </w:pPr>
      <w:r>
        <w:t>Candidate Commitment</w:t>
      </w:r>
    </w:p>
    <w:p>
      <w:r>
        <w:rPr>
          <w:rFonts w:ascii="Montserrat" w:hAnsi="Montserrat" w:eastAsia="Montserrat"/>
          <w:b/>
          <w:color w:val="17365D"/>
          <w:sz w:val="19"/>
        </w:rPr>
        <w:t>The single reasoning habit I will use on every Form B question is:</w:t>
      </w:r>
    </w:p>
    <w:p>
      <w:pPr>
        <w:pStyle w:val="CTASmall"/>
        <w:spacing w:after="40"/>
      </w:pPr>
      <w:r>
        <w:t>________________________________________________________________________________________________________________</w:t>
      </w:r>
    </w:p>
    <w:p>
      <w:pPr>
        <w:pStyle w:val="CTASmall"/>
        <w:spacing w:after="40"/>
      </w:pPr>
      <w:r>
        <w:t>________________________________________________________________________________________________________________</w:t>
      </w:r>
    </w:p>
    <w:p>
      <w:r>
        <w:rPr>
          <w:rFonts w:ascii="Montserrat" w:hAnsi="Montserrat" w:eastAsia="Montserrat"/>
          <w:sz w:val="19"/>
        </w:rPr>
        <w:t>Candidate signature: ________________________________    Date: ____________________</w:t>
      </w:r>
    </w:p>
    <w:sectPr w:rsidR="00FC693F" w:rsidRPr="0006063C" w:rsidSect="00034616">
      <w:headerReference w:type="default" r:id="rId9"/>
      <w:footerReference w:type="default" r:id="rId10"/>
      <w:pgSz w:w="12240" w:h="15840"/>
      <w:pgMar w:top="893" w:right="979" w:bottom="835" w:left="979"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olor w:val="666666"/>
        <w:sz w:val="16"/>
      </w:rPr>
      <w:t xml:space="preserve">Clinical Training &amp; Supervision Academy | LPCC Exam Preparation | </w:t>
    </w:r>
    <w:r>
      <w:rPr>
        <w:rFonts w:ascii="Montserrat" w:hAnsi="Montserrat" w:eastAsia="Montserrat"/>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057400" cy="683946"/>
          <wp:docPr id="1" name="Picture 1" descr="Image: item1.xml"/>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2057400" cy="6839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ontserrat" w:hAnsi="Montserrat" w:eastAsia="Montserrat"/>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ontserrat" w:hAnsi="Montserrat" w:eastAsia="Montserrat"/>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eastAsia="Montserrat"/>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ontserrat" w:hAnsi="Montserrat" w:eastAsia="Montserrat"/>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Montserrat" w:hAnsi="Montserrat" w:eastAsia="Montserrat"/>
      <w:b/>
      <w:i/>
      <w:iCs/>
      <w:color w:val="159C9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Montserrat" w:hAnsi="Montserrat" w:eastAsia="Montserrat"/>
      <w:color w:val="666666"/>
      <w:sz w:val="16"/>
    </w:rPr>
  </w:style>
  <w:style w:type="paragraph" w:customStyle="1" w:styleId="CTATable">
    <w:name w:val="CTA Table"/>
    <w:pPr>
      <w:spacing w:after="0" w:line="240" w:lineRule="auto"/>
    </w:pPr>
    <w:rPr>
      <w:rFonts w:ascii="Montserrat" w:hAnsi="Montserrat" w:eastAsia="Montserrat"/>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