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5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1550279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55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0" w:lineRule="auto"/>
        <w:jc w:val="center"/>
      </w:pPr>
      <w:r>
        <w:rPr>
          <w:rFonts w:ascii="Liberation Sans" w:hAnsi="Liberation Sans" w:eastAsia="Liberation Sans"/>
          <w:b/>
          <w:color w:val="18365B"/>
          <w:sz w:val="38"/>
        </w:rPr>
        <w:t>LPCC NCMHCE EXAM PREPARATION PROGRAM</w:t>
      </w:r>
    </w:p>
    <w:p>
      <w:pPr>
        <w:spacing w:before="0" w:after="100" w:line="250" w:lineRule="auto"/>
        <w:jc w:val="center"/>
      </w:pPr>
      <w:r>
        <w:rPr>
          <w:rFonts w:ascii="Liberation Sans" w:hAnsi="Liberation Sans" w:eastAsia="Liberation Sans"/>
          <w:b/>
          <w:color w:val="2AA7A1"/>
          <w:sz w:val="34"/>
        </w:rPr>
        <w:t>Student Start Here Roadmap</w:t>
      </w:r>
    </w:p>
    <w:p>
      <w:pPr>
        <w:spacing w:before="0" w:after="240" w:line="250" w:lineRule="auto"/>
        <w:jc w:val="center"/>
      </w:pPr>
      <w:r>
        <w:rPr>
          <w:rFonts w:ascii="Liberation Sans" w:hAnsi="Liberation Sans" w:eastAsia="Liberation Sans"/>
          <w:i/>
          <w:color w:val="18365B"/>
          <w:sz w:val="23"/>
        </w:rPr>
        <w:t>10-, 14-, and 18-Week Study Schedules</w:t>
      </w:r>
    </w:p>
    <w:p>
      <w:pPr>
        <w:spacing w:before="0" w:after="300" w:line="250" w:lineRule="auto"/>
        <w:jc w:val="center"/>
      </w:pPr>
      <w:r>
        <w:rPr>
          <w:rFonts w:ascii="Liberation Sans" w:hAnsi="Liberation Sans" w:eastAsia="Liberation Sans"/>
          <w:color w:val="667085"/>
          <w:sz w:val="20"/>
        </w:rPr>
        <w:t>Version 1.0 | July 2026 | Editable Student Resource | No CE Credit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PROGRAM IDENTITY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Self-paced licensure examination preparation for the National Clinical Mental Health Counseling Examination. This is an independent educational review program and provides no continuing-education credit.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0" w:line="250" w:lineRule="auto"/>
        <w:jc w:val="center"/>
      </w:pPr>
      <w:r>
        <w:rPr>
          <w:rFonts w:ascii="Liberation Sans" w:hAnsi="Liberation Sans" w:eastAsia="Liberation Sans"/>
          <w:i/>
          <w:color w:val="667085"/>
          <w:sz w:val="20"/>
        </w:rPr>
        <w:t>Teaching Clinicians How to Think.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1. Start Here: Protect the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YOUR FIRST DECISION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Choose the 10-, 14-, or 18-week route based on the study time you can protect consistently. The 14-week plan is the recommended default for most learners. Preserve the sequence even when dates change.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0" w:after="8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The program is designed as a complete learning, practice, feedback, remediation, and simulation system. Do not begin with Form A or Form B simply to see how you do. Those forms are controlled readiness assessments whose value depends on delayed use.</w:t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2. The CTA LPCC Study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626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Student Action</w:t>
            </w:r>
          </w:p>
        </w:tc>
        <w:tc>
          <w:tcPr>
            <w:tcW w:type="dxa" w:w="302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1. Orient</w:t>
            </w:r>
          </w:p>
        </w:tc>
        <w:tc>
          <w:tcPr>
            <w:tcW w:type="dxa" w:w="62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Review this roadmap, select a pace, complete the baseline readiness self-assessment, and schedule protected study blocks.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Selected route and completed baseline</w:t>
            </w:r>
          </w:p>
        </w:tc>
      </w:tr>
      <w:tr>
        <w:trPr>
          <w:cantSplit/>
        </w:trPr>
        <w:tc>
          <w:tcPr>
            <w:tcW w:type="dxa" w:w="15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2. Learn</w:t>
            </w:r>
          </w:p>
        </w:tc>
        <w:tc>
          <w:tcPr>
            <w:tcW w:type="dxa" w:w="62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Complete the assigned student workbook and embedded application activities.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Workbook completion evidence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3. Practice</w:t>
            </w:r>
          </w:p>
        </w:tc>
        <w:tc>
          <w:tcPr>
            <w:tcW w:type="dxa" w:w="62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Complete the associated 17-question candidate bank before opening answers or rationales.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Saved answers, confidence, score, and time</w:t>
            </w:r>
          </w:p>
        </w:tc>
      </w:tr>
      <w:tr>
        <w:trPr>
          <w:cantSplit/>
        </w:trPr>
        <w:tc>
          <w:tcPr>
            <w:tcW w:type="dxa" w:w="15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4. Review</w:t>
            </w:r>
          </w:p>
        </w:tc>
        <w:tc>
          <w:tcPr>
            <w:tcW w:type="dxa" w:w="62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Study the correct answer, every distractor explanation, and CTA Exam Strategy guidance.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Missed-item and low-confidence notes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5. Remediate</w:t>
            </w:r>
          </w:p>
        </w:tc>
        <w:tc>
          <w:tcPr>
            <w:tcW w:type="dxa" w:w="62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Repair the smallest actual gap using the exact workbook section, quick reference, flashcards, or fresh application.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Corrected decision rule and re-application</w:t>
            </w:r>
          </w:p>
        </w:tc>
      </w:tr>
      <w:tr>
        <w:trPr>
          <w:cantSplit/>
        </w:trPr>
        <w:tc>
          <w:tcPr>
            <w:tcW w:type="dxa" w:w="15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6. Checkpoint</w:t>
            </w:r>
          </w:p>
        </w:tc>
        <w:tc>
          <w:tcPr>
            <w:tcW w:type="dxa" w:w="62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After WB4, WB8, and WB12, complete the cumulative checkpoint and targeted repair.</w:t>
            </w:r>
          </w:p>
        </w:tc>
        <w:tc>
          <w:tcPr>
            <w:tcW w:type="dxa" w:w="302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Checkpoint record and remediation complete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7. Simulate</w:t>
            </w:r>
          </w:p>
        </w:tc>
        <w:tc>
          <w:tcPr>
            <w:tcW w:type="dxa" w:w="62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Complete Form A, targeted remediation, then Form B under controlled conditions.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Pacing, performance patterns, and final plan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3. Choose Your 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15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208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Best Fit</w:t>
            </w:r>
          </w:p>
        </w:tc>
        <w:tc>
          <w:tcPr>
            <w:tcW w:type="dxa" w:w="244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Planning Estimate</w:t>
            </w:r>
          </w:p>
        </w:tc>
        <w:tc>
          <w:tcPr>
            <w:tcW w:type="dxa" w:w="511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Program Shape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10 weeks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Accelerated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Approximately 8-10 focused hours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Several two-workbook weeks; checkpoints and simulations occur quickly.</w:t>
            </w:r>
          </w:p>
        </w:tc>
      </w:tr>
      <w:tr>
        <w:trPr>
          <w:cantSplit/>
        </w:trPr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14 weeks</w:t>
            </w:r>
          </w:p>
        </w:tc>
        <w:tc>
          <w:tcPr>
            <w:tcW w:type="dxa" w:w="208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Recommended default</w:t>
            </w:r>
          </w:p>
        </w:tc>
        <w:tc>
          <w:tcPr>
            <w:tcW w:type="dxa" w:w="244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Approximately 6-8 focused hours</w:t>
            </w:r>
          </w:p>
        </w:tc>
        <w:tc>
          <w:tcPr>
            <w:tcW w:type="dxa" w:w="51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Mostly one workbook per week with checkpoints at the confirmed milestones.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18 weeks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Flexible</w:t>
            </w:r>
          </w:p>
        </w:tc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Approximately 4-6 focused hours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More space for catch-up, deliberate remediation, and a calmer simulation sequence.</w:t>
            </w:r>
          </w:p>
        </w:tc>
      </w:tr>
    </w:tbl>
    <w:p>
      <w:pPr>
        <w:spacing w:after="0"/>
      </w:pPr>
    </w:p>
    <w:p>
      <w:pPr>
        <w:spacing w:before="0" w:after="80" w:line="250" w:lineRule="auto"/>
      </w:pPr>
      <w:r>
        <w:rPr>
          <w:rFonts w:ascii="Liberation Sans" w:hAnsi="Liberation Sans" w:eastAsia="Liberation Sans"/>
          <w:i/>
          <w:color w:val="667085"/>
          <w:sz w:val="17"/>
        </w:rPr>
        <w:t>Weekly hours are planning estimates, not guarantees. Reading speed, prior knowledge, fatigue, accessibility needs, and remediation depth will change the actual time required.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4. Program Gates and Cumulative Checkpoints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B54708"/>
                <w:sz w:val="20"/>
              </w:rPr>
              <w:t>DEFAULT RELEASE RULE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Candidate questions must be submitted before answers and rationales appear. Form A remains unavailable until the curriculum and Checkpoint 3 sequence are complete. Form B remains unavailable until Form A and the required remediation gate are complete.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5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144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08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Questions</w:t>
            </w:r>
          </w:p>
        </w:tc>
        <w:tc>
          <w:tcPr>
            <w:tcW w:type="dxa" w:w="15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Suggested Time</w:t>
            </w:r>
          </w:p>
        </w:tc>
        <w:tc>
          <w:tcPr>
            <w:tcW w:type="dxa" w:w="511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1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WB1-WB4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39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62 minutes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Complete after WB4; review all missed and low-confidence items.</w:t>
            </w:r>
          </w:p>
        </w:tc>
      </w:tr>
      <w:tr>
        <w:trPr>
          <w:cantSplit/>
        </w:trPr>
        <w:tc>
          <w:tcPr>
            <w:tcW w:type="dxa" w:w="15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2</w:t>
            </w:r>
          </w:p>
        </w:tc>
        <w:tc>
          <w:tcPr>
            <w:tcW w:type="dxa" w:w="144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WB1-WB8</w:t>
            </w:r>
          </w:p>
        </w:tc>
        <w:tc>
          <w:tcPr>
            <w:tcW w:type="dxa" w:w="108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52</w:t>
            </w:r>
          </w:p>
        </w:tc>
        <w:tc>
          <w:tcPr>
            <w:tcW w:type="dxa" w:w="15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83 minutes</w:t>
            </w:r>
          </w:p>
        </w:tc>
        <w:tc>
          <w:tcPr>
            <w:tcW w:type="dxa" w:w="511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Complete after WB8; compare patterns with Checkpoint 1.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Checkpoint 3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WB1-WB12</w:t>
            </w:r>
          </w:p>
        </w:tc>
        <w:tc>
          <w:tcPr>
            <w:tcW w:type="dxa" w:w="108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65</w:t>
            </w:r>
          </w:p>
        </w:tc>
        <w:tc>
          <w:tcPr>
            <w:tcW w:type="dxa" w:w="15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104 minutes</w:t>
            </w:r>
          </w:p>
        </w:tc>
        <w:tc>
          <w:tcPr>
            <w:tcW w:type="dxa" w:w="511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Complete after WB12; repair repeated errors before Form 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5. Rules for Controlled Answer Materials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Keep each candidate form separate from its answer-and-rationales form.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Submit a complete first attempt before reviewing the key, rationales, domain labels, or scoring-control information.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Record low-confidence correct answers as remediation needs; a correct letter does not prove stable reasoning.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Preserve first-attempt scores and responses. Later review attempts must not overwrite the original performance record.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use CTA practice scores as an official passing standard or convert them to an NBCC scaled score.</w:t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6. Required Resources to Open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8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698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Best Use</w:t>
            </w:r>
          </w:p>
        </w:tc>
      </w:tr>
      <w:tr>
        <w:trPr>
          <w:cantSplit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Student Start Here Roadmap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Choose the pace and preserve the sequence.</w:t>
            </w:r>
          </w:p>
        </w:tc>
      </w:tr>
      <w:tr>
        <w:trPr>
          <w:cantSplit/>
        </w:trPr>
        <w:tc>
          <w:tcPr>
            <w:tcW w:type="dxa" w:w="38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Readiness Self-Assessment and Progress Tracker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Record baseline confidence, workbook completion, checkpoints, remediation, and simulations.</w:t>
            </w:r>
          </w:p>
        </w:tc>
      </w:tr>
      <w:tr>
        <w:trPr>
          <w:cantSplit/>
        </w:trPr>
        <w:tc>
          <w:tcPr>
            <w:tcW w:type="dxa" w:w="38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Quick-Reference and Rapid-Review Library</w:t>
            </w:r>
          </w:p>
        </w:tc>
        <w:tc>
          <w:tcPr>
            <w:tcW w:type="dxa" w:w="698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Use after learning the full topic for retrieval and targeted repair.</w:t>
            </w:r>
          </w:p>
        </w:tc>
      </w:tr>
      <w:tr>
        <w:trPr>
          <w:cantSplit/>
        </w:trPr>
        <w:tc>
          <w:tcPr>
            <w:tcW w:type="dxa" w:w="38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7"/>
              </w:rPr>
              <w:t>Flashcard Collection</w:t>
            </w:r>
          </w:p>
        </w:tc>
        <w:tc>
          <w:tcPr>
            <w:tcW w:type="dxa" w:w="698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7"/>
              </w:rPr>
              <w:t>Use spaced retrieval; sort cards into know, unsure, and relearn.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7. Ten-Week Accelerated Schedule</w:t>
      </w:r>
    </w:p>
    <w:p>
      <w:pPr>
        <w:spacing w:before="0" w:after="8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Use only when multiple protected study blocks are realistic. Every two-workbook week still requires two separate bank attempts and two separate rationale reviews.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25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54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94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Start Here + WB1</w:t>
            </w:r>
          </w:p>
        </w:tc>
        <w:tc>
          <w:tcPr>
            <w:tcW w:type="dxa" w:w="55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Select pace; complete baseline tracker; finish the WB1 workbook, bank, rationales, and error log.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 cycle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2</w:t>
            </w:r>
          </w:p>
        </w:tc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 + WB3</w:t>
            </w:r>
          </w:p>
        </w:tc>
        <w:tc>
          <w:tcPr>
            <w:tcW w:type="dxa" w:w="55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both full cycles; keep bank submissions and rationale review separate.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WB2-WB3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3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WB4 + Checkpoint 1</w:t>
            </w:r>
          </w:p>
        </w:tc>
        <w:tc>
          <w:tcPr>
            <w:tcW w:type="dxa" w:w="55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WB4, then CP1 under suggested timing; repair misses.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CP1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4</w:t>
            </w:r>
          </w:p>
        </w:tc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 + WB6</w:t>
            </w:r>
          </w:p>
        </w:tc>
        <w:tc>
          <w:tcPr>
            <w:tcW w:type="dxa" w:w="55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both differential-diagnosis cycles; prioritize exclusions, urgency, and care level.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WB5-WB6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5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WB7 + WB8 + Checkpoint 2</w:t>
            </w:r>
          </w:p>
        </w:tc>
        <w:tc>
          <w:tcPr>
            <w:tcW w:type="dxa" w:w="55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both cycles, then CP2; compare errors with CP1.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CP2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6</w:t>
            </w:r>
          </w:p>
        </w:tc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 + WB10</w:t>
            </w:r>
          </w:p>
        </w:tc>
        <w:tc>
          <w:tcPr>
            <w:tcW w:type="dxa" w:w="55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intervention and context-responsive care cycles.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WB9-WB10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7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 + WB12 + Checkpoint 3</w:t>
            </w:r>
          </w:p>
        </w:tc>
        <w:tc>
          <w:tcPr>
            <w:tcW w:type="dxa" w:w="55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final workbook cycles and CP3; identify repeated patterns.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Curriculum and CP3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8</w:t>
            </w:r>
          </w:p>
        </w:tc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Targeted Repair + Form A Gate</w:t>
            </w:r>
          </w:p>
        </w:tc>
        <w:tc>
          <w:tcPr>
            <w:tcW w:type="dxa" w:w="55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Finish incomplete rationale review; use exact sources for repeated errors; confirm readiness gate.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gate satisfied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9</w:t>
            </w:r>
          </w:p>
        </w:tc>
        <w:tc>
          <w:tcPr>
            <w:tcW w:type="dxa" w:w="25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+ Remediation</w:t>
            </w:r>
          </w:p>
        </w:tc>
        <w:tc>
          <w:tcPr>
            <w:tcW w:type="dxa" w:w="55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Take Form A under simulated conditions; complete the written remediation workbook.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10</w:t>
            </w:r>
          </w:p>
        </w:tc>
        <w:tc>
          <w:tcPr>
            <w:tcW w:type="dxa" w:w="25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+ Final Readiness</w:t>
            </w:r>
          </w:p>
        </w:tc>
        <w:tc>
          <w:tcPr>
            <w:tcW w:type="dxa" w:w="55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Take Form B under simulated conditions; complete targeted final review and exam-week plan.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Final readiness record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8. Fourteen-Week Standard Schedule</w:t>
      </w:r>
    </w:p>
    <w:p>
      <w:pPr>
        <w:spacing w:before="0" w:after="8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This is the recommended default because it preserves a steady rhythm while keeping the three cumulative checkpoints in the confirmed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252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61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94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Start Here + WB1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Orientation, baseline tracker, and full WB1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2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3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WB3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WB3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4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WB4 + Checkpoint 1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WB4 cycle, CP1, and targeted repair.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CP1 remediation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5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6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WB6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WB6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7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WB7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WB7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8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WB8 + Checkpoint 2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WB8 cycle, CP2, and trend review.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CP2 remediation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9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10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WB10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WB10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11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12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WB12 + Checkpoint 3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WB12 cycle, CP3, and cumulative targeted repair.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Curriculum and CP3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13</w:t>
            </w:r>
          </w:p>
        </w:tc>
        <w:tc>
          <w:tcPr>
            <w:tcW w:type="dxa" w:w="2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+ Remediation</w:t>
            </w:r>
          </w:p>
        </w:tc>
        <w:tc>
          <w:tcPr>
            <w:tcW w:type="dxa" w:w="561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Simulated Form A, controlled rationale review, and written remediation.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14</w:t>
            </w:r>
          </w:p>
        </w:tc>
        <w:tc>
          <w:tcPr>
            <w:tcW w:type="dxa" w:w="252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+ Final Readiness</w:t>
            </w:r>
          </w:p>
        </w:tc>
        <w:tc>
          <w:tcPr>
            <w:tcW w:type="dxa" w:w="561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Simulated Form B, final pattern review, logistics, and recovery plan.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Final readiness record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9. Eighteen-Week Flexible Schedule</w:t>
      </w:r>
    </w:p>
    <w:p>
      <w:pPr>
        <w:spacing w:before="0" w:after="8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Use when consistency matters more than speed. Additional weeks provide space for catch-up, cumulative repair, and a separated Form A-to-Form B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237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Primary Focus</w:t>
            </w:r>
          </w:p>
        </w:tc>
        <w:tc>
          <w:tcPr>
            <w:tcW w:type="dxa" w:w="5760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Required Actions</w:t>
            </w:r>
          </w:p>
        </w:tc>
        <w:tc>
          <w:tcPr>
            <w:tcW w:type="dxa" w:w="194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Start Here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Orientation, baseline, pace selection, and protected study blocks.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Orientation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2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3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WB2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4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WB3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WB3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5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WB4 + Checkpoint 1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WB4 cycle, CP1, and targeted repair.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CP1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6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WB5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7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WB6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WB6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8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WB7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WB7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9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WB8 + Checkpoint 2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WB8 cycle, CP2, and trend review.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CP2 remediation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10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WB9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11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WB10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WB10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12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WB11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13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WB12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Full workbook cycle.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WB12 complete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14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Checkpoint 3 + Catch-Up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CP3; finish any missing rationale review; target repeated errors.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Curriculum and CP3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15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Take Form A under full simulated conditions; do not preview rationales.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submitted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16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A Remediation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Complete written error analysis, source review, and fresh re-application.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Remediation gate complete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17</w:t>
            </w:r>
          </w:p>
        </w:tc>
        <w:tc>
          <w:tcPr>
            <w:tcW w:type="dxa" w:w="237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</w:t>
            </w:r>
          </w:p>
        </w:tc>
        <w:tc>
          <w:tcPr>
            <w:tcW w:type="dxa" w:w="576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Take Form B under full simulated conditions.</w:t>
            </w:r>
          </w:p>
        </w:tc>
        <w:tc>
          <w:tcPr>
            <w:tcW w:type="dxa" w:w="19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Form B submitted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18</w:t>
            </w:r>
          </w:p>
        </w:tc>
        <w:tc>
          <w:tcPr>
            <w:tcW w:type="dxa" w:w="237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Final Readiness</w:t>
            </w:r>
          </w:p>
        </w:tc>
        <w:tc>
          <w:tcPr>
            <w:tcW w:type="dxa" w:w="5760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Interpret patterns, review only high-priority gaps, and finalize exam-week logistics.</w:t>
            </w:r>
          </w:p>
        </w:tc>
        <w:tc>
          <w:tcPr>
            <w:tcW w:type="dxa" w:w="19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Final plan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10. Workbook Map and Completion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7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No.</w:t>
            </w:r>
          </w:p>
        </w:tc>
        <w:tc>
          <w:tcPr>
            <w:tcW w:type="dxa" w:w="633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Workbook Topic</w:t>
            </w:r>
          </w:p>
        </w:tc>
        <w:tc>
          <w:tcPr>
            <w:tcW w:type="dxa" w:w="86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t>Workbook Activities</w:t>
            </w:r>
          </w:p>
        </w:tc>
        <w:tc>
          <w:tcPr>
            <w:tcW w:type="dxa" w:w="100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Workbook</w:t>
            </w:r>
          </w:p>
        </w:tc>
        <w:tc>
          <w:tcPr>
            <w:tcW w:type="dxa" w:w="79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Bank</w:t>
            </w:r>
          </w:p>
        </w:tc>
        <w:tc>
          <w:tcPr>
            <w:tcW w:type="dxa" w:w="115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Remediation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WB1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NCMHCE Case-Study Strategy and Applied Counselor Reasoning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WB2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LPCC Professional Identity, California Scope, Competence, and Self-Awareness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WB3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Intake, Informed Consent, Interviewing, MSE, and Biopsychosocial-Cultural Assessment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WB4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Crisis, Trauma, Abuse, Violence, and Level-of-Care Decisions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WB5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Diagnosis and Differential Diagnosis I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WB6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Diagnosis and Differential Diagnosis II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WB7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Case Conceptualization, Treatment Planning, Measurement, Progress, and Termination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WB8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Counseling Theories, Therapeutic Alliance, and Core Counseling Skills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WB9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Evidence-Based and Evidence-Informed Interventions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WB10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Multicultural, Developmental, Career, Spiritual, Disability, and Context-Responsive Counseling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WB11</w:t>
            </w:r>
          </w:p>
        </w:tc>
        <w:tc>
          <w:tcPr>
            <w:tcW w:type="dxa" w:w="63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Individual, Group, Couple/Family, Referral, Continuity, and Collaboration</w:t>
            </w:r>
          </w:p>
        </w:tc>
        <w:tc>
          <w:tcPr>
            <w:tcW w:type="dxa" w:w="86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  <w:tr>
        <w:trPr>
          <w:cantSplit/>
        </w:trPr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5"/>
              </w:rPr>
              <w:t>WB12</w:t>
            </w:r>
          </w:p>
        </w:tc>
        <w:tc>
          <w:tcPr>
            <w:tcW w:type="dxa" w:w="633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California Legal, Ethical, Documentation, Technology, and Professional Practice</w:t>
            </w:r>
          </w:p>
        </w:tc>
        <w:tc>
          <w:tcPr>
            <w:tcW w:type="dxa" w:w="86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00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79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  <w:tc>
          <w:tcPr>
            <w:tcW w:type="dxa" w:w="115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5"/>
              </w:rPr>
              <w:t>[ ]</w:t>
            </w:r>
          </w:p>
        </w:tc>
      </w:tr>
    </w:tbl>
    <w:p>
      <w:pPr>
        <w:spacing w:after="0"/>
      </w:pPr>
    </w:p>
    <w:p>
      <w:pPr>
        <w:spacing w:before="0" w:after="80" w:line="250" w:lineRule="auto"/>
      </w:pPr>
      <w:r>
        <w:rPr>
          <w:rFonts w:ascii="Liberation Sans" w:hAnsi="Liberation Sans" w:eastAsia="Liberation Sans"/>
          <w:i/>
          <w:color w:val="667085"/>
          <w:sz w:val="17"/>
        </w:rPr>
        <w:t>Completion means the learner finished the workbook, submitted the candidate bank before reviewing rationales, documented errors, and completed assigned remediation. Reading alone is not completion.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11. Weekly Planning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4032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Planning Prompt</w:t>
            </w:r>
          </w:p>
        </w:tc>
        <w:tc>
          <w:tcPr>
            <w:tcW w:type="dxa" w:w="6768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Student Entry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Week / dates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Primary workbook, checkpoint, or simulation</w:t>
            </w:r>
          </w:p>
        </w:tc>
        <w:tc>
          <w:tcPr>
            <w:tcW w:type="dxa" w:w="67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Protected study blocks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>
              <w:t>Workbook activities completed</w:t>
            </w:r>
          </w:p>
        </w:tc>
        <w:tc>
          <w:tcPr>
            <w:tcW w:type="dxa" w:w="67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Workbook completed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Candidate bank submitted</w:t>
            </w:r>
          </w:p>
        </w:tc>
        <w:tc>
          <w:tcPr>
            <w:tcW w:type="dxa" w:w="67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Rationales reviewed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[ ]</w:t>
            </w:r>
          </w:p>
        </w:tc>
      </w:tr>
      <w:tr>
        <w:trPr>
          <w:cantSplit/>
        </w:trPr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Top three weak rules or error patterns</w:t>
            </w:r>
          </w:p>
        </w:tc>
        <w:tc>
          <w:tcPr>
            <w:tcW w:type="dxa" w:w="67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1.</w:t>
              <w:br/>
              <w:t>2.</w:t>
              <w:br/>
              <w:t>3.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Remediation action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32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Next-week carryover</w:t>
            </w:r>
          </w:p>
        </w:tc>
        <w:tc>
          <w:tcPr>
            <w:tcW w:type="dxa" w:w="6768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12. Form A and Form B Simulation Rules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Complete all twelve workbook cycles and all three checkpoints before Form A.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Use protected time, the stated section rules, the planned break, no notes, and no answer resources.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Do not return to a prior case section after advancing when the simulation instructions prohibit it.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After Form A, classify misses and low-confidence correct answers, then complete the Form A Remediation Workbook.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Open Form B only after the remediation gate is satisfied. Treat Form B as the final fresh readiness simulation.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Avoid casual retakes. Repeated exposure can measure memory rather than readiness.</w:t>
      </w:r>
    </w:p>
    <w:p>
      <w:pPr>
        <w:pStyle w:val="ListBullet"/>
        <w:spacing w:before="0" w:after="40" w:line="250" w:lineRule="auto"/>
      </w:pPr>
      <w:r>
        <w:rPr>
          <w:rFonts w:ascii="Liberation Sans" w:hAnsi="Liberation Sans" w:eastAsia="Liberation Sans"/>
          <w:color w:val="1F2937"/>
          <w:sz w:val="18"/>
        </w:rPr>
        <w:t>Interpret performance through domain patterns, case patterns, confidence, pacing, fatigue, and repeated reasoning errors - not one raw score.</w:t>
      </w:r>
    </w:p>
    <w:p>
      <w:r>
        <w:br w:type="page"/>
      </w:r>
    </w:p>
    <w:p>
      <w:pPr>
        <w:pStyle w:val="Heading1"/>
        <w:keepNext/>
        <w:spacing w:before="140" w:after="80" w:line="250" w:lineRule="auto"/>
      </w:pPr>
      <w:r>
        <w:rPr>
          <w:rFonts w:ascii="Liberation Sans" w:hAnsi="Liberation Sans" w:eastAsia="Liberation Sans"/>
          <w:b/>
          <w:color w:val="18365B"/>
          <w:sz w:val="33"/>
        </w:rPr>
        <w:t>13. Final Readiness Checklist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All 12 workbook cycles are complete.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All 12 candidate banks were submitted before rationale review.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Checkpoint 1, Checkpoint 2, and Checkpoint 3 are complete with targeted remediation.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My error log identifies repeated reasoning patterns, not only missed topics.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I can distinguish assessment, diagnosis, planning, intervention, evaluation, ethics, and continuity decisions.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I can identify what FIRST, NEXT, BEST, MOST, and LEAST RESTRICTIVE are asking.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I completed Form A under simulated conditions and finished the written remediation gate.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I completed Form B under simulated conditions.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My final review is narrow and targeted rather than a complete restart.</w:t>
      </w:r>
    </w:p>
    <w:p>
      <w:pPr>
        <w:spacing w:before="0" w:after="40" w:line="250" w:lineRule="auto"/>
      </w:pPr>
      <w:r>
        <w:rPr>
          <w:rFonts w:ascii="Liberation Sans" w:hAnsi="Liberation Sans" w:eastAsia="Liberation Sans"/>
          <w:i w:val="0"/>
          <w:color w:val="1F2937"/>
          <w:sz w:val="18"/>
        </w:rPr>
        <w:t>[ ] My identification, transportation, food, sleep, timing, and recovery plan are confirmed using current official candidate instructions.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40" w:line="250" w:lineRule="auto"/>
            </w:pPr>
            <w:r>
              <w:rPr>
                <w:rFonts w:ascii="Liberation Sans" w:hAnsi="Liberation Sans" w:eastAsia="Liberation Sans"/>
                <w:b/>
                <w:color w:val="18365B"/>
                <w:sz w:val="20"/>
              </w:rPr>
              <w:t>STUDENT COMMITMENT</w:t>
            </w:r>
          </w:p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color w:val="1F2937"/>
                <w:sz w:val="18"/>
              </w:rPr>
              <w:t>I will follow the selected sequence, submit practice before reviewing answers, use rationales to repair reasoning, protect the value of Forms A and B, and verify current official examination and eligibility information independently.</w:t>
            </w:r>
          </w:p>
        </w:tc>
        <w:trPr>
          <w:tblHeader/>
        </w:trPr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456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Commitment Field</w:t>
            </w:r>
          </w:p>
        </w:tc>
        <w:tc>
          <w:tcPr>
            <w:tcW w:type="dxa" w:w="7344"/>
            <w:shd w:fill="18365B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34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Selected pace</w:t>
            </w:r>
          </w:p>
        </w:tc>
        <w:tc>
          <w:tcPr>
            <w:tcW w:type="dxa" w:w="73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  <w:t>10 / 14 / 18 weeks</w:t>
            </w:r>
          </w:p>
        </w:tc>
      </w:tr>
      <w:tr>
        <w:trPr>
          <w:cantSplit/>
        </w:trPr>
        <w:tc>
          <w:tcPr>
            <w:tcW w:type="dxa" w:w="34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Start date</w:t>
            </w:r>
          </w:p>
        </w:tc>
        <w:tc>
          <w:tcPr>
            <w:tcW w:type="dxa" w:w="73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Target Form A date</w:t>
            </w:r>
          </w:p>
        </w:tc>
        <w:tc>
          <w:tcPr>
            <w:tcW w:type="dxa" w:w="73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Target Form B date</w:t>
            </w:r>
          </w:p>
        </w:tc>
        <w:tc>
          <w:tcPr>
            <w:tcW w:type="dxa" w:w="73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Student name</w:t>
            </w:r>
          </w:p>
        </w:tc>
        <w:tc>
          <w:tcPr>
            <w:tcW w:type="dxa" w:w="734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/>
                <w:color w:val="1F2937"/>
                <w:sz w:val="16"/>
              </w:rPr>
              <w:t>Date</w:t>
            </w:r>
          </w:p>
        </w:tc>
        <w:tc>
          <w:tcPr>
            <w:tcW w:type="dxa" w:w="7344"/>
            <w:shd w:fill="F2F4F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before="0" w:after="0" w:line="250" w:lineRule="auto"/>
            </w:pPr>
            <w:r>
              <w:rPr>
                <w:rFonts w:ascii="Liberation Sans" w:hAnsi="Liberation Sans" w:eastAsia="Liberation Sans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pPr>
        <w:spacing w:before="0" w:after="80" w:line="250" w:lineRule="auto"/>
        <w:jc w:val="center"/>
      </w:pPr>
      <w:r>
        <w:rPr>
          <w:rFonts w:ascii="Liberation Sans" w:hAnsi="Liberation Sans" w:eastAsia="Liberation Sans"/>
          <w:i/>
          <w:color w:val="667085"/>
          <w:sz w:val="16"/>
        </w:rPr>
        <w:t>This independent educational review program does not guarantee passage, determine licensing eligibility, replace current official candidate materials, or provide continuing-education credit.</w:t>
      </w:r>
    </w:p>
    <w:p>
      <w:pPr>
        <w:spacing w:before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7DD"/>
            <w:tcBorders>
              <w:top w:val="single" w:sz="8" w:color="D9A928"/>
              <w:left w:val="single" w:sz="8" w:color="D9A928"/>
              <w:bottom w:val="single" w:sz="8" w:color="D9A928"/>
              <w:right w:val="single" w:sz="8" w:color="D9A928"/>
            </w:tcBorders>
          </w:tcPr>
          <w:p>
            <w:r>
              <w:rPr>
                <w:b/>
                <w:color w:val="142B4F"/>
              </w:rPr>
              <w:t>RECORDED-MEDIA STATUS</w:t>
            </w:r>
            <w:r>
              <w:br/>
              <w:t>This launch edition does not include recorded audio or video. The complete written curriculum, banks, rationales, checkpoints, simulations, flashcards, quick references, tracker, and study schedules remain fully usable without recordings.</w:t>
            </w:r>
          </w:p>
        </w:tc>
        <w:trPr>
          <w:tblHeader/>
        </w:trPr>
      </w:tr>
    </w:tbl>
    <w:sectPr w:rsidR="00FC693F" w:rsidRPr="0006063C" w:rsidSect="00034616">
      <w:footerReference w:type="default" r:id="rId9"/>
      <w:pgSz w:w="12240" w:h="15840"/>
      <w:pgMar w:top="749" w:right="893" w:bottom="749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7085"/>
        <w:sz w:val="15"/>
      </w:rPr>
      <w:t xml:space="preserve">Clinical Training &amp; Supervision Academy | LPCC NCMHCE Exam Preparation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Question">
    <w:name w:val="CTA Question"/>
    <w:pPr>
      <w:spacing w:before="0" w:after="0"/>
    </w:pPr>
    <w:rPr>
      <w:rFonts w:ascii="Liberation Sans" w:hAnsi="Liberation Sans"/>
      <w:b/>
      <w:color w:val="FFFFFF"/>
      <w:sz w:val="18"/>
    </w:rPr>
  </w:style>
  <w:style w:type="paragraph" w:customStyle="1" w:styleId="CTAAnswer">
    <w:name w:val="CTA Answer"/>
    <w:pPr>
      <w:spacing w:before="0" w:after="0"/>
    </w:pPr>
    <w:rPr>
      <w:rFonts w:ascii="Liberation Sans" w:hAnsi="Liberation San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NCMHCE Student Start Here Roadmap and 10-, 14-, and 18-Week Study Schedules</dc:title>
  <dc:subject>Learner study sequence, milestones, controlled rationale release, and no-recorded-media launch status</dc:subject>
  <dc:creator>Clinical Training and Supervision Academy</dc:creator>
  <cp:keywords/>
  <dc:description>Initial release package prepared August 3, 2026.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