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i w:val="0"/>
          <w:color w:val="1F7A8C"/>
          <w:sz w:val="24"/>
        </w:rPr>
        <w:t>CLINICAL TRAINING &amp; SUPERVISION ACADEMY</w:t>
      </w:r>
    </w:p>
    <w:p>
      <w:pPr>
        <w:spacing w:before="320"/>
        <w:jc w:val="center"/>
      </w:pPr>
      <w:r>
        <w:rPr>
          <w:rFonts w:ascii="Arial" w:hAnsi="Arial"/>
          <w:b/>
          <w:i w:val="0"/>
          <w:color w:val="17365D"/>
          <w:sz w:val="68"/>
        </w:rPr>
        <w:t>LPCC</w:t>
      </w:r>
    </w:p>
    <w:p>
      <w:pPr>
        <w:jc w:val="center"/>
      </w:pPr>
      <w:r>
        <w:rPr>
          <w:rFonts w:ascii="Arial" w:hAnsi="Arial"/>
          <w:b/>
          <w:i w:val="0"/>
          <w:color w:val="24313D"/>
          <w:sz w:val="36"/>
        </w:rPr>
        <w:t>CLINICAL EXAM PREPARATION FLASHCARD COLLECTION</w:t>
      </w:r>
    </w:p>
    <w:p>
      <w:pPr>
        <w:spacing w:before="120"/>
        <w:jc w:val="center"/>
      </w:pPr>
      <w:r>
        <w:rPr>
          <w:rFonts w:ascii="Arial" w:hAnsi="Arial"/>
          <w:b w:val="0"/>
          <w:i w:val="0"/>
          <w:color w:val="1F7A8C"/>
          <w:sz w:val="24"/>
        </w:rPr>
        <w:t>Printable study cards for core reasoning and all 12 workbooks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4804"/>
            <w:shd w:fill="DDEFF2"/>
            <w:tcBorders>
              <w:top w:val="single" w:sz="12" w:color="1F7A8C"/>
              <w:left w:val="single" w:sz="12" w:color="1F7A8C"/>
              <w:bottom w:val="single" w:sz="12" w:color="1F7A8C"/>
              <w:right w:val="single" w:sz="12" w:color="1F7A8C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26"/>
              </w:rPr>
              <w:t>132 cards  •  12 core-reasoning cards  •  10 cards for each workbook</w:t>
            </w:r>
          </w:p>
        </w:tc>
      </w:tr>
    </w:tbl>
    <w:p>
      <w:pPr>
        <w:spacing w:before="360"/>
        <w:jc w:val="center"/>
      </w:pPr>
      <w:r>
        <w:rPr>
          <w:rFonts w:ascii="Arial" w:hAnsi="Arial"/>
          <w:b w:val="0"/>
          <w:i w:val="0"/>
          <w:color w:val="68737D"/>
          <w:sz w:val="20"/>
        </w:rPr>
        <w:t>Cut the cards, fold or cover the answer area, or study directly on screen.</w:t>
      </w:r>
    </w:p>
    <w:p>
      <w:pPr>
        <w:spacing w:before="160"/>
        <w:jc w:val="center"/>
      </w:pPr>
      <w:r>
        <w:rPr>
          <w:rFonts w:ascii="Arial" w:hAnsi="Arial"/>
          <w:b w:val="0"/>
          <w:i w:val="0"/>
          <w:color w:val="68737D"/>
          <w:sz w:val="19"/>
        </w:rPr>
        <w:t>Version 1.0  •  July 2026</w:t>
      </w:r>
    </w:p>
    <w:p>
      <w:r/>
    </w:p>
    <w:p>
      <w:pPr>
        <w:pStyle w:val="Heading1"/>
        <w:jc w:val="center"/>
      </w:pPr>
      <w:r>
        <w:t>How to Use the LPCC Flashcards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5"/>
        <w:gridCol w:w="4935"/>
        <w:gridCol w:w="4935"/>
      </w:tblGrid>
      <w:tr>
        <w:tc>
          <w:tcPr>
            <w:tcW w:type="dxa" w:w="4680"/>
            <w:shd w:fill="F3F7FA"/>
            <w:tcBorders>
              <w:top w:val="single" w:sz="8" w:color="B7C4CE"/>
              <w:left w:val="single" w:sz="8" w:color="B7C4CE"/>
              <w:bottom w:val="single" w:sz="8" w:color="B7C4CE"/>
              <w:right w:val="single" w:sz="8" w:color="B7C4CE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7A8C"/>
                <w:sz w:val="22"/>
              </w:rPr>
              <w:t>RETRIEVE</w:t>
            </w:r>
          </w:p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4313D"/>
                <w:sz w:val="18"/>
              </w:rPr>
              <w:t>Read the question. Cover the answer. Say the rule, sequence, or next step aloud before checking.</w:t>
            </w:r>
          </w:p>
        </w:tc>
        <w:tc>
          <w:tcPr>
            <w:tcW w:type="dxa" w:w="4680"/>
            <w:shd w:fill="F3F7FA"/>
            <w:tcBorders>
              <w:top w:val="single" w:sz="8" w:color="B7C4CE"/>
              <w:left w:val="single" w:sz="8" w:color="B7C4CE"/>
              <w:bottom w:val="single" w:sz="8" w:color="B7C4CE"/>
              <w:right w:val="single" w:sz="8" w:color="B7C4CE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7A8C"/>
                <w:sz w:val="22"/>
              </w:rPr>
              <w:t>APPLY</w:t>
            </w:r>
          </w:p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4313D"/>
                <w:sz w:val="18"/>
              </w:rPr>
              <w:t>For rule and trap cards, create a one-sentence vignette that would test the distinction.</w:t>
            </w:r>
          </w:p>
        </w:tc>
        <w:tc>
          <w:tcPr>
            <w:tcW w:type="dxa" w:w="4680"/>
            <w:shd w:fill="F3F7FA"/>
            <w:tcBorders>
              <w:top w:val="single" w:sz="8" w:color="B7C4CE"/>
              <w:left w:val="single" w:sz="8" w:color="B7C4CE"/>
              <w:bottom w:val="single" w:sz="8" w:color="B7C4CE"/>
              <w:right w:val="single" w:sz="8" w:color="B7C4CE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7A8C"/>
                <w:sz w:val="22"/>
              </w:rPr>
              <w:t>REVIEW</w:t>
            </w:r>
          </w:p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4313D"/>
                <w:sz w:val="18"/>
              </w:rPr>
              <w:t>Sort cards into Know, Unsure, and Relearn. Return missed cards to the matching workbook, quick reference, and rationale.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i w:val="0"/>
          <w:color w:val="1F7A8C"/>
          <w:sz w:val="20"/>
        </w:rPr>
        <w:t>CARD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1"/>
        <w:gridCol w:w="3701"/>
        <w:gridCol w:w="3701"/>
        <w:gridCol w:w="3701"/>
      </w:tblGrid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WB1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24313D"/>
                <w:sz w:val="14"/>
              </w:rPr>
              <w:t>NCMHCE Case-Study Strategy and Applied Counselor Reasoning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WB7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24313D"/>
                <w:sz w:val="14"/>
              </w:rPr>
              <w:t>Conceptualization, Planning, Measurement, Progress, and Termination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WB2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24313D"/>
                <w:sz w:val="14"/>
              </w:rPr>
              <w:t>LPCC Identity, Scope, Competence, and Self-Awareness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WB8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24313D"/>
                <w:sz w:val="14"/>
              </w:rPr>
              <w:t>Counseling Theories, Alliance, and Core Counseling Skills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WB3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24313D"/>
                <w:sz w:val="14"/>
              </w:rPr>
              <w:t>Intake, Consent, Interviewing, MSE, and Integrated Assessment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WB9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24313D"/>
                <w:sz w:val="14"/>
              </w:rPr>
              <w:t>Evidence-Based and Evidence-Informed Interventions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WB4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24313D"/>
                <w:sz w:val="14"/>
              </w:rPr>
              <w:t>Crisis, Trauma, Abuse, Violence, and Level-of-Care Decisions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WB10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24313D"/>
                <w:sz w:val="14"/>
              </w:rPr>
              <w:t>Multicultural, Developmental, Career, Spiritual, Disability, and Context-Responsive Counseling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WB5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24313D"/>
                <w:sz w:val="14"/>
              </w:rPr>
              <w:t>Diagnosis and Differential Diagnosis I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WB11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24313D"/>
                <w:sz w:val="14"/>
              </w:rPr>
              <w:t>Individual, Group, Couple/Family, Referral, Continuity, and Collaboration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WB6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24313D"/>
                <w:sz w:val="14"/>
              </w:rPr>
              <w:t>Diagnosis and Differential Diagnosis II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WB12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24313D"/>
                <w:sz w:val="14"/>
              </w:rPr>
              <w:t>California Legal, Ethical, Documentation, Technology, and Professional Practice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7365D"/>
          <w:sz w:val="18"/>
        </w:rPr>
        <w:t>Study rule: Use these cards after learning the workbook content. Flashcards strengthen retrieval; they do not replace the full workbook, question-bank rationales, quick-reference library, or current official exam and licensing information.</w:t>
      </w:r>
      <w:r>
        <w:rPr>
          <w:rFonts w:ascii="Arial" w:hAnsi="Arial"/>
          <w:b w:val="0"/>
          <w:i w:val="0"/>
          <w:color w:val="24313D"/>
          <w:sz w:val="18"/>
        </w:rPr>
      </w:r>
    </w:p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How should the LPCC flashcards be used?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Use them after learning the full material. Retrieve the answer aloud, check it, then return missed cards to the matching workbook and rationale.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is the LPCC six-pass case decision sequence?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READ → LOCATE → STAGE → PRIORITIZE → CHOOSE → CHECK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should you read before solving the full vignette?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Read the final question and qualifier first. Identify the exact task before comparing answer choices.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evidence controls an answer in a three-part case?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Use only information available in the current case section. Do not use later facts to justify an earlier answer.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What should happen before routine treatment when urgency is present?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Address immediate medical, safety, abuse, violence, or legal duties before routine assessment, planning, or intervention.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should you do when decision-critical facts are missing?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Gather the missing information before selecting a later-stage diagnosis, plan, referral, or intervention.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How should scope and competence affect the choice?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Choose an action that is legally authorized, within current competence, role-appropriate, and proportionate to client risk.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How should culture, preference, and access affect the response?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Use client-defined meaning and preferences, adapt delivery to context, and reject options the client cannot realistically access or use.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makes a clinically reasonable action complete?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Include the needed documentation, coordination or handoff, measurement, continuity, and follow-up.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are the seven CTA LPCC error codes?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 Content • S Stage/Sequence • Q Qualifier • E Evidence • R Role/Scope • X Context/Access • F Follow-Up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When should you change an answer during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Change it only when a specific case fact, principle, role boundary, or sequence makes the original answer weaker—not because another option sounds more sophisticated.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is the LPCC 10-second reset?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State the task, current stage, controlling evidence, and safest feasible next step in one sentence—then choose and move forward.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Task → Section → Evidence → Priority → Best-Supported Action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Case Navigation + Decision Control. Use it to organize the reasoning priorities in NCMHCE Case-Study Strategy and Applied Counselor Reasoning.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Treat each three-part case as an unfolding record. Reorient when new information appears.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FIRST, NEXT, BEST, MOST, and LEAST RESTRICTIVE test different decisions; do not treat them as interchangeable.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Answer from the current section only. Later information cannot retroactively justify an earlier choice.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Reading for diagnosis before identifying the question task.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Choosing the most intensive or sophisticated response instead of the best-timed response.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Changing an answer because later case facts create hindsight rather than because the original evidence supported the change.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What is the exact task word? • Which case section am I in? • What option fits the known facts without assumptions?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For each missed item, record the task word, section, overlooked clue, distractor type, and corrected rule.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Legal Authority → Actual Competence → Self-Awareness → Client Protection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Professional Responsibility Sequence. Use it to organize the reasoning priorities in LPCC Identity, Scope, Competence, and Self-Awareness.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Confirm that the activity is legally within the LPCC role before asking whether the counselor is competent to provide it.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Competence depends on relevant education, training, supervised experience, skill, and current circumstances—not confidence alone.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Use consultation, supervision, training, collaboration, modification, referral, or transfer in proportion to the limitation and risk.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Assuming licensure, years of experience, client consent, or supervisor approval expands statutory scope.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Treating countertransference, bias, stress, or impairment as moral failure rather than information requiring assessment and action.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Referring automatically when consultation or supported care could protect the client—or continuing when a safe correction is not possible.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Is the service legally authorized for this role? • What evidence supports current competence? • What protective response matches the actual risk?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State the difference between scope of practice and scope of competence, then name one proportionate corrective action.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Client/Consent → Engage → Screen → Clarify → Integrate → Plan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Intake + Assessment Sequence. Use it to organize the reasoning priorities in Intake, Consent, Interviewing, MSE, and Integrated Assessment.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Establish who the client is, purpose of services, participants, privacy limits, communication expectations, and informed consent.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Move from broad, respectful inquiry to focused clarification; explain sensitive questions and preserve choice.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Separate MSE observation from inference, integrate multiple sources, and use tools only when they improve a clinical decision.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Collecting extensive history or collateral information before purpose, consent, and authorization are clear.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Treating one test score, one behavior, or one cultural assumption as the whole assessment.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Documenting diagnostic conclusions that exceed the available timeline, corroboration, or observed evidence.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What intake structure must be clarified first? • What is observed, reported, inferred, or still missing? • Will this question, measure, or collateral source change the next decision?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Write a six-domain assessment note: presenting concern, context, functioning, risk, strengths, and missing data.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Stabilize → Assess Directly → Formulate Acuity → Execute → Reconnect/Record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SAFER Crisis Sequence. Use it to organize the reasoning priorities in Crisis, Trauma, Abuse, Violence, and Level-of-Care Decisions.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When risk is unclear, assess directly. When imminent danger, medical urgency, or a controlling duty is established, act proportionately.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Translate labels into facts: ideation, intent, plan, means, timing, history, capacity, exposure, protective factors, location, and reachability.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Match level of care to acuity and feasibility; include handoff, continuity, documentation, and follow-up.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Using reassurance, a no-harm promise, or a generic resource list instead of direct assessment.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Selecting the most restrictive option before evaluating threshold, capacity, supports, and feasible alternatives.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Pressing trauma detail, confronting a possible victim, or delaying a required protective/reporting response.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What immediate signal needs clarification? • What facts determine acuity, duty, and level of care? • Can the safety plan actually be reached and used?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Practice stating the next two direct questions and the threshold that would change the response.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Pattern → Timeline → Impact → Exclusions → Alternatives → Status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Working Diagnostic Formulation. Use it to organize the reasoning priorities in Diagnosis and Differential Diagnosis I.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Diagnosis is a working conclusion based on syndrome pattern, duration, severity, impairment, context, and exclusions.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Differentiate by chronology and mechanism: episodic activation vs chronic anxiety; intrusion/avoidance vs psychosis; obsession/compulsion vs generalized worry.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Use provisional, rule-out, other specified, unspecified, and deferred status only when the evidence supports that level of certainty.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Diagnosing from the most dramatic symptom or selecting the most severe-sounding label.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Ignoring baseline, sleep, substances, medications, medical conditions, trauma timing, or periods of remission.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Forcing one diagnosis to explain cultural meaning, relational context, environmental stress, or co-occurring conditions.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What is the full pattern and chronology? • Which exclusion or competing explanation remains? • Is the evidence sufficient to diagnose, gather more, or refer?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Write one working formulation, two competing explanations, and the next fact needed to distinguish them.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Urgency → Substance/Medical → Development/Pattern → Comorbidity → Care Level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Complex Differential Sequence. Use it to organize the reasoning priorities in Diagnosis and Differential Diagnosis II.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Address intoxication, withdrawal, delirium, severe nutritional compromise, medication effects, and other medical red flags before routine diagnosis.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Personality and neurodevelopmental formulations require longitudinal, cross-context patterns—not one difficult interaction.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Assess co-occurrence, functional impact, stage of change, and the need for coordinated or specialized care.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Calling behavior manipulative, resistant, or personality-disordered without developmental and contextual assessment.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Assuming a psychiatric explanation when sleep, substance, neurological, endocrine, medication, or other medical factors remain plausible.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Using outpatient talk therapy as the default when withdrawal risk, eating-disorder acuity, psychosis, or medical instability requires more.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Is there a medical or withdrawal priority? • Is the pattern persistent across time and settings? • What co-occurring condition or care-level need changes the plan?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Build a differential grid with evidence for, evidence against, missing data, urgency, and referral/coordination needs.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Formulation → Goals → Objectives → Intervention → Measure → Review → Transition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Plan-Review-Continuity Loop. Use it to organize the reasoning priorities in Conceptualization, Planning, Measurement, Progress, and Termination.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Connect presenting problems, contributing and maintaining factors, strengths, barriers, and protective factors to the plan.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Make goals collaborative and meaningful; make objectives observable, time-linked, and feasible; select interventions that target the stated mechanism.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Use baseline and repeated data. Nonresponse triggers reassessment of formulation, alliance, implementation, access, dose, and level of care.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Writing vague goals such as “feel better” without indicators, timing, or client-defined meaning.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Changing techniques repeatedly without checking whether the original plan was implemented or accessible.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Ending solely because symptoms improved, attendance declined, or coverage changed without continuity, relapse prevention, and follow-up.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What mechanism or barrier is the plan targeting? • How will change be measured and when reviewed? • What transition or relapse-prevention step protects continuity?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Complete one chain: formulation factor → goal → measurable objective → intervention → measure → review date.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Client Meaning → Maintaining Mechanism → Alliance Need → Theory-Consistent Skill → Response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Theory + Relationship Fit. Use it to organize the reasoning priorities in Counseling Theories, Alliance, and Core Counseling Skills.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Theory is a testable map linking observations, mechanism, target, intervention, and expected response.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Alliance requires empathy, collaboration, cultural humility, boundaries, and repair—not agreement with every belief or avoidance of challenge.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Choose the micro-skill that fits the moment: reflection, clarification, immediacy, summarizing, gentle discrepancy, psychoeducation, or collaborative problem solving.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Matching a diagnosis or vocabulary word to a theory without identifying the mechanism.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Using confrontation, interpretation, advice, or silence before sufficient safety and alliance exist.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Treating rupture as client resistance rather than checking counselor impact, misunderstanding, power, culture, and treatment fit.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What mechanism is the theory explaining? • What does the alliance need in this moment? • Which skill advances the client’s goal without exceeding readiness?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For one vignette, name the mechanism, alliance task, selected skill, and expected observable response.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Safety → Target → Mechanism → Readiness → Method/Dose → Measure → Adjust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Intervention Fit Sequence. Use it to organize the reasoning priorities in Evidence-Based and Evidence-Informed Interventions.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Evidence-based care integrates research, counselor competence, clinical judgment, client characteristics, values, preferences, and context.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Match the method to a defined target and mechanism; sequence stabilization, skills, exposure/processing, recovery, or relapse prevention deliberately.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For nonresponse, reassess diagnosis, risk, alliance, adherence, access, treatment dose, competing needs, and care level before technique shopping.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Choosing a familiar intervention because it is popular rather than because it fits the formulation.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Beginning exposure, trauma processing, conjoint work, or behavior change before safety, consent, readiness, and implementation supports are present.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Calling an intervention ineffective without measuring fidelity, participation, barriers, and outcome.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What exact target and mechanism must change? • Is the client ready and able to use this method? • What result and review point will show whether to continue or adjust?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Write a target-mechanism-method-measure statement for one CBT, MI, DBT-skills, trauma, substance-use, or career intervention.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Client Meaning → Power/Context → Development → Adaptation → Access → Outcome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Ask-Adapt-Access-Evaluate. Use it to organize the reasoning priorities in Multicultural, Developmental, Career, Spiritual, Disability, and Context-Responsive Counseling.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Ask how the client understands identity, distress, family/community expectations, spirituality, work, disability, and help-seeking.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Context must change delivery: language, pacing, examples, modality, participants, materials, goals, and decision-making process.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Treat cost, transportation, technology, housing, work schedules, caregiving, language, discrimination, and disability access as treatment variables.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Assuming needs, values, or preferences from a demographic category or developmental label.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Pathologizing culturally meaningful behavior, spiritual belief, disability response, or career concern without impairment and context.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Labeling missed appointments or limited follow-through as resistance when access, power, safety, or accommodation is the controlling issue.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What meaning does the client assign to this issue? • What power, developmental, or access condition changes delivery? • What concrete adaptation will be evaluated?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Name one client-led adaptation and the observable outcome that would show it improved access, alliance, or effectiveness.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Purpose → Safety/Consent → Readiness → Role/Scope → Coordination → Follow-Up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Modality + Continuity Decision. Use it to organize the reasoning priorities in Individual, Group, Couple/Family, Referral, Continuity, and Collaboration.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Select individual, group, couple/family, or coordinated care because the treatment unit and mechanism fit the case—not by default.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Screen group purpose, composition, readiness, confidentiality limits, process risk, and facilitation plan.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A referral does not end responsibility: explain the rationale, support access, share only authorized/necessary information, and confirm continuity.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Beginning conjoint or family work when violence, coercion, privacy, consent, or LPCC role/scope concerns have not been addressed.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Placing a client in a group without screening fit, acuity, expectations, or ability to participate safely.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Assuming consultation transfers responsibility or permits broad information sharing.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Which treatment unit best matches the target? • Are safety, consent, readiness, and scope established? • Who owns each next step and how will follow-up be confirmed?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Complete a continuity statement: purpose, referral/collaborator role, authorization, information shared, access barrier, and follow-up date.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Issue → Current Authority → Client/Safety Facts → Options → Least Harm → Document/Review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Legal-Ethical Practice Sequence. Use it to organize the reasoning priorities in California Legal, Ethical, Documentation, Technology, and Professional Practice.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Identify the controlling legal or ethical issue, verify current official authority when rules may have changed, and distinguish legal requirements from best practice.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Use informed consent as an ongoing process; disclose privacy limits, fees, communication/technology practices, emergencies, records, and material treatment changes.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Document clinically relevant facts, reasoning, actions, consultation, coordination, and follow-up with objective, respectful, minimum-necessary detail.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Relying on an outdated school rule, memory, social-media summary, employer custom, or another profession’s practice act.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Treating confidentiality as absolute or disclosing broadly because an exception, authorization, or collaboration exists.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130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Using telehealth, texting, social media, recording, AI tools, or electronic records without consent, security, competence, jurisdiction, and contingency planning.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131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What exact legal/ethical issue and current authority apply? • What facts determine duty, permission, or prohibition? • What documentation, consultation, notification, or follow-up is required?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LPCC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132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Write a brief ethical decision record: issue, authority checked, facts, options, risks, consultation, decision, and review plan.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504" w:right="518" w:bottom="504" w:left="518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8737D"/>
        <w:sz w:val="15"/>
      </w:rPr>
      <w:t xml:space="preserve">Clinical Training Academy |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1F7A8C"/>
        <w:sz w:val="14"/>
      </w:rPr>
      <w:t>CLINICAL TRAINING ACADEMY  •  LPCC FLASHCARDS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2431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7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1F7A8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LPCC Clinical Exam Preparation Flashcard Collection</dc:title>
  <dc:subject>132 student flashcards for LPCC/NCMHCE clinical reasoning and twelve workbooks</dc:subject>
  <dc:creator>Clinical Training &amp; Supervision Academy</dc:creator>
  <cp:keywords>LPCC, NCMHCE, flashcards, exam preparation, clinical reasoning, CTA</cp:keywords>
  <dc:description>Exam preparation resource. No CE credit.</dc:description>
  <cp:lastModifiedBy>Clinical Training Academy</cp:lastModifiedBy>
  <cp:revision>1</cp:revision>
  <dcterms:created xsi:type="dcterms:W3CDTF">2013-12-23T23:15:00Z</dcterms:created>
  <dcterms:modified xsi:type="dcterms:W3CDTF">2013-12-23T23:15:00Z</dcterms:modified>
  <cp:category/>
</cp:coreProperties>
</file>