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278901"/>
            <wp:docPr id="1" name="CTA horizontal logo" descr="Clinical Training Academy logo"/>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34440" cy="278901"/>
                    </a:xfrm>
                    <a:prstGeom prst="rect"/>
                  </pic:spPr>
                </pic:pic>
              </a:graphicData>
            </a:graphic>
          </wp:inline>
        </w:drawing>
      </w:r>
    </w:p>
    <w:p>
      <w:pPr>
        <w:spacing w:after="180"/>
        <w:jc w:val="center"/>
      </w:pPr>
      <w:r>
        <w:rPr>
          <w:rFonts w:ascii="Arial" w:hAnsi="Arial" w:eastAsia="Arial"/>
          <w:b/>
          <w:i w:val="0"/>
          <w:color w:val="17365D"/>
          <w:sz w:val="28"/>
        </w:rPr>
        <w:t>LPCC NCMHCE EXAM PREPARATION PROGRAM</w:t>
      </w:r>
    </w:p>
    <w:p>
      <w:pPr>
        <w:spacing w:after="320"/>
        <w:jc w:val="center"/>
      </w:pPr>
      <w:r>
        <w:rPr>
          <w:rFonts w:ascii="Arial" w:hAnsi="Arial" w:eastAsia="Arial"/>
          <w:b w:val="0"/>
          <w:i w:val="0"/>
          <w:color w:val="159C9C"/>
          <w:sz w:val="24"/>
        </w:rPr>
        <w:t>Student Workbook</w:t>
      </w:r>
    </w:p>
    <w:p>
      <w:pPr>
        <w:spacing w:after="160"/>
        <w:jc w:val="center"/>
      </w:pPr>
      <w:r>
        <w:rPr>
          <w:rFonts w:ascii="Arial" w:hAnsi="Arial" w:eastAsia="Arial"/>
          <w:b/>
          <w:i w:val="0"/>
          <w:color w:val="17365D"/>
          <w:sz w:val="30"/>
        </w:rPr>
        <w:t>CTA LPCC Workbook 10</w:t>
      </w:r>
    </w:p>
    <w:p>
      <w:pPr>
        <w:keepLines/>
        <w:spacing w:after="280"/>
        <w:jc w:val="center"/>
      </w:pPr>
      <w:r>
        <w:rPr>
          <w:rFonts w:ascii="Arial" w:hAnsi="Arial" w:eastAsia="Arial"/>
          <w:b/>
          <w:i w:val="0"/>
          <w:color w:val="17365D"/>
          <w:sz w:val="44"/>
        </w:rPr>
        <w:t>Multicultural, Developmental, Career, Spiritual, Disability, and Context-Responsive Counseling</w:t>
      </w:r>
    </w:p>
    <w:p>
      <w:pPr>
        <w:spacing w:after="520"/>
        <w:jc w:val="center"/>
      </w:pPr>
      <w:r>
        <w:rPr>
          <w:rFonts w:ascii="Arial" w:hAnsi="Arial" w:eastAsia="Arial"/>
          <w:b w:val="0"/>
          <w:i/>
          <w:color w:val="1F2937"/>
          <w:sz w:val="22"/>
        </w:rPr>
        <w:t>How to recognize context, preserve client dignity and autonomy, remove access barriers, and select developmentally and culturally responsive counseling actions</w:t>
      </w:r>
    </w:p>
    <w:p>
      <w:pPr>
        <w:jc w:val="center"/>
      </w:pPr>
      <w:r>
        <w:rPr>
          <w:rFonts w:ascii="Arial" w:hAnsi="Arial" w:eastAsia="Arial"/>
          <w:b w:val="0"/>
          <w:i w:val="0"/>
          <w:color w:val="159C9C"/>
          <w:sz w:val="20"/>
        </w:rPr>
        <w:t>Version 1.0 - July 2026</w:t>
      </w:r>
    </w:p>
    <w:p>
      <w:pPr>
        <w:spacing w:before="2900"/>
        <w:jc w:val="center"/>
      </w:pPr>
      <w:r>
        <w:rPr>
          <w:rFonts w:ascii="Arial" w:hAnsi="Arial" w:eastAsia="Arial"/>
          <w:b/>
          <w:i w:val="0"/>
          <w:color w:val="17365D"/>
          <w:sz w:val="20"/>
        </w:rPr>
        <w:t>Clinical Training Academy</w:t>
      </w:r>
    </w:p>
    <w:p>
      <w:pPr>
        <w:jc w:val="center"/>
      </w:pPr>
      <w:r>
        <w:rPr>
          <w:rFonts w:ascii="Arial" w:hAnsi="Arial" w:eastAsia="Arial"/>
          <w:b w:val="0"/>
          <w:i w:val="0"/>
          <w:color w:val="1F2937"/>
          <w:sz w:val="18"/>
        </w:rPr>
        <w:t>Editable Word workbook | Self-paced study | Educational use</w:t>
      </w:r>
    </w:p>
    <w:p>
      <w:r>
        <w:br w:type="page"/>
      </w:r>
    </w:p>
    <w:p>
      <w:pPr>
        <w:pStyle w:val="Heading1"/>
        <w:keepNext/>
      </w:pPr>
      <w:r>
        <w:t>How to Use This Workbook</w:t>
      </w:r>
    </w:p>
    <w:p>
      <w:pPr>
        <w:keepLines w:val="0"/>
      </w:pPr>
      <w:r>
        <w:rPr>
          <w:rFonts w:ascii="Arial" w:hAnsi="Arial" w:eastAsia="Arial"/>
          <w:b w:val="0"/>
          <w:i w:val="0"/>
          <w:color w:val="1F2937"/>
          <w:sz w:val="20"/>
        </w:rPr>
        <w:t>Workbook 10 teaches you to treat culture, development, disability, language, spirituality, career, family, community, and material conditions as clinically relevant evidence rather than decorative background. The goal is not to memorize stereotypes or select a special technique for every identity. The goal is to ask better questions, identify barriers and strengths, collaborate on meaning, and choose the next action that is safe, respectful, feasible, and within LPCC competence.</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8" w:color="17365D"/>
              <w:left w:val="single" w:sz="8" w:color="17365D"/>
              <w:bottom w:val="single" w:sz="8" w:color="17365D"/>
              <w:right w:val="single" w:sz="8" w:color="17365D"/>
            </w:tcBorders>
          </w:tcPr>
          <w:p>
            <w:pPr>
              <w:keepLines/>
              <w:spacing w:after="0"/>
            </w:pPr>
            <w:r>
              <w:rPr>
                <w:rFonts w:ascii="Arial" w:hAnsi="Arial" w:eastAsia="Arial"/>
                <w:b/>
                <w:i w:val="0"/>
                <w:color w:val="17365D"/>
                <w:sz w:val="18"/>
              </w:rPr>
              <w:t xml:space="preserve">CURRENT NCMHCE ALIGNMENT  </w:t>
            </w:r>
            <w:r>
              <w:rPr>
                <w:rFonts w:ascii="Arial" w:hAnsi="Arial" w:eastAsia="Arial"/>
                <w:b w:val="0"/>
                <w:i w:val="0"/>
                <w:color w:val="1F2937"/>
                <w:sz w:val="18"/>
              </w:rPr>
              <w:t>Primary emphasis: Core Counseling Attributes and Intake, Assessment, and Diagnosis. Secondary emphasis: Counseling Skills and Interventions and Professional Practice and Ethics. Areas of Clinical Focus are embedded within case-study decisions.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8F6F6"/>
            <w:tcMar>
              <w:top w:w="110" w:type="dxa"/>
              <w:start w:w="130" w:type="dxa"/>
              <w:bottom w:w="110" w:type="dxa"/>
              <w:end w:w="130" w:type="dxa"/>
            </w:tcMar>
            <w:tcBorders>
              <w:top w:val="single" w:sz="8" w:color="159C9C"/>
              <w:left w:val="single" w:sz="8" w:color="159C9C"/>
              <w:bottom w:val="single" w:sz="8" w:color="159C9C"/>
              <w:right w:val="single" w:sz="8" w:color="159C9C"/>
            </w:tcBorders>
          </w:tcPr>
          <w:p>
            <w:pPr>
              <w:keepLines/>
              <w:spacing w:after="0"/>
            </w:pPr>
            <w:r>
              <w:rPr>
                <w:rFonts w:ascii="Arial" w:hAnsi="Arial" w:eastAsia="Arial"/>
                <w:b/>
                <w:i w:val="0"/>
                <w:color w:val="159C9C"/>
                <w:sz w:val="18"/>
              </w:rPr>
              <w:t xml:space="preserve">JULY 2027 BRIDGE  </w:t>
            </w:r>
            <w:r>
              <w:rPr>
                <w:rFonts w:ascii="Arial" w:hAnsi="Arial" w:eastAsia="Arial"/>
                <w:b w:val="0"/>
                <w:i w:val="0"/>
                <w:color w:val="1F2937"/>
                <w:sz w:val="18"/>
              </w:rPr>
              <w:t>This workbook also prepares candidates for tasks involving intake and assessment, provision of interventions, indirect client care, legal and ethical compliance, advocacy, cross-cultural fairness, accessibility, and counselor self-awareness.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8E7"/>
            <w:tcMar>
              <w:top w:w="110" w:type="dxa"/>
              <w:start w:w="130" w:type="dxa"/>
              <w:bottom w:w="110" w:type="dxa"/>
              <w:end w:w="130" w:type="dxa"/>
            </w:tcMar>
            <w:tcBorders>
              <w:top w:val="single" w:sz="8" w:color="A66A00"/>
              <w:left w:val="single" w:sz="8" w:color="A66A00"/>
              <w:bottom w:val="single" w:sz="8" w:color="A66A00"/>
              <w:right w:val="single" w:sz="8" w:color="A66A00"/>
            </w:tcBorders>
          </w:tcPr>
          <w:p>
            <w:pPr>
              <w:keepLines/>
              <w:spacing w:after="0"/>
            </w:pPr>
            <w:r>
              <w:rPr>
                <w:rFonts w:ascii="Arial" w:hAnsi="Arial" w:eastAsia="Arial"/>
                <w:b/>
                <w:i w:val="0"/>
                <w:color w:val="A66A00"/>
                <w:sz w:val="18"/>
              </w:rPr>
              <w:t xml:space="preserve">CALIFORNIA LPCC SCOPE CONTROL  </w:t>
            </w:r>
            <w:r>
              <w:rPr>
                <w:rFonts w:ascii="Arial" w:hAnsi="Arial" w:eastAsia="Arial"/>
                <w:b w:val="0"/>
                <w:i w:val="0"/>
                <w:color w:val="1F2937"/>
                <w:sz w:val="18"/>
              </w:rPr>
              <w:t>California professional clinical counseling includes development, wellness, adjustment to disability, psychosocial and environmental problems, and assessment for counseling goals. Refer when needs exceed education, training, experience, or lawful assessment authority.</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DECEC"/>
            <w:tcMar>
              <w:top w:w="110" w:type="dxa"/>
              <w:start w:w="130" w:type="dxa"/>
              <w:bottom w:w="110" w:type="dxa"/>
              <w:end w:w="130" w:type="dxa"/>
            </w:tcMar>
            <w:tcBorders>
              <w:top w:val="single" w:sz="8" w:color="A61B1B"/>
              <w:left w:val="single" w:sz="8" w:color="A61B1B"/>
              <w:bottom w:val="single" w:sz="8" w:color="A61B1B"/>
              <w:right w:val="single" w:sz="8" w:color="A61B1B"/>
            </w:tcBorders>
          </w:tcPr>
          <w:p>
            <w:pPr>
              <w:keepLines/>
              <w:spacing w:after="0"/>
            </w:pPr>
            <w:r>
              <w:rPr>
                <w:rFonts w:ascii="Arial" w:hAnsi="Arial" w:eastAsia="Arial"/>
                <w:b/>
                <w:i w:val="0"/>
                <w:color w:val="A61B1B"/>
                <w:sz w:val="18"/>
              </w:rPr>
              <w:t xml:space="preserve">NO GUARANTEE / EDUCATIONAL USE  </w:t>
            </w:r>
            <w:r>
              <w:rPr>
                <w:rFonts w:ascii="Arial" w:hAnsi="Arial" w:eastAsia="Arial"/>
                <w:b w:val="0"/>
                <w:i w:val="0"/>
                <w:color w:val="1F2937"/>
                <w:sz w:val="18"/>
              </w:rPr>
              <w:t>CTA materials support examination preparation and professional learning. They do not guarantee passage, replace the official candidate handbook, or substitute for legal advice, supervision, consultation, diagnosis, or individualized clinical judgment.</w:t>
            </w:r>
          </w:p>
        </w:tc>
      </w:tr>
    </w:tbl>
    <w:p>
      <w:pPr>
        <w:spacing w:after="0"/>
      </w:pPr>
    </w:p>
    <w:p>
      <w:pPr>
        <w:pStyle w:val="Heading2"/>
        <w:keepNext/>
      </w:pPr>
      <w:r>
        <w:t>Learning Objectives</w:t>
      </w:r>
    </w:p>
    <w:p>
      <w:pPr>
        <w:pStyle w:val="ListBullet"/>
        <w:spacing w:after="30"/>
      </w:pPr>
      <w:r>
        <w:rPr>
          <w:rFonts w:ascii="Arial" w:hAnsi="Arial" w:eastAsia="Arial"/>
          <w:b w:val="0"/>
          <w:i w:val="0"/>
          <w:color w:val="1F2937"/>
          <w:sz w:val="20"/>
        </w:rPr>
        <w:t>Apply cultural humility, broaching, self-reflection, and repair when identity, power, bias, oppression, or difference affects the counseling relationship.</w:t>
      </w:r>
    </w:p>
    <w:p>
      <w:pPr>
        <w:pStyle w:val="ListBullet"/>
        <w:spacing w:after="30"/>
      </w:pPr>
      <w:r>
        <w:rPr>
          <w:rFonts w:ascii="Arial" w:hAnsi="Arial" w:eastAsia="Arial"/>
          <w:b w:val="0"/>
          <w:i w:val="0"/>
          <w:color w:val="1F2937"/>
          <w:sz w:val="20"/>
        </w:rPr>
        <w:t>Select language assistance, disability accommodations, communication supports, and accessible materials that preserve informed participation and client autonomy.</w:t>
      </w:r>
    </w:p>
    <w:p>
      <w:pPr>
        <w:pStyle w:val="ListBullet"/>
        <w:spacing w:after="30"/>
      </w:pPr>
      <w:r>
        <w:rPr>
          <w:rFonts w:ascii="Arial" w:hAnsi="Arial" w:eastAsia="Arial"/>
          <w:b w:val="0"/>
          <w:i w:val="0"/>
          <w:color w:val="1F2937"/>
          <w:sz w:val="20"/>
        </w:rPr>
        <w:t>Integrate lifespan development, career and educational context, family roles, social determinants, and community conditions into assessment and treatment planning.</w:t>
      </w:r>
    </w:p>
    <w:p>
      <w:pPr>
        <w:pStyle w:val="ListBullet"/>
        <w:spacing w:after="30"/>
      </w:pPr>
      <w:r>
        <w:rPr>
          <w:rFonts w:ascii="Arial" w:hAnsi="Arial" w:eastAsia="Arial"/>
          <w:b w:val="0"/>
          <w:i w:val="0"/>
          <w:color w:val="1F2937"/>
          <w:sz w:val="20"/>
        </w:rPr>
        <w:t>Explore spirituality, grief, chronic illness, caregiving, aging, disability adjustment, and major transitions without imposing values or automatically pathologizing culturally expected responses.</w:t>
      </w:r>
    </w:p>
    <w:p>
      <w:pPr>
        <w:pStyle w:val="ListBullet"/>
        <w:spacing w:after="30"/>
      </w:pPr>
      <w:r>
        <w:rPr>
          <w:rFonts w:ascii="Arial" w:hAnsi="Arial" w:eastAsia="Arial"/>
          <w:b w:val="0"/>
          <w:i w:val="0"/>
          <w:color w:val="1F2937"/>
          <w:sz w:val="20"/>
        </w:rPr>
        <w:t>Adapt assessment and intervention delivery while preserving clinical purpose, monitoring outcomes, documenting barriers, and using consultation, referral, coordination, and advocacy appropriately.</w:t>
      </w:r>
    </w:p>
    <w:p>
      <w:pPr>
        <w:pStyle w:val="Heading2"/>
        <w:keepNext/>
      </w:pPr>
      <w:r>
        <w:t>Why This Topic Matters</w:t>
      </w:r>
    </w:p>
    <w:p>
      <w:pPr>
        <w:keepLines w:val="0"/>
      </w:pPr>
      <w:r>
        <w:rPr>
          <w:rFonts w:ascii="Arial" w:hAnsi="Arial" w:eastAsia="Arial"/>
          <w:b w:val="0"/>
          <w:i w:val="0"/>
          <w:color w:val="1F2937"/>
          <w:sz w:val="20"/>
        </w:rPr>
        <w:t>NCMHCE case studies often place the decisive clue in the client’s context: a preferred language, an inaccessible form, a family role, a faith practice, a developmental transition, a work or school barrier, an experience of discrimination, or a difference between the counselor’s assumptions and the client’s meaning. The strongest answer usually avoids two extremes: ignoring context and reducing the client to context. It asks, collaborates, removes barriers, and links the response to the clinical task.</w:t>
      </w:r>
    </w:p>
    <w:p>
      <w:r>
        <w:br w:type="page"/>
      </w:r>
    </w:p>
    <w:p>
      <w:pPr>
        <w:pStyle w:val="Heading2"/>
        <w:keepNext/>
      </w:pPr>
      <w:r>
        <w:t>Workbook Roadmap</w:t>
      </w:r>
    </w:p>
    <w:tbl>
      <w:tblPr>
        <w:tblW w:type="auto" w:w="0"/>
        <w:jc w:val="center"/>
        <w:tblLayout w:type="fixed"/>
        <w:tblLook w:firstColumn="1" w:firstRow="1" w:lastColumn="0" w:lastRow="0" w:noHBand="0" w:noVBand="1" w:val="04A0"/>
      </w:tblPr>
      <w:tblGrid>
        <w:gridCol w:w="1008"/>
        <w:gridCol w:w="7776"/>
        <w:gridCol w:w="2160"/>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Chapter</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Focus</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Primary Tool</w:t>
            </w:r>
          </w:p>
        </w:tc>
      </w:tr>
      <w:tr>
        <w:trPr>
          <w:cantSplit/>
        </w:trPr>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1</w:t>
            </w:r>
          </w:p>
        </w:tc>
        <w:tc>
          <w:tcPr>
            <w:tcW w:type="dxa" w:w="777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Cultural humility, broaching, power, and social justice</w:t>
            </w:r>
          </w:p>
        </w:tc>
        <w:tc>
          <w:tcPr>
            <w:tcW w:type="dxa" w:w="216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HUMBLE</w:t>
            </w:r>
          </w:p>
        </w:tc>
      </w:tr>
      <w:tr>
        <w:trPr>
          <w:cantSplit/>
        </w:trPr>
        <w:tc>
          <w:tcPr>
            <w:tcW w:type="dxa" w:w="10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2</w:t>
            </w:r>
          </w:p>
        </w:tc>
        <w:tc>
          <w:tcPr>
            <w:tcW w:type="dxa" w:w="777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Identity, language, disability, access, and accommodations</w:t>
            </w:r>
          </w:p>
        </w:tc>
        <w:tc>
          <w:tcPr>
            <w:tcW w:type="dxa" w:w="216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ACCESS</w:t>
            </w:r>
          </w:p>
        </w:tc>
      </w:tr>
      <w:tr>
        <w:trPr>
          <w:cantSplit/>
        </w:trPr>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3</w:t>
            </w:r>
          </w:p>
        </w:tc>
        <w:tc>
          <w:tcPr>
            <w:tcW w:type="dxa" w:w="777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Lifespan development, career, and educational context</w:t>
            </w:r>
          </w:p>
        </w:tc>
        <w:tc>
          <w:tcPr>
            <w:tcW w:type="dxa" w:w="216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LIFESPAN</w:t>
            </w:r>
          </w:p>
        </w:tc>
      </w:tr>
      <w:tr>
        <w:trPr>
          <w:cantSplit/>
        </w:trPr>
        <w:tc>
          <w:tcPr>
            <w:tcW w:type="dxa" w:w="10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4</w:t>
            </w:r>
          </w:p>
        </w:tc>
        <w:tc>
          <w:tcPr>
            <w:tcW w:type="dxa" w:w="777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Spirituality, grief, chronic illness, caregiving, aging, and transitions</w:t>
            </w:r>
          </w:p>
        </w:tc>
        <w:tc>
          <w:tcPr>
            <w:tcW w:type="dxa" w:w="216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MEANING</w:t>
            </w:r>
          </w:p>
        </w:tc>
      </w:tr>
      <w:tr>
        <w:trPr>
          <w:cantSplit/>
        </w:trPr>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5</w:t>
            </w:r>
          </w:p>
        </w:tc>
        <w:tc>
          <w:tcPr>
            <w:tcW w:type="dxa" w:w="777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Culturally responsive assessment, intervention, and advocacy</w:t>
            </w:r>
          </w:p>
        </w:tc>
        <w:tc>
          <w:tcPr>
            <w:tcW w:type="dxa" w:w="216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RESPOND</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8E7"/>
            <w:tcMar>
              <w:top w:w="110" w:type="dxa"/>
              <w:start w:w="130" w:type="dxa"/>
              <w:bottom w:w="110" w:type="dxa"/>
              <w:end w:w="130" w:type="dxa"/>
            </w:tcMar>
            <w:tcBorders>
              <w:top w:val="single" w:sz="8" w:color="A66A00"/>
              <w:left w:val="single" w:sz="8" w:color="A66A00"/>
              <w:bottom w:val="single" w:sz="8" w:color="A66A00"/>
              <w:right w:val="single" w:sz="8" w:color="A66A00"/>
            </w:tcBorders>
          </w:tcPr>
          <w:p>
            <w:pPr>
              <w:keepLines/>
              <w:spacing w:after="0"/>
            </w:pPr>
            <w:r>
              <w:rPr>
                <w:rFonts w:ascii="Arial" w:hAnsi="Arial" w:eastAsia="Arial"/>
                <w:b/>
                <w:i w:val="0"/>
                <w:color w:val="A66A00"/>
                <w:sz w:val="18"/>
              </w:rPr>
              <w:t xml:space="preserve">BIG IDEA  </w:t>
            </w:r>
            <w:r>
              <w:rPr>
                <w:rFonts w:ascii="Arial" w:hAnsi="Arial" w:eastAsia="Arial"/>
                <w:b w:val="0"/>
                <w:i w:val="0"/>
                <w:color w:val="1F2937"/>
                <w:sz w:val="18"/>
              </w:rPr>
              <w:t>Context-responsive counseling does not assume that identity explains everything. It ensures that identity, development, access, relationships, systems, and client meaning are considered before the counselor decides what the problem is and what should happen next.</w:t>
            </w:r>
          </w:p>
        </w:tc>
      </w:tr>
    </w:tbl>
    <w:p>
      <w:pPr>
        <w:spacing w:after="0"/>
      </w:pPr>
    </w:p>
    <w:tbl>
      <w:tblPr>
        <w:tblW w:type="auto" w:w="0"/>
        <w:jc w:val="center"/>
        <w:tblLayout w:type="fixed"/>
        <w:tblLook w:firstColumn="1" w:firstRow="1" w:lastColumn="0" w:lastRow="0" w:noHBand="0" w:noVBand="1" w:val="04A0"/>
      </w:tblPr>
      <w:tblGrid>
        <w:gridCol w:w="1037"/>
        <w:gridCol w:w="9936"/>
      </w:tblGrid>
      <w:tr>
        <w:trPr>
          <w:cantSplit/>
        </w:trPr>
        <w:tc>
          <w:tcPr>
            <w:tcW w:type="dxa" w:w="5141"/>
            <w:vMerge w:val="restart"/>
            <w:shd w:fill="17365D"/>
            <w:tcMar>
              <w:top w:w="80" w:type="dxa"/>
              <w:start w:w="80" w:type="dxa"/>
              <w:bottom w:w="80" w:type="dxa"/>
              <w:end w:w="80" w:type="dxa"/>
            </w:tcMar>
            <w:vAlign w:val="cente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44"/>
              </w:rPr>
              <w:t>1</w:t>
            </w:r>
          </w:p>
        </w:tc>
        <w:tc>
          <w:tcPr>
            <w:tcW w:type="dxa" w:w="5141"/>
            <w:shd w:fill="EAF0F7"/>
            <w:tcMar>
              <w:top w:w="90" w:type="dxa"/>
              <w:start w:w="120" w:type="dxa"/>
              <w:bottom w:w="35"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i w:val="0"/>
                <w:color w:val="17365D"/>
                <w:sz w:val="28"/>
              </w:rPr>
              <w:t>Cultural Humility, Broaching, Power, and Social Justice</w:t>
            </w:r>
          </w:p>
        </w:tc>
      </w:tr>
      <w:tr>
        <w:trPr>
          <w:cantSplit/>
        </w:trPr>
        <w:tc>
          <w:tcPr>
            <w:tcW w:type="dxa" w:w="5141"/>
            <w:vMerge/>
          </w:tcPr>
          <w:p/>
        </w:tc>
        <w:tc>
          <w:tcPr>
            <w:tcW w:type="dxa" w:w="5141"/>
            <w:shd w:fill="EAF0F7"/>
            <w:tcMar>
              <w:top w:w="35" w:type="dxa"/>
              <w:start w:w="120" w:type="dxa"/>
              <w:bottom w:w="90"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color w:val="1F2937"/>
                <w:sz w:val="18"/>
              </w:rPr>
              <w:t>Move from cultural certainty to disciplined curiosity, self-awareness, accountability, and collaborative repair.</w:t>
            </w:r>
          </w:p>
        </w:tc>
      </w:tr>
    </w:tbl>
    <w:p>
      <w:pPr>
        <w:spacing w:after="0"/>
      </w:pPr>
    </w:p>
    <w:p>
      <w:pPr>
        <w:keepLines w:val="0"/>
      </w:pPr>
      <w:r>
        <w:rPr>
          <w:rFonts w:ascii="Arial" w:hAnsi="Arial" w:eastAsia="Arial"/>
          <w:b w:val="0"/>
          <w:i w:val="0"/>
          <w:color w:val="1F2937"/>
          <w:sz w:val="20"/>
        </w:rPr>
        <w:t>Cultural humility is an ongoing stance rather than a completed achievement. It requires the counselor to examine assumptions, recognize limits, invite the client’s perspective, attend to power, and repair harm. Cultural knowledge can help generate respectful questions; it cannot replace individualized assessment.</w:t>
      </w:r>
    </w:p>
    <w:p>
      <w:pPr>
        <w:pStyle w:val="Heading2"/>
        <w:keepNext/>
      </w:pPr>
      <w:r>
        <w:t>Culture and Context in Exam Language</w:t>
      </w:r>
    </w:p>
    <w:tbl>
      <w:tblPr>
        <w:tblW w:type="auto" w:w="0"/>
        <w:jc w:val="center"/>
        <w:tblLayout w:type="fixed"/>
        <w:tblLook w:firstColumn="1" w:firstRow="1" w:lastColumn="0" w:lastRow="0" w:noHBand="0" w:noVBand="1" w:val="04A0"/>
      </w:tblPr>
      <w:tblGrid>
        <w:gridCol w:w="1800"/>
        <w:gridCol w:w="4752"/>
        <w:gridCol w:w="4392"/>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Concept</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What It Means</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Common Exam Error</w:t>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Cultural humility</w:t>
            </w:r>
          </w:p>
        </w:tc>
        <w:tc>
          <w:tcPr>
            <w:tcW w:type="dxa" w:w="47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Lifelong self-evaluation, openness, accountability, and attention to power in the counseling relationship.</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Claiming expertise about a client because the counselor studied the group.</w:t>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Broaching</w:t>
            </w:r>
          </w:p>
        </w:tc>
        <w:tc>
          <w:tcPr>
            <w:tcW w:type="dxa" w:w="47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Intentionally opening space to discuss identity, culture, discrimination, power, and difference when clinically relevant.</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Avoiding the topic to appear neutral, or forcing disclosure before trust exists.</w:t>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Intersectionality</w:t>
            </w:r>
          </w:p>
        </w:tc>
        <w:tc>
          <w:tcPr>
            <w:tcW w:type="dxa" w:w="47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Multiple identities and systems interact; one identity does not operate in isolation.</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Treating the client as a single category or assuming all identities have equal salience.</w:t>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Social determinants</w:t>
            </w:r>
          </w:p>
        </w:tc>
        <w:tc>
          <w:tcPr>
            <w:tcW w:type="dxa" w:w="47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Economic stability, education, health care, neighborhood conditions, and social/community context can affect risk, access, and functioning.</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Labeling a structural barrier as poor motivation or noncompliance.</w:t>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Advocacy</w:t>
            </w:r>
          </w:p>
        </w:tc>
        <w:tc>
          <w:tcPr>
            <w:tcW w:type="dxa" w:w="47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Action taken with the client or on behalf of the client to reduce barriers and increase access, voice, safety, or equity.</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Acting without consent, exceeding role, or substituting advocacy for needed clinical care.</w:t>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Repair</w:t>
            </w:r>
          </w:p>
        </w:tc>
        <w:tc>
          <w:tcPr>
            <w:tcW w:type="dxa" w:w="47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Acknowledging impact, inviting feedback, taking responsibility, and changing behavior after a misattunement or biased response.</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Defending intent or asking the client to reassure the counselor.</w:t>
            </w:r>
          </w:p>
        </w:tc>
      </w:tr>
    </w:tbl>
    <w:p>
      <w:pPr>
        <w:spacing w:after="0"/>
      </w:pPr>
    </w:p>
    <w:p>
      <w:pPr>
        <w:pStyle w:val="Heading2"/>
        <w:keepNext/>
      </w:pPr>
      <w:r>
        <w:t>The HUMBLE Context Check</w:t>
      </w:r>
    </w:p>
    <w:tbl>
      <w:tblPr>
        <w:tblW w:type="auto" w:w="0"/>
        <w:jc w:val="center"/>
        <w:tblLayout w:type="fixed"/>
        <w:tblLook w:firstColumn="1" w:firstRow="1" w:lastColumn="0" w:lastRow="0" w:noHBand="0" w:noVBand="1" w:val="04A0"/>
      </w:tblPr>
      <w:tblGrid>
        <w:gridCol w:w="2592"/>
        <w:gridCol w:w="8352"/>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Step</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Exam Question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 - Hear the client’s meaning</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words, identities, experiences, and explanations does the client use?</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U - Understand context and power</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family, community, institutional, economic, historical, or relational forces affect the concern?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M - Monitor your assumptions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am I presuming, minimizing, idealizing, fearing, or treating as universal?</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B - Broach with permission</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can I invite discussion of identity or difference without demanding disclosure?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L - Listen for impact and repair</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Has the client felt misunderstood, stereotyped, invalidated, or unsafe in this relationship or system?</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E - Expand the plan</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adaptation, resource, consultation, advocacy, or follow-up would improve fit and equity?</w:t>
            </w:r>
          </w:p>
        </w:tc>
      </w:tr>
    </w:tbl>
    <w:p>
      <w:pPr>
        <w:spacing w:after="0"/>
      </w:pPr>
    </w:p>
    <w:p>
      <w:pPr>
        <w:pStyle w:val="Heading2"/>
        <w:keepNext/>
      </w:pPr>
      <w:r>
        <w:t>Broaching Without Interrogating</w:t>
      </w:r>
    </w:p>
    <w:p>
      <w:pPr>
        <w:pStyle w:val="ListBullet"/>
        <w:spacing w:after="30"/>
      </w:pPr>
      <w:r>
        <w:rPr>
          <w:rFonts w:ascii="Arial" w:hAnsi="Arial" w:eastAsia="Arial"/>
          <w:b w:val="0"/>
          <w:i w:val="0"/>
          <w:color w:val="1F2937"/>
          <w:sz w:val="20"/>
        </w:rPr>
        <w:t>Use observations and invitations: “You mentioned that being the only person from your community at work affects how safe you feel. Would it be helpful to explore that?”</w:t>
      </w:r>
    </w:p>
    <w:p>
      <w:pPr>
        <w:pStyle w:val="ListBullet"/>
        <w:spacing w:after="30"/>
      </w:pPr>
      <w:r>
        <w:rPr>
          <w:rFonts w:ascii="Arial" w:hAnsi="Arial" w:eastAsia="Arial"/>
          <w:b w:val="0"/>
          <w:i w:val="0"/>
          <w:color w:val="1F2937"/>
          <w:sz w:val="20"/>
        </w:rPr>
        <w:t>Ask which identities or contexts feel important now; do not require the client to list or defend every identity.</w:t>
      </w:r>
    </w:p>
    <w:p>
      <w:pPr>
        <w:pStyle w:val="ListBullet"/>
        <w:spacing w:after="30"/>
      </w:pPr>
      <w:r>
        <w:rPr>
          <w:rFonts w:ascii="Arial" w:hAnsi="Arial" w:eastAsia="Arial"/>
          <w:b w:val="0"/>
          <w:i w:val="0"/>
          <w:color w:val="1F2937"/>
          <w:sz w:val="20"/>
        </w:rPr>
        <w:t>Link the conversation to the client’s goals, symptoms, safety, access, relationships, or treatment experience.</w:t>
      </w:r>
    </w:p>
    <w:p>
      <w:pPr>
        <w:pStyle w:val="ListBullet"/>
        <w:spacing w:after="30"/>
      </w:pPr>
      <w:r>
        <w:rPr>
          <w:rFonts w:ascii="Arial" w:hAnsi="Arial" w:eastAsia="Arial"/>
          <w:b w:val="0"/>
          <w:i w:val="0"/>
          <w:color w:val="1F2937"/>
          <w:sz w:val="20"/>
        </w:rPr>
        <w:t>When the client corrects you, thank the client, clarify impact, repair, and change your behavior. Avoid explaining away the error.</w:t>
      </w:r>
    </w:p>
    <w:p>
      <w:pPr>
        <w:pStyle w:val="ListBullet"/>
        <w:spacing w:after="30"/>
      </w:pPr>
      <w:r>
        <w:rPr>
          <w:rFonts w:ascii="Arial" w:hAnsi="Arial" w:eastAsia="Arial"/>
          <w:b w:val="0"/>
          <w:i w:val="0"/>
          <w:color w:val="1F2937"/>
          <w:sz w:val="20"/>
        </w:rPr>
        <w:t>Use supervision or consultation for your learning rather than turning the client into your cultural instructor.</w:t>
      </w:r>
    </w:p>
    <w:tbl>
      <w:tblPr>
        <w:tblW w:type="auto" w:w="0"/>
        <w:jc w:val="center"/>
        <w:tblLayout w:type="autofit"/>
        <w:tblLook w:firstColumn="1" w:firstRow="1" w:lastColumn="0" w:lastRow="0" w:noHBand="0" w:noVBand="1" w:val="04A0"/>
      </w:tblPr>
      <w:tblGrid>
        <w:gridCol w:w="10282"/>
      </w:tblGrid>
      <w:tr>
        <w:trPr>
          <w:cantSplit/>
        </w:trPr>
        <w:tc>
          <w:tcPr>
            <w:tcW w:type="dxa" w:w="10282"/>
            <w:shd w:fill="FDECEC"/>
            <w:tcMar>
              <w:top w:w="110" w:type="dxa"/>
              <w:start w:w="130" w:type="dxa"/>
              <w:bottom w:w="110" w:type="dxa"/>
              <w:end w:w="130" w:type="dxa"/>
            </w:tcMar>
            <w:tcBorders>
              <w:top w:val="single" w:sz="8" w:color="A61B1B"/>
              <w:left w:val="single" w:sz="8" w:color="A61B1B"/>
              <w:bottom w:val="single" w:sz="8" w:color="A61B1B"/>
              <w:right w:val="single" w:sz="8" w:color="A61B1B"/>
            </w:tcBorders>
          </w:tcPr>
          <w:p>
            <w:pPr>
              <w:keepLines/>
              <w:spacing w:after="0"/>
            </w:pPr>
            <w:r>
              <w:rPr>
                <w:rFonts w:ascii="Arial" w:hAnsi="Arial" w:eastAsia="Arial"/>
                <w:b/>
                <w:i w:val="0"/>
                <w:color w:val="A61B1B"/>
                <w:sz w:val="18"/>
              </w:rPr>
              <w:t xml:space="preserve">COMMON TRAP  </w:t>
            </w:r>
            <w:r>
              <w:rPr>
                <w:rFonts w:ascii="Arial" w:hAnsi="Arial" w:eastAsia="Arial"/>
                <w:b w:val="0"/>
                <w:i w:val="0"/>
                <w:color w:val="1F2937"/>
                <w:sz w:val="18"/>
              </w:rPr>
              <w:t>“Treat everyone the same” can sound fair but may ignore unequal barriers, different communication needs, and the client’s own meaning. Equity often requires a different route to an equally meaningful opportunity to participate.</w:t>
            </w:r>
          </w:p>
        </w:tc>
      </w:tr>
    </w:tbl>
    <w:p>
      <w:pPr>
        <w:spacing w:after="0"/>
      </w:pPr>
    </w:p>
    <w:p>
      <w:pPr>
        <w:pStyle w:val="Heading2"/>
        <w:keepNext/>
      </w:pPr>
      <w:r>
        <w:t>Clinical Resource Toolkit: HUMBLE Broaching and Power Review</w:t>
      </w:r>
    </w:p>
    <w:p>
      <w:pPr>
        <w:keepLines w:val="0"/>
      </w:pPr>
      <w:r>
        <w:rPr>
          <w:rFonts w:ascii="Arial" w:hAnsi="Arial" w:eastAsia="Arial"/>
          <w:b w:val="0"/>
          <w:i w:val="0"/>
          <w:color w:val="1F2937"/>
          <w:sz w:val="20"/>
        </w:rPr>
        <w:t>Complete this grid when identity, discrimination, difference, power, or counselor-client mismatch may affect engagement or the treatment plan.</w:t>
      </w:r>
    </w:p>
    <w:tbl>
      <w:tblPr>
        <w:tblW w:type="auto" w:w="0"/>
        <w:jc w:val="center"/>
        <w:tblLayout w:type="fixed"/>
        <w:tblLook w:firstColumn="1" w:firstRow="1" w:lastColumn="0" w:lastRow="0" w:noHBand="0" w:noVBand="1" w:val="04A0"/>
      </w:tblPr>
      <w:tblGrid>
        <w:gridCol w:w="2088"/>
        <w:gridCol w:w="2232"/>
        <w:gridCol w:w="2232"/>
        <w:gridCol w:w="2232"/>
        <w:gridCol w:w="2160"/>
      </w:tblGrid>
      <w:tr>
        <w:trPr>
          <w:tblHeader w:val="true"/>
          <w:cantSplit/>
        </w:trPr>
        <w:tc>
          <w:tcPr>
            <w:tcW w:type="dxa" w:w="2056"/>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Client language / meaning</w:t>
            </w:r>
          </w:p>
        </w:tc>
        <w:tc>
          <w:tcPr>
            <w:tcW w:type="dxa" w:w="2056"/>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Context and power</w:t>
            </w:r>
          </w:p>
        </w:tc>
        <w:tc>
          <w:tcPr>
            <w:tcW w:type="dxa" w:w="2056"/>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Counselor assumption to check</w:t>
            </w:r>
          </w:p>
        </w:tc>
        <w:tc>
          <w:tcPr>
            <w:tcW w:type="dxa" w:w="2056"/>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Broaching invitation</w:t>
            </w:r>
          </w:p>
        </w:tc>
        <w:tc>
          <w:tcPr>
            <w:tcW w:type="dxa" w:w="2056"/>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Repair / adaptation / advocacy</w:t>
            </w:r>
          </w:p>
        </w:tc>
      </w:tr>
      <w:tr>
        <w:trPr>
          <w:cantSplit/>
        </w:trPr>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16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16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16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2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16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bl>
    <w:p>
      <w:pPr>
        <w:spacing w:after="0"/>
      </w:pPr>
    </w:p>
    <w:p>
      <w:pPr>
        <w:pStyle w:val="Heading2"/>
        <w:keepNext/>
      </w:pPr>
      <w:r>
        <w:t>Chapter Summary</w:t>
      </w:r>
    </w:p>
    <w:p>
      <w:pPr>
        <w:pStyle w:val="ListBullet"/>
        <w:spacing w:after="30"/>
      </w:pPr>
      <w:r>
        <w:rPr>
          <w:rFonts w:ascii="Arial" w:hAnsi="Arial" w:eastAsia="Arial"/>
          <w:b w:val="0"/>
          <w:i w:val="0"/>
          <w:color w:val="1F2937"/>
          <w:sz w:val="20"/>
        </w:rPr>
        <w:t>Cultural humility is an ongoing practice of curiosity, self-evaluation, accountability, and attention to power.</w:t>
      </w:r>
    </w:p>
    <w:p>
      <w:pPr>
        <w:pStyle w:val="ListBullet"/>
        <w:spacing w:after="30"/>
      </w:pPr>
      <w:r>
        <w:rPr>
          <w:rFonts w:ascii="Arial" w:hAnsi="Arial" w:eastAsia="Arial"/>
          <w:b w:val="0"/>
          <w:i w:val="0"/>
          <w:color w:val="1F2937"/>
          <w:sz w:val="20"/>
        </w:rPr>
        <w:t>Broaching creates permission to discuss identity and context; it does not force disclosure or presume what matters most.</w:t>
      </w:r>
    </w:p>
    <w:p>
      <w:pPr>
        <w:pStyle w:val="ListBullet"/>
        <w:spacing w:after="30"/>
      </w:pPr>
      <w:r>
        <w:rPr>
          <w:rFonts w:ascii="Arial" w:hAnsi="Arial" w:eastAsia="Arial"/>
          <w:b w:val="0"/>
          <w:i w:val="0"/>
          <w:color w:val="1F2937"/>
          <w:sz w:val="20"/>
        </w:rPr>
        <w:t>Structural barriers and discrimination can affect symptoms, access, trust, and treatment participation.</w:t>
      </w:r>
    </w:p>
    <w:p>
      <w:pPr>
        <w:pStyle w:val="ListBullet"/>
        <w:spacing w:after="30"/>
      </w:pPr>
      <w:r>
        <w:rPr>
          <w:rFonts w:ascii="Arial" w:hAnsi="Arial" w:eastAsia="Arial"/>
          <w:b w:val="0"/>
          <w:i w:val="0"/>
          <w:color w:val="1F2937"/>
          <w:sz w:val="20"/>
        </w:rPr>
        <w:t>After a rupture, prioritize impact, responsibility, repair, and changed behavior over defending good intent.</w:t>
      </w:r>
    </w:p>
    <w:p>
      <w:pPr>
        <w:pStyle w:val="ListBullet"/>
        <w:spacing w:after="30"/>
      </w:pPr>
      <w:r>
        <w:rPr>
          <w:rFonts w:ascii="Arial" w:hAnsi="Arial" w:eastAsia="Arial"/>
          <w:b w:val="0"/>
          <w:i w:val="0"/>
          <w:color w:val="1F2937"/>
          <w:sz w:val="20"/>
        </w:rPr>
        <w:t>Advocacy should be collaborative, proportionate, documented, and connected to the client’s goals and consent.</w:t>
      </w:r>
    </w:p>
    <w:p>
      <w:r>
        <w:br w:type="page"/>
      </w:r>
    </w:p>
    <w:tbl>
      <w:tblPr>
        <w:tblW w:type="auto" w:w="0"/>
        <w:jc w:val="center"/>
        <w:tblLayout w:type="fixed"/>
        <w:tblLook w:firstColumn="1" w:firstRow="1" w:lastColumn="0" w:lastRow="0" w:noHBand="0" w:noVBand="1" w:val="04A0"/>
      </w:tblPr>
      <w:tblGrid>
        <w:gridCol w:w="1037"/>
        <w:gridCol w:w="9936"/>
      </w:tblGrid>
      <w:tr>
        <w:trPr>
          <w:cantSplit/>
        </w:trPr>
        <w:tc>
          <w:tcPr>
            <w:tcW w:type="dxa" w:w="5141"/>
            <w:vMerge w:val="restart"/>
            <w:shd w:fill="17365D"/>
            <w:tcMar>
              <w:top w:w="80" w:type="dxa"/>
              <w:start w:w="80" w:type="dxa"/>
              <w:bottom w:w="80" w:type="dxa"/>
              <w:end w:w="80" w:type="dxa"/>
            </w:tcMar>
            <w:vAlign w:val="cente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44"/>
              </w:rPr>
              <w:t>2</w:t>
            </w:r>
          </w:p>
        </w:tc>
        <w:tc>
          <w:tcPr>
            <w:tcW w:type="dxa" w:w="5141"/>
            <w:shd w:fill="EAF0F7"/>
            <w:tcMar>
              <w:top w:w="90" w:type="dxa"/>
              <w:start w:w="120" w:type="dxa"/>
              <w:bottom w:w="35"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i w:val="0"/>
                <w:color w:val="17365D"/>
                <w:sz w:val="28"/>
              </w:rPr>
              <w:t>Identity, Language, Disability, Access, and Accommodations</w:t>
            </w:r>
          </w:p>
        </w:tc>
      </w:tr>
      <w:tr>
        <w:trPr>
          <w:cantSplit/>
        </w:trPr>
        <w:tc>
          <w:tcPr>
            <w:tcW w:type="dxa" w:w="5141"/>
            <w:vMerge/>
          </w:tcPr>
          <w:p/>
        </w:tc>
        <w:tc>
          <w:tcPr>
            <w:tcW w:type="dxa" w:w="5141"/>
            <w:shd w:fill="EAF0F7"/>
            <w:tcMar>
              <w:top w:w="35" w:type="dxa"/>
              <w:start w:w="120" w:type="dxa"/>
              <w:bottom w:w="90"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color w:val="1F2937"/>
                <w:sz w:val="18"/>
              </w:rPr>
              <w:t>Preserve informed participation by matching communication, materials, setting, and procedures to the client’s needs and preferences.</w:t>
            </w:r>
          </w:p>
        </w:tc>
      </w:tr>
    </w:tbl>
    <w:p>
      <w:pPr>
        <w:spacing w:after="0"/>
      </w:pPr>
    </w:p>
    <w:p>
      <w:pPr>
        <w:keepLines w:val="0"/>
      </w:pPr>
      <w:r>
        <w:rPr>
          <w:rFonts w:ascii="Arial" w:hAnsi="Arial" w:eastAsia="Arial"/>
          <w:b w:val="0"/>
          <w:i w:val="0"/>
          <w:color w:val="1F2937"/>
          <w:sz w:val="20"/>
        </w:rPr>
        <w:t>Access is part of clinical quality. A client cannot meaningfully consent, participate in assessment, practice a skill, or evaluate treatment when the communication method, environment, technology, or materials are inaccessible. Disability is not evidence of incapacity, and a communication difference is not evidence of low intelligence or poor insight.</w:t>
      </w:r>
    </w:p>
    <w:p>
      <w:pPr>
        <w:pStyle w:val="Heading2"/>
        <w:keepNext/>
      </w:pPr>
      <w:r>
        <w:t>Identity and Language: Ask, Do Not Assume</w:t>
      </w:r>
    </w:p>
    <w:tbl>
      <w:tblPr>
        <w:tblW w:type="auto" w:w="0"/>
        <w:jc w:val="center"/>
        <w:tblLayout w:type="fixed"/>
        <w:tblLook w:firstColumn="1" w:firstRow="1" w:lastColumn="0" w:lastRow="0" w:noHBand="0" w:noVBand="1" w:val="04A0"/>
      </w:tblPr>
      <w:tblGrid>
        <w:gridCol w:w="1944"/>
        <w:gridCol w:w="4536"/>
        <w:gridCol w:w="4392"/>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Area</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Responsive Practice</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Premature or Harmful Response</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Preferred language</w:t>
            </w:r>
          </w:p>
        </w:tc>
        <w:tc>
          <w:tcPr>
            <w:tcW w:type="dxa" w:w="453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Ask which language the client prefers for consent, emotional discussion, written materials, and crisis planning.</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Assume conversational English is sufficient for complex clinical material.</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Interpreter use</w:t>
            </w:r>
          </w:p>
        </w:tc>
        <w:tc>
          <w:tcPr>
            <w:tcW w:type="dxa" w:w="453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Use qualified, accurate, impartial language assistance for complex communication; explain confidentiality and roles.</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Routinely rely on a child, partner, alleged abuser, or untrained family member.</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Gender and sexuality</w:t>
            </w:r>
          </w:p>
        </w:tc>
        <w:tc>
          <w:tcPr>
            <w:tcW w:type="dxa" w:w="453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Use the client’s name, pronouns, and language; assess support, safety, minority stress, and goals without pathologizing identity.</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Treat identity itself as a symptom or make disclosure the counselor’s agenda.</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Race, ethnicity, migration, and community</w:t>
            </w:r>
          </w:p>
        </w:tc>
        <w:tc>
          <w:tcPr>
            <w:tcW w:type="dxa" w:w="453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Ask about meaning, belonging, discrimination, acculturation, family expectations, and strengths.</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Apply a group stereotype or presume migration history or trauma.</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Socioeconomic and rural context</w:t>
            </w:r>
          </w:p>
        </w:tc>
        <w:tc>
          <w:tcPr>
            <w:tcW w:type="dxa" w:w="453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Assess transportation, work schedules, broadband, privacy, cost, housing, food, and provider availability.</w:t>
            </w:r>
          </w:p>
        </w:tc>
        <w:tc>
          <w:tcPr>
            <w:tcW w:type="dxa" w:w="43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Describe missed care as resistance before checking feasibility.</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Family and collectivist values</w:t>
            </w:r>
          </w:p>
        </w:tc>
        <w:tc>
          <w:tcPr>
            <w:tcW w:type="dxa" w:w="453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Explore decision-making preferences and family roles while preserving the client’s legal rights and consent.</w:t>
            </w:r>
          </w:p>
        </w:tc>
        <w:tc>
          <w:tcPr>
            <w:tcW w:type="dxa" w:w="43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Assume either total independence or automatic family involvement.</w:t>
            </w:r>
          </w:p>
        </w:tc>
      </w:tr>
    </w:tbl>
    <w:p>
      <w:pPr>
        <w:spacing w:after="0"/>
      </w:pPr>
    </w:p>
    <w:p>
      <w:pPr>
        <w:pStyle w:val="Heading2"/>
        <w:keepNext/>
      </w:pPr>
      <w:r>
        <w:t>The ACCESS Participation Check</w:t>
      </w:r>
    </w:p>
    <w:tbl>
      <w:tblPr>
        <w:tblW w:type="auto" w:w="0"/>
        <w:jc w:val="center"/>
        <w:tblLayout w:type="fixed"/>
        <w:tblLook w:firstColumn="1" w:firstRow="1" w:lastColumn="0" w:lastRow="0" w:noHBand="0" w:noVBand="1" w:val="04A0"/>
      </w:tblPr>
      <w:tblGrid>
        <w:gridCol w:w="2592"/>
        <w:gridCol w:w="8352"/>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Step</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Exam Question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A - Ask about communication and access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method, language, format, pace, technology, or environment works best for this client?</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 - Clarify identity and preference</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name, pronouns, cultural terms, supports, and decision-making preferences does the client use?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 - Consider disability and function</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barriers affect seeing, hearing, speaking, reading, moving, concentrating, remembering, or tolerating the setting?</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E - Ensure qualified supports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Is a qualified interpreter, captioning, reader, accessible electronic text, longer session, sensory modification, or other aid needed?</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S - Secure informed participation</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Can the client understand, ask questions, communicate choices, and decline options?</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S - Sustain and document access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worked, what remains difficult, who is responsible, and when will access be reviewed?</w:t>
            </w:r>
          </w:p>
        </w:tc>
      </w:tr>
    </w:tbl>
    <w:p>
      <w:pPr>
        <w:spacing w:after="0"/>
      </w:pPr>
    </w:p>
    <w:p>
      <w:pPr>
        <w:pStyle w:val="Heading2"/>
        <w:keepNext/>
      </w:pPr>
      <w:r>
        <w:t>Disability-Affirming Clinical Reasoning</w:t>
      </w:r>
    </w:p>
    <w:p>
      <w:pPr>
        <w:pStyle w:val="ListBullet"/>
        <w:spacing w:after="30"/>
      </w:pPr>
      <w:r>
        <w:rPr>
          <w:rFonts w:ascii="Arial" w:hAnsi="Arial" w:eastAsia="Arial"/>
          <w:b w:val="0"/>
          <w:i w:val="0"/>
          <w:color w:val="1F2937"/>
          <w:sz w:val="20"/>
        </w:rPr>
        <w:t>Separate the disability, the person’s experience of disability, environmental barriers, stigma, and any co-occurring mental health concern.</w:t>
      </w:r>
    </w:p>
    <w:p>
      <w:pPr>
        <w:pStyle w:val="ListBullet"/>
        <w:spacing w:after="30"/>
      </w:pPr>
      <w:r>
        <w:rPr>
          <w:rFonts w:ascii="Arial" w:hAnsi="Arial" w:eastAsia="Arial"/>
          <w:b w:val="0"/>
          <w:i w:val="0"/>
          <w:color w:val="1F2937"/>
          <w:sz w:val="20"/>
        </w:rPr>
        <w:t>Ask about functional impact and preferred supports. Do not infer incapacity from diagnosis, communication style, mobility device, sensory difference, or support needs.</w:t>
      </w:r>
    </w:p>
    <w:p>
      <w:pPr>
        <w:pStyle w:val="ListBullet"/>
        <w:spacing w:after="30"/>
      </w:pPr>
      <w:r>
        <w:rPr>
          <w:rFonts w:ascii="Arial" w:hAnsi="Arial" w:eastAsia="Arial"/>
          <w:b w:val="0"/>
          <w:i w:val="0"/>
          <w:color w:val="1F2937"/>
          <w:sz w:val="20"/>
        </w:rPr>
        <w:t>Use effective communication and reasonable modifications when required and clinically appropriate. The solution should fit the nature, length, complexity, and context of the communication.</w:t>
      </w:r>
    </w:p>
    <w:p>
      <w:pPr>
        <w:pStyle w:val="ListBullet"/>
        <w:spacing w:after="30"/>
      </w:pPr>
      <w:r>
        <w:rPr>
          <w:rFonts w:ascii="Arial" w:hAnsi="Arial" w:eastAsia="Arial"/>
          <w:b w:val="0"/>
          <w:i w:val="0"/>
          <w:color w:val="1F2937"/>
          <w:sz w:val="20"/>
        </w:rPr>
        <w:t>Avoid diagnostic overshadowing: new mood, cognitive, behavioral, sleep, pain, or functional changes still require assessment rather than being attributed automatically to disability.</w:t>
      </w:r>
    </w:p>
    <w:p>
      <w:pPr>
        <w:pStyle w:val="ListBullet"/>
        <w:spacing w:after="30"/>
      </w:pPr>
      <w:r>
        <w:rPr>
          <w:rFonts w:ascii="Arial" w:hAnsi="Arial" w:eastAsia="Arial"/>
          <w:b w:val="0"/>
          <w:i w:val="0"/>
          <w:color w:val="1F2937"/>
          <w:sz w:val="20"/>
        </w:rPr>
        <w:t>Consult or refer when specialized assessment, rehabilitation, medical, occupational, speech-language, neuropsychological, educational, or assistive-technology expertise is needed.</w:t>
      </w:r>
    </w:p>
    <w:tbl>
      <w:tblPr>
        <w:tblW w:type="auto" w:w="0"/>
        <w:jc w:val="center"/>
        <w:tblLayout w:type="autofit"/>
        <w:tblLook w:firstColumn="1" w:firstRow="1" w:lastColumn="0" w:lastRow="0" w:noHBand="0" w:noVBand="1" w:val="04A0"/>
      </w:tblPr>
      <w:tblGrid>
        <w:gridCol w:w="10282"/>
      </w:tblGrid>
      <w:tr>
        <w:trPr>
          <w:cantSplit/>
        </w:trPr>
        <w:tc>
          <w:tcPr>
            <w:tcW w:type="dxa" w:w="10282"/>
            <w:shd w:fill="E8F6F6"/>
            <w:tcMar>
              <w:top w:w="110" w:type="dxa"/>
              <w:start w:w="130" w:type="dxa"/>
              <w:bottom w:w="110" w:type="dxa"/>
              <w:end w:w="130" w:type="dxa"/>
            </w:tcMar>
            <w:tcBorders>
              <w:top w:val="single" w:sz="8" w:color="159C9C"/>
              <w:left w:val="single" w:sz="8" w:color="159C9C"/>
              <w:bottom w:val="single" w:sz="8" w:color="159C9C"/>
              <w:right w:val="single" w:sz="8" w:color="159C9C"/>
            </w:tcBorders>
          </w:tcPr>
          <w:p>
            <w:pPr>
              <w:keepLines/>
              <w:spacing w:after="0"/>
            </w:pPr>
            <w:r>
              <w:rPr>
                <w:rFonts w:ascii="Arial" w:hAnsi="Arial" w:eastAsia="Arial"/>
                <w:b/>
                <w:i w:val="0"/>
                <w:color w:val="159C9C"/>
                <w:sz w:val="18"/>
              </w:rPr>
              <w:t xml:space="preserve">EXAM TIP  </w:t>
            </w:r>
            <w:r>
              <w:rPr>
                <w:rFonts w:ascii="Arial" w:hAnsi="Arial" w:eastAsia="Arial"/>
                <w:b w:val="0"/>
                <w:i w:val="0"/>
                <w:color w:val="1F2937"/>
                <w:sz w:val="18"/>
              </w:rPr>
              <w:t>When the client cannot access the usual form, platform, room, pace, or communication method, the best answer is usually to identify the barrier and collaborate on an effective alternative - not to assume the client cannot participate.</w:t>
            </w:r>
          </w:p>
        </w:tc>
      </w:tr>
    </w:tbl>
    <w:p>
      <w:pPr>
        <w:spacing w:after="0"/>
      </w:pPr>
    </w:p>
    <w:p>
      <w:pPr>
        <w:pStyle w:val="Heading2"/>
        <w:keepNext/>
      </w:pPr>
      <w:r>
        <w:t>Clinical Resource Toolkit: ACCESS Accommodation Plan</w:t>
      </w:r>
    </w:p>
    <w:tbl>
      <w:tblPr>
        <w:tblW w:type="auto" w:w="0"/>
        <w:jc w:val="center"/>
        <w:tblLayout w:type="fixed"/>
        <w:tblLook w:firstColumn="1" w:firstRow="1" w:lastColumn="0" w:lastRow="0" w:noHBand="0" w:noVBand="1" w:val="04A0"/>
      </w:tblPr>
      <w:tblGrid>
        <w:gridCol w:w="1800"/>
        <w:gridCol w:w="1944"/>
        <w:gridCol w:w="1944"/>
        <w:gridCol w:w="2088"/>
        <w:gridCol w:w="1800"/>
        <w:gridCol w:w="1440"/>
      </w:tblGrid>
      <w:tr>
        <w:trPr>
          <w:tblHeader w:val="true"/>
          <w:cantSplit/>
        </w:trPr>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Clinical task</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Barrier identified</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Client preference</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Aid / modification</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Effectiveness check</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Owner / date</w:t>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bl>
    <w:p>
      <w:pPr>
        <w:spacing w:after="0"/>
      </w:pPr>
    </w:p>
    <w:p>
      <w:pPr>
        <w:pStyle w:val="Heading2"/>
        <w:keepNext/>
      </w:pPr>
      <w:r>
        <w:t>Chapter Summary</w:t>
      </w:r>
    </w:p>
    <w:p>
      <w:pPr>
        <w:pStyle w:val="ListBullet"/>
        <w:spacing w:after="30"/>
      </w:pPr>
      <w:r>
        <w:rPr>
          <w:rFonts w:ascii="Arial" w:hAnsi="Arial" w:eastAsia="Arial"/>
          <w:b w:val="0"/>
          <w:i w:val="0"/>
          <w:color w:val="1F2937"/>
          <w:sz w:val="20"/>
        </w:rPr>
        <w:t>Preferred language can vary by task; complex consent and emotional content may require different support than casual conversation.</w:t>
      </w:r>
    </w:p>
    <w:p>
      <w:pPr>
        <w:pStyle w:val="ListBullet"/>
        <w:spacing w:after="30"/>
      </w:pPr>
      <w:r>
        <w:rPr>
          <w:rFonts w:ascii="Arial" w:hAnsi="Arial" w:eastAsia="Arial"/>
          <w:b w:val="0"/>
          <w:i w:val="0"/>
          <w:color w:val="1F2937"/>
          <w:sz w:val="20"/>
        </w:rPr>
        <w:t>Qualified language assistance protects accuracy, confidentiality, and client autonomy.</w:t>
      </w:r>
    </w:p>
    <w:p>
      <w:pPr>
        <w:pStyle w:val="ListBullet"/>
        <w:spacing w:after="30"/>
      </w:pPr>
      <w:r>
        <w:rPr>
          <w:rFonts w:ascii="Arial" w:hAnsi="Arial" w:eastAsia="Arial"/>
          <w:b w:val="0"/>
          <w:i w:val="0"/>
          <w:color w:val="1F2937"/>
          <w:sz w:val="20"/>
        </w:rPr>
        <w:t>Disability does not equal incapacity, and accessibility is part of informed participation.</w:t>
      </w:r>
    </w:p>
    <w:p>
      <w:pPr>
        <w:pStyle w:val="ListBullet"/>
        <w:spacing w:after="30"/>
      </w:pPr>
      <w:r>
        <w:rPr>
          <w:rFonts w:ascii="Arial" w:hAnsi="Arial" w:eastAsia="Arial"/>
          <w:b w:val="0"/>
          <w:i w:val="0"/>
          <w:color w:val="1F2937"/>
          <w:sz w:val="20"/>
        </w:rPr>
        <w:t>Ask the client what works, provide an effective option, and document whether the accommodation was sufficient.</w:t>
      </w:r>
    </w:p>
    <w:p>
      <w:pPr>
        <w:pStyle w:val="ListBullet"/>
        <w:spacing w:after="30"/>
      </w:pPr>
      <w:r>
        <w:rPr>
          <w:rFonts w:ascii="Arial" w:hAnsi="Arial" w:eastAsia="Arial"/>
          <w:b w:val="0"/>
          <w:i w:val="0"/>
          <w:color w:val="1F2937"/>
          <w:sz w:val="20"/>
        </w:rPr>
        <w:t>Use specialized consultation and referral when the clinical or assessment need exceeds LPCC competence or authority.</w:t>
      </w:r>
    </w:p>
    <w:p>
      <w:r>
        <w:br w:type="page"/>
      </w:r>
    </w:p>
    <w:tbl>
      <w:tblPr>
        <w:tblW w:type="auto" w:w="0"/>
        <w:jc w:val="center"/>
        <w:tblLayout w:type="fixed"/>
        <w:tblLook w:firstColumn="1" w:firstRow="1" w:lastColumn="0" w:lastRow="0" w:noHBand="0" w:noVBand="1" w:val="04A0"/>
      </w:tblPr>
      <w:tblGrid>
        <w:gridCol w:w="1037"/>
        <w:gridCol w:w="9936"/>
      </w:tblGrid>
      <w:tr>
        <w:trPr>
          <w:cantSplit/>
        </w:trPr>
        <w:tc>
          <w:tcPr>
            <w:tcW w:type="dxa" w:w="5141"/>
            <w:vMerge w:val="restart"/>
            <w:shd w:fill="17365D"/>
            <w:tcMar>
              <w:top w:w="80" w:type="dxa"/>
              <w:start w:w="80" w:type="dxa"/>
              <w:bottom w:w="80" w:type="dxa"/>
              <w:end w:w="80" w:type="dxa"/>
            </w:tcMar>
            <w:vAlign w:val="cente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44"/>
              </w:rPr>
              <w:t>3</w:t>
            </w:r>
          </w:p>
        </w:tc>
        <w:tc>
          <w:tcPr>
            <w:tcW w:type="dxa" w:w="5141"/>
            <w:shd w:fill="EAF0F7"/>
            <w:tcMar>
              <w:top w:w="90" w:type="dxa"/>
              <w:start w:w="120" w:type="dxa"/>
              <w:bottom w:w="35"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i w:val="0"/>
                <w:color w:val="17365D"/>
                <w:sz w:val="28"/>
              </w:rPr>
              <w:t>Lifespan Development, Career, and Educational Context</w:t>
            </w:r>
          </w:p>
        </w:tc>
      </w:tr>
      <w:tr>
        <w:trPr>
          <w:cantSplit/>
        </w:trPr>
        <w:tc>
          <w:tcPr>
            <w:tcW w:type="dxa" w:w="5141"/>
            <w:vMerge/>
          </w:tcPr>
          <w:p/>
        </w:tc>
        <w:tc>
          <w:tcPr>
            <w:tcW w:type="dxa" w:w="5141"/>
            <w:shd w:fill="EAF0F7"/>
            <w:tcMar>
              <w:top w:w="35" w:type="dxa"/>
              <w:start w:w="120" w:type="dxa"/>
              <w:bottom w:w="90"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color w:val="1F2937"/>
                <w:sz w:val="18"/>
              </w:rPr>
              <w:t>Use development as a formulation lens, not a stereotype, and connect career and education decisions to identity, opportunity, wellness, and mental health.</w:t>
            </w:r>
          </w:p>
        </w:tc>
      </w:tr>
    </w:tbl>
    <w:p>
      <w:pPr>
        <w:spacing w:after="0"/>
      </w:pPr>
    </w:p>
    <w:p>
      <w:pPr>
        <w:keepLines w:val="0"/>
      </w:pPr>
      <w:r>
        <w:rPr>
          <w:rFonts w:ascii="Arial" w:hAnsi="Arial" w:eastAsia="Arial"/>
          <w:b w:val="0"/>
          <w:i w:val="0"/>
          <w:color w:val="1F2937"/>
          <w:sz w:val="20"/>
        </w:rPr>
        <w:t>Developmental and career concerns are not separate from mental health. A school transition, first job, parenthood, disability acquisition, migration, caregiving role, retirement, or loss of work can alter identity, routine, belonging, finances, autonomy, and hope. The exam rewards a lifespan perspective that considers the client’s actual tasks and context rather than relying on chronological age alone.</w:t>
      </w:r>
    </w:p>
    <w:p>
      <w:pPr>
        <w:pStyle w:val="Heading2"/>
        <w:keepNext/>
      </w:pPr>
      <w:r>
        <w:t>Development Is Multidimensional</w:t>
      </w:r>
    </w:p>
    <w:tbl>
      <w:tblPr>
        <w:tblW w:type="auto" w:w="0"/>
        <w:jc w:val="center"/>
        <w:tblLayout w:type="fixed"/>
        <w:tblLook w:firstColumn="1" w:firstRow="1" w:lastColumn="0" w:lastRow="0" w:noHBand="0" w:noVBand="1" w:val="04A0"/>
      </w:tblPr>
      <w:tblGrid>
        <w:gridCol w:w="2016"/>
        <w:gridCol w:w="4608"/>
        <w:gridCol w:w="4248"/>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Dimension</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Questions to Ask</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Exam Caution</w:t>
            </w:r>
          </w:p>
        </w:tc>
      </w:tr>
      <w:tr>
        <w:trPr>
          <w:cantSplit/>
        </w:trPr>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Physical and neurological</w:t>
            </w:r>
          </w:p>
        </w:tc>
        <w:tc>
          <w:tcPr>
            <w:tcW w:type="dxa" w:w="46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Are health, sleep, pain, medication, puberty, pregnancy, aging, injury, or sensory changes affecting function?</w:t>
            </w:r>
          </w:p>
        </w:tc>
        <w:tc>
          <w:tcPr>
            <w:tcW w:type="dxa" w:w="42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Do not treat a medical or developmental change as purely psychological.</w:t>
            </w:r>
          </w:p>
        </w:tc>
      </w:tr>
      <w:tr>
        <w:trPr>
          <w:cantSplit/>
        </w:trPr>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Cognitive and learning</w:t>
            </w:r>
          </w:p>
        </w:tc>
        <w:tc>
          <w:tcPr>
            <w:tcW w:type="dxa" w:w="46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How does the client understand information, solve problems, remember, plan, read, or learn?</w:t>
            </w:r>
          </w:p>
        </w:tc>
        <w:tc>
          <w:tcPr>
            <w:tcW w:type="dxa" w:w="42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Adapt communication; do not equate a learning difference with low motivation.</w:t>
            </w:r>
          </w:p>
        </w:tc>
      </w:tr>
      <w:tr>
        <w:trPr>
          <w:cantSplit/>
        </w:trPr>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Emotional and identity</w:t>
            </w:r>
          </w:p>
        </w:tc>
        <w:tc>
          <w:tcPr>
            <w:tcW w:type="dxa" w:w="46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What identity, autonomy, belonging, grief, meaning, or self-efficacy task is active?</w:t>
            </w:r>
          </w:p>
        </w:tc>
        <w:tc>
          <w:tcPr>
            <w:tcW w:type="dxa" w:w="42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Use stage theories as hypotheses, not rigid diagnoses.</w:t>
            </w:r>
          </w:p>
        </w:tc>
      </w:tr>
      <w:tr>
        <w:trPr>
          <w:cantSplit/>
        </w:trPr>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Relational and family</w:t>
            </w:r>
          </w:p>
        </w:tc>
        <w:tc>
          <w:tcPr>
            <w:tcW w:type="dxa" w:w="46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What attachment, caregiving, parenting, peer, partnership, or intergenerational roles are changing?</w:t>
            </w:r>
          </w:p>
        </w:tc>
        <w:tc>
          <w:tcPr>
            <w:tcW w:type="dxa" w:w="42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Avoid imposing an individualistic or family-centered norm.</w:t>
            </w:r>
          </w:p>
        </w:tc>
      </w:tr>
      <w:tr>
        <w:trPr>
          <w:cantSplit/>
        </w:trPr>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Educational and occupational</w:t>
            </w:r>
          </w:p>
        </w:tc>
        <w:tc>
          <w:tcPr>
            <w:tcW w:type="dxa" w:w="46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What opportunities, barriers, skills, interests, values, credentials, discrimination, or accommodations shape the path?</w:t>
            </w:r>
          </w:p>
        </w:tc>
        <w:tc>
          <w:tcPr>
            <w:tcW w:type="dxa" w:w="42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Do not let one test score determine a career decision.</w:t>
            </w:r>
          </w:p>
        </w:tc>
      </w:tr>
      <w:tr>
        <w:trPr>
          <w:cantSplit/>
        </w:trPr>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Community and historical</w:t>
            </w:r>
          </w:p>
        </w:tc>
        <w:tc>
          <w:tcPr>
            <w:tcW w:type="dxa" w:w="46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What cohort events, migration, neighborhood, policy, technology, or labor-market conditions affect choices?</w:t>
            </w:r>
          </w:p>
        </w:tc>
        <w:tc>
          <w:tcPr>
            <w:tcW w:type="dxa" w:w="42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Do not blame the client for constraints created by systems.</w:t>
            </w:r>
          </w:p>
        </w:tc>
      </w:tr>
    </w:tbl>
    <w:p>
      <w:pPr>
        <w:spacing w:after="0"/>
      </w:pPr>
    </w:p>
    <w:p>
      <w:pPr>
        <w:pStyle w:val="Heading2"/>
        <w:keepNext/>
      </w:pPr>
      <w:r>
        <w:t>The LIFESPAN Formulation</w:t>
      </w:r>
    </w:p>
    <w:tbl>
      <w:tblPr>
        <w:tblW w:type="auto" w:w="0"/>
        <w:jc w:val="center"/>
        <w:tblLayout w:type="fixed"/>
        <w:tblLook w:firstColumn="1" w:firstRow="1" w:lastColumn="0" w:lastRow="0" w:noHBand="0" w:noVBand="1" w:val="04A0"/>
      </w:tblPr>
      <w:tblGrid>
        <w:gridCol w:w="2592"/>
        <w:gridCol w:w="8352"/>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Step</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Exam Question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L - Life stage and transition</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developmental, educational, occupational, family, health, or identity transition is occurring?</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I - Identity and roles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Which roles and identities are changing, protected, threatened, or newly available?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F - Function and demands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daily tasks, relationships, school/work expectations, and self-care activities are affected?</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E - Environment and opportunity</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supports, barriers, discrimination, resources, accommodations, or labor/education conditions matter?</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S - Strengths and learning history</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interests, abilities, values, prior successes, models, and chance experiences can be used?</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P - Pathways and options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realistic educational, vocational, clinical, and community routes are available?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A - Action experiment</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small, observable step can test fit or build information?</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N - Next review</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outcome, feedback, or new evidence will guide the next decision?</w:t>
            </w:r>
          </w:p>
        </w:tc>
      </w:tr>
    </w:tbl>
    <w:p>
      <w:pPr>
        <w:spacing w:after="0"/>
      </w:pPr>
    </w:p>
    <w:p>
      <w:pPr>
        <w:pStyle w:val="Heading2"/>
        <w:keepNext/>
      </w:pPr>
      <w:r>
        <w:t>Career Counseling: Process Before Prescription</w:t>
      </w:r>
    </w:p>
    <w:p>
      <w:pPr>
        <w:pStyle w:val="ListBullet"/>
        <w:spacing w:after="30"/>
      </w:pPr>
      <w:r>
        <w:rPr>
          <w:rFonts w:ascii="Arial" w:hAnsi="Arial" w:eastAsia="Arial"/>
          <w:b w:val="0"/>
          <w:i w:val="0"/>
          <w:color w:val="1F2937"/>
          <w:sz w:val="20"/>
        </w:rPr>
        <w:t>Clarify the client’s concern: exploration, indecision, job loss, discrimination, burnout, disability adjustment, values conflict, training choice, workplace accommodation, or role transition.</w:t>
      </w:r>
    </w:p>
    <w:p>
      <w:pPr>
        <w:pStyle w:val="ListBullet"/>
        <w:spacing w:after="30"/>
      </w:pPr>
      <w:r>
        <w:rPr>
          <w:rFonts w:ascii="Arial" w:hAnsi="Arial" w:eastAsia="Arial"/>
          <w:b w:val="0"/>
          <w:i w:val="0"/>
          <w:color w:val="1F2937"/>
          <w:sz w:val="20"/>
        </w:rPr>
        <w:t>Integrate interests, values, abilities, skills, personality, health, family responsibilities, culture, finances, geography, opportunity, and labor conditions.</w:t>
      </w:r>
    </w:p>
    <w:p>
      <w:pPr>
        <w:pStyle w:val="ListBullet"/>
        <w:spacing w:after="30"/>
      </w:pPr>
      <w:r>
        <w:rPr>
          <w:rFonts w:ascii="Arial" w:hAnsi="Arial" w:eastAsia="Arial"/>
          <w:b w:val="0"/>
          <w:i w:val="0"/>
          <w:color w:val="1F2937"/>
          <w:sz w:val="20"/>
        </w:rPr>
        <w:t>Use career assessments as structured data, not verdicts. Explain purpose, limits, accessibility, norming, and how results will be combined with other evidence.</w:t>
      </w:r>
    </w:p>
    <w:p>
      <w:pPr>
        <w:pStyle w:val="ListBullet"/>
        <w:spacing w:after="30"/>
      </w:pPr>
      <w:r>
        <w:rPr>
          <w:rFonts w:ascii="Arial" w:hAnsi="Arial" w:eastAsia="Arial"/>
          <w:b w:val="0"/>
          <w:i w:val="0"/>
          <w:color w:val="1F2937"/>
          <w:sz w:val="20"/>
        </w:rPr>
        <w:t>Krumboltz-informed reasoning highlights learning experiences, environmental conditions, beliefs, skills, and planned openness to useful chance events.</w:t>
      </w:r>
    </w:p>
    <w:p>
      <w:pPr>
        <w:pStyle w:val="ListBullet"/>
        <w:spacing w:after="30"/>
      </w:pPr>
      <w:r>
        <w:rPr>
          <w:rFonts w:ascii="Arial" w:hAnsi="Arial" w:eastAsia="Arial"/>
          <w:b w:val="0"/>
          <w:i w:val="0"/>
          <w:color w:val="1F2937"/>
          <w:sz w:val="20"/>
        </w:rPr>
        <w:t>A small experiment - an informational interview, course sample, volunteer task, job shadow, application, or accommodation inquiry - can generate better evidence than prolonged abstract rumination.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8E7"/>
            <w:tcMar>
              <w:top w:w="110" w:type="dxa"/>
              <w:start w:w="130" w:type="dxa"/>
              <w:bottom w:w="110" w:type="dxa"/>
              <w:end w:w="130" w:type="dxa"/>
            </w:tcMar>
            <w:tcBorders>
              <w:top w:val="single" w:sz="8" w:color="A66A00"/>
              <w:left w:val="single" w:sz="8" w:color="A66A00"/>
              <w:bottom w:val="single" w:sz="8" w:color="A66A00"/>
              <w:right w:val="single" w:sz="8" w:color="A66A00"/>
            </w:tcBorders>
          </w:tcPr>
          <w:p>
            <w:pPr>
              <w:keepLines/>
              <w:spacing w:after="0"/>
            </w:pPr>
            <w:r>
              <w:rPr>
                <w:rFonts w:ascii="Arial" w:hAnsi="Arial" w:eastAsia="Arial"/>
                <w:b/>
                <w:i w:val="0"/>
                <w:color w:val="A66A00"/>
                <w:sz w:val="18"/>
              </w:rPr>
              <w:t xml:space="preserve">REMEMBER  </w:t>
            </w:r>
            <w:r>
              <w:rPr>
                <w:rFonts w:ascii="Arial" w:hAnsi="Arial" w:eastAsia="Arial"/>
                <w:b w:val="0"/>
                <w:i w:val="0"/>
                <w:color w:val="1F2937"/>
                <w:sz w:val="18"/>
              </w:rPr>
              <w:t>Erikson and other lifespan theories can organize hypotheses about identity, intimacy, generativity, integrity, autonomy, and role transition. They do not allow the counselor to infer a client’s needs from age alone.</w:t>
            </w:r>
          </w:p>
        </w:tc>
      </w:tr>
    </w:tbl>
    <w:p>
      <w:pPr>
        <w:spacing w:after="0"/>
      </w:pPr>
    </w:p>
    <w:p>
      <w:pPr>
        <w:pStyle w:val="Heading2"/>
        <w:keepNext/>
      </w:pPr>
      <w:r>
        <w:t>Clinical Resource Toolkit: LIFESPAN Career and Transition Map</w:t>
      </w:r>
    </w:p>
    <w:tbl>
      <w:tblPr>
        <w:tblW w:type="auto" w:w="0"/>
        <w:jc w:val="center"/>
        <w:tblLayout w:type="fixed"/>
        <w:tblLook w:firstColumn="1" w:firstRow="1" w:lastColumn="0" w:lastRow="0" w:noHBand="0" w:noVBand="1" w:val="04A0"/>
      </w:tblPr>
      <w:tblGrid>
        <w:gridCol w:w="1728"/>
        <w:gridCol w:w="1944"/>
        <w:gridCol w:w="2088"/>
        <w:gridCol w:w="2088"/>
        <w:gridCol w:w="1800"/>
        <w:gridCol w:w="1440"/>
      </w:tblGrid>
      <w:tr>
        <w:trPr>
          <w:tblHeader w:val="true"/>
          <w:cantSplit/>
        </w:trPr>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Transition / concern</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Identity and roles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Strengths / interests / values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Barriers / accommodations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Small experiment</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Review indicator</w:t>
            </w:r>
          </w:p>
        </w:tc>
      </w:tr>
      <w:tr>
        <w:trPr>
          <w:cantSplit/>
        </w:trPr>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208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bl>
    <w:p>
      <w:pPr>
        <w:spacing w:after="0"/>
      </w:pPr>
    </w:p>
    <w:p>
      <w:pPr>
        <w:pStyle w:val="Heading2"/>
        <w:keepNext/>
      </w:pPr>
      <w:r>
        <w:t>Chapter Summary</w:t>
      </w:r>
    </w:p>
    <w:p>
      <w:pPr>
        <w:pStyle w:val="ListBullet"/>
        <w:spacing w:after="30"/>
      </w:pPr>
      <w:r>
        <w:rPr>
          <w:rFonts w:ascii="Arial" w:hAnsi="Arial" w:eastAsia="Arial"/>
          <w:b w:val="0"/>
          <w:i w:val="0"/>
          <w:color w:val="1F2937"/>
          <w:sz w:val="20"/>
        </w:rPr>
        <w:t>Developmental formulation includes physical, cognitive, emotional, relational, educational, occupational, community, and historical dimensions.</w:t>
      </w:r>
    </w:p>
    <w:p>
      <w:pPr>
        <w:pStyle w:val="ListBullet"/>
        <w:spacing w:after="30"/>
      </w:pPr>
      <w:r>
        <w:rPr>
          <w:rFonts w:ascii="Arial" w:hAnsi="Arial" w:eastAsia="Arial"/>
          <w:b w:val="0"/>
          <w:i w:val="0"/>
          <w:color w:val="1F2937"/>
          <w:sz w:val="20"/>
        </w:rPr>
        <w:t>Age and stage theories generate questions; they do not replace individualized assessment.</w:t>
      </w:r>
    </w:p>
    <w:p>
      <w:pPr>
        <w:pStyle w:val="ListBullet"/>
        <w:spacing w:after="30"/>
      </w:pPr>
      <w:r>
        <w:rPr>
          <w:rFonts w:ascii="Arial" w:hAnsi="Arial" w:eastAsia="Arial"/>
          <w:b w:val="0"/>
          <w:i w:val="0"/>
          <w:color w:val="1F2937"/>
          <w:sz w:val="20"/>
        </w:rPr>
        <w:t>Career concerns can affect identity, routine, finances, belonging, hope, and symptom severity.</w:t>
      </w:r>
    </w:p>
    <w:p>
      <w:pPr>
        <w:pStyle w:val="ListBullet"/>
        <w:spacing w:after="30"/>
      </w:pPr>
      <w:r>
        <w:rPr>
          <w:rFonts w:ascii="Arial" w:hAnsi="Arial" w:eastAsia="Arial"/>
          <w:b w:val="0"/>
          <w:i w:val="0"/>
          <w:color w:val="1F2937"/>
          <w:sz w:val="20"/>
        </w:rPr>
        <w:t>Career assessments inform decisions only when interpreted with context, limitations, and client meaning.</w:t>
      </w:r>
    </w:p>
    <w:p>
      <w:pPr>
        <w:pStyle w:val="ListBullet"/>
        <w:spacing w:after="30"/>
      </w:pPr>
      <w:r>
        <w:rPr>
          <w:rFonts w:ascii="Arial" w:hAnsi="Arial" w:eastAsia="Arial"/>
          <w:b w:val="0"/>
          <w:i w:val="0"/>
          <w:color w:val="1F2937"/>
          <w:sz w:val="20"/>
        </w:rPr>
        <w:t>Small, accessible action experiments create evidence and reduce all-or-nothing career decision making.</w:t>
      </w:r>
    </w:p>
    <w:p>
      <w:r>
        <w:br w:type="page"/>
      </w:r>
    </w:p>
    <w:tbl>
      <w:tblPr>
        <w:tblW w:type="auto" w:w="0"/>
        <w:jc w:val="center"/>
        <w:tblLayout w:type="fixed"/>
        <w:tblLook w:firstColumn="1" w:firstRow="1" w:lastColumn="0" w:lastRow="0" w:noHBand="0" w:noVBand="1" w:val="04A0"/>
      </w:tblPr>
      <w:tblGrid>
        <w:gridCol w:w="1037"/>
        <w:gridCol w:w="9936"/>
      </w:tblGrid>
      <w:tr>
        <w:trPr>
          <w:cantSplit/>
        </w:trPr>
        <w:tc>
          <w:tcPr>
            <w:tcW w:type="dxa" w:w="5141"/>
            <w:vMerge w:val="restart"/>
            <w:shd w:fill="17365D"/>
            <w:tcMar>
              <w:top w:w="80" w:type="dxa"/>
              <w:start w:w="80" w:type="dxa"/>
              <w:bottom w:w="80" w:type="dxa"/>
              <w:end w:w="80" w:type="dxa"/>
            </w:tcMar>
            <w:vAlign w:val="cente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44"/>
              </w:rPr>
              <w:t>4</w:t>
            </w:r>
          </w:p>
        </w:tc>
        <w:tc>
          <w:tcPr>
            <w:tcW w:type="dxa" w:w="5141"/>
            <w:shd w:fill="EAF0F7"/>
            <w:tcMar>
              <w:top w:w="90" w:type="dxa"/>
              <w:start w:w="120" w:type="dxa"/>
              <w:bottom w:w="35"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i w:val="0"/>
                <w:color w:val="17365D"/>
                <w:sz w:val="28"/>
              </w:rPr>
              <w:t>Spirituality, Grief, Chronic Illness, Caregiving, Aging, and Life Transitions</w:t>
            </w:r>
          </w:p>
        </w:tc>
      </w:tr>
      <w:tr>
        <w:trPr>
          <w:cantSplit/>
        </w:trPr>
        <w:tc>
          <w:tcPr>
            <w:tcW w:type="dxa" w:w="5141"/>
            <w:vMerge/>
          </w:tcPr>
          <w:p/>
        </w:tc>
        <w:tc>
          <w:tcPr>
            <w:tcW w:type="dxa" w:w="5141"/>
            <w:shd w:fill="EAF0F7"/>
            <w:tcMar>
              <w:top w:w="35" w:type="dxa"/>
              <w:start w:w="120" w:type="dxa"/>
              <w:bottom w:w="90"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color w:val="1F2937"/>
                <w:sz w:val="18"/>
              </w:rPr>
              <w:t>Explore meaning and support without imposing beliefs, minimizing loss, or automatically labeling culturally expected responses as disorder.</w:t>
            </w:r>
          </w:p>
        </w:tc>
      </w:tr>
    </w:tbl>
    <w:p>
      <w:pPr>
        <w:spacing w:after="0"/>
      </w:pPr>
    </w:p>
    <w:p>
      <w:pPr>
        <w:keepLines w:val="0"/>
      </w:pPr>
      <w:r>
        <w:rPr>
          <w:rFonts w:ascii="Arial" w:hAnsi="Arial" w:eastAsia="Arial"/>
          <w:b w:val="0"/>
          <w:i w:val="0"/>
          <w:color w:val="1F2937"/>
          <w:sz w:val="20"/>
        </w:rPr>
        <w:t>Clients may use religion, spirituality, ritual, ancestry, nature, service, art, philosophy, or community to understand suffering and hope. The counselor’s task is to assess whether these beliefs and practices are supportive, conflicted, coercive, harmful, or irrelevant to the client - and to integrate them only with consent, competence, and clinical purpose.</w:t>
      </w:r>
    </w:p>
    <w:p>
      <w:pPr>
        <w:pStyle w:val="Heading2"/>
        <w:keepNext/>
      </w:pPr>
      <w:r>
        <w:t>Meaning, Loss, and Transition</w:t>
      </w:r>
    </w:p>
    <w:tbl>
      <w:tblPr>
        <w:tblW w:type="auto" w:w="0"/>
        <w:jc w:val="center"/>
        <w:tblLayout w:type="fixed"/>
        <w:tblLook w:firstColumn="1" w:firstRow="1" w:lastColumn="0" w:lastRow="0" w:noHBand="0" w:noVBand="1" w:val="04A0"/>
      </w:tblPr>
      <w:tblGrid>
        <w:gridCol w:w="1944"/>
        <w:gridCol w:w="4896"/>
        <w:gridCol w:w="4032"/>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Presentation</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Responsive Assessment</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Common Trap</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Spiritual or religious concern</w:t>
            </w:r>
          </w:p>
        </w:tc>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Ask about beliefs, practices, community, conflict, comfort, harm, and the client’s desired role for spirituality in treatment.</w:t>
            </w:r>
          </w:p>
        </w:tc>
        <w:tc>
          <w:tcPr>
            <w:tcW w:type="dxa" w:w="40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Debate beliefs, impose the counselor’s worldview, or avoid spirituality because of discomfort.</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Grief and mourning</w:t>
            </w:r>
          </w:p>
        </w:tc>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Assess the relationship, culture, rituals, expected variation, functioning, support, trauma, depression, suicide risk, and duration/course.</w:t>
            </w:r>
          </w:p>
        </w:tc>
        <w:tc>
          <w:tcPr>
            <w:tcW w:type="dxa" w:w="40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Assume every intense response is a disorder or that one timeline applies to all cultures.</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Chronic illness or acquired disability</w:t>
            </w:r>
          </w:p>
        </w:tc>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Assess symptoms, medical information, function, identity, autonomy, stigma, access, pain, fatigue, relationships, and adaptation.</w:t>
            </w:r>
          </w:p>
        </w:tc>
        <w:tc>
          <w:tcPr>
            <w:tcW w:type="dxa" w:w="40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Frame acceptance as giving up or attribute all distress to the condition.</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Caregiving</w:t>
            </w:r>
          </w:p>
        </w:tc>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Assess burden, sleep, health, finances, safety, resentment, grief, role captivity, cultural duty, supports, respite, and the care recipient’s needs.</w:t>
            </w:r>
          </w:p>
        </w:tc>
        <w:tc>
          <w:tcPr>
            <w:tcW w:type="dxa" w:w="40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Praise sacrifice while ignoring burnout, abuse risk, or lack of resources.</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Aging and retirement</w:t>
            </w:r>
          </w:p>
        </w:tc>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Assess losses and gains, meaning, health, cognition, isolation, sexuality, finances, housing, purpose, discrimination, and support.</w:t>
            </w:r>
          </w:p>
        </w:tc>
        <w:tc>
          <w:tcPr>
            <w:tcW w:type="dxa" w:w="403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Use ageist assumptions or treat retirement as universally positive or negative.</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Major transition</w:t>
            </w:r>
          </w:p>
        </w:tc>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Clarify what ended, what is beginning, the client’s appraisal, supports, choices, practical demands, and identity disruption.</w:t>
            </w:r>
          </w:p>
        </w:tc>
        <w:tc>
          <w:tcPr>
            <w:tcW w:type="dxa" w:w="403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Pathologize an expected adjustment response before assessing severity and impairment.</w:t>
            </w:r>
          </w:p>
        </w:tc>
      </w:tr>
    </w:tbl>
    <w:p>
      <w:pPr>
        <w:spacing w:after="0"/>
      </w:pPr>
    </w:p>
    <w:p>
      <w:pPr>
        <w:pStyle w:val="Heading2"/>
        <w:keepNext/>
      </w:pPr>
      <w:r>
        <w:t>The MEANING Transition Review</w:t>
      </w:r>
    </w:p>
    <w:tbl>
      <w:tblPr>
        <w:tblW w:type="auto" w:w="0"/>
        <w:jc w:val="center"/>
        <w:tblLayout w:type="fixed"/>
        <w:tblLook w:firstColumn="1" w:firstRow="1" w:lastColumn="0" w:lastRow="0" w:noHBand="0" w:noVBand="1" w:val="04A0"/>
      </w:tblPr>
      <w:tblGrid>
        <w:gridCol w:w="2592"/>
        <w:gridCol w:w="8352"/>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Step</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Exam Question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M - Major change or loss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happened, what ended, and what practical or emotional consequences followed?</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E - Existing beliefs and rituals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spiritual, cultural, family, or personal meaning systems shape the response?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A - Aging, illness, disability, or caregiving demands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health, functional, role, fatigue, access, or care responsibilities affect the client?</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N - Needs and risks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support, rest, safety, medical coordination, suicide assessment, or level-of-care decision is needed?</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I - Identity and community</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have belonging, role, autonomy, purpose, and relationships changed?</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N - New possibilities and supports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rituals, groups, resources, adaptations, values, and strengths could help?</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G - Goal and next step</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client-defined, feasible next action would improve functioning, connection, or meaning?</w:t>
            </w:r>
          </w:p>
        </w:tc>
      </w:tr>
    </w:tbl>
    <w:p>
      <w:pPr>
        <w:spacing w:after="0"/>
      </w:pPr>
    </w:p>
    <w:p>
      <w:pPr>
        <w:pStyle w:val="Heading2"/>
        <w:keepNext/>
      </w:pPr>
      <w:r>
        <w:t>Spiritual Integration Safeguards</w:t>
      </w:r>
    </w:p>
    <w:p>
      <w:pPr>
        <w:pStyle w:val="ListBullet"/>
        <w:spacing w:after="30"/>
      </w:pPr>
      <w:r>
        <w:rPr>
          <w:rFonts w:ascii="Arial" w:hAnsi="Arial" w:eastAsia="Arial"/>
          <w:b w:val="0"/>
          <w:i w:val="0"/>
          <w:color w:val="1F2937"/>
          <w:sz w:val="20"/>
        </w:rPr>
        <w:t>Follow the client’s goals and language. A client request for prayer, meditation, ritual, clergy consultation, or spiritual discussion should be explored for meaning, consent, fit, and alternatives.</w:t>
      </w:r>
    </w:p>
    <w:p>
      <w:pPr>
        <w:pStyle w:val="ListBullet"/>
        <w:spacing w:after="30"/>
      </w:pPr>
      <w:r>
        <w:rPr>
          <w:rFonts w:ascii="Arial" w:hAnsi="Arial" w:eastAsia="Arial"/>
          <w:b w:val="0"/>
          <w:i w:val="0"/>
          <w:color w:val="1F2937"/>
          <w:sz w:val="20"/>
        </w:rPr>
        <w:t>Do not use spiritual practices to bypass trauma, discrimination, grief, abuse, medical needs, or accountability.</w:t>
      </w:r>
    </w:p>
    <w:p>
      <w:pPr>
        <w:pStyle w:val="ListBullet"/>
        <w:spacing w:after="30"/>
      </w:pPr>
      <w:r>
        <w:rPr>
          <w:rFonts w:ascii="Arial" w:hAnsi="Arial" w:eastAsia="Arial"/>
          <w:b w:val="0"/>
          <w:i w:val="0"/>
          <w:color w:val="1F2937"/>
          <w:sz w:val="20"/>
        </w:rPr>
        <w:t>Distinguish culturally congruent spiritual experiences from symptoms by assessing context, shared meaning, distress, function, control, risk, and other diagnostic evidence.</w:t>
      </w:r>
    </w:p>
    <w:p>
      <w:pPr>
        <w:pStyle w:val="ListBullet"/>
        <w:spacing w:after="30"/>
      </w:pPr>
      <w:r>
        <w:rPr>
          <w:rFonts w:ascii="Arial" w:hAnsi="Arial" w:eastAsia="Arial"/>
          <w:b w:val="0"/>
          <w:i w:val="0"/>
          <w:color w:val="1F2937"/>
          <w:sz w:val="20"/>
        </w:rPr>
        <w:t>Consult or refer when specialized spiritual care, grief treatment, geriatric, rehabilitation, medical, neurocognitive, caregiver, or community expertise would improve care.</w:t>
      </w:r>
    </w:p>
    <w:tbl>
      <w:tblPr>
        <w:tblW w:type="auto" w:w="0"/>
        <w:jc w:val="center"/>
        <w:tblLayout w:type="autofit"/>
        <w:tblLook w:firstColumn="1" w:firstRow="1" w:lastColumn="0" w:lastRow="0" w:noHBand="0" w:noVBand="1" w:val="04A0"/>
      </w:tblPr>
      <w:tblGrid>
        <w:gridCol w:w="10282"/>
      </w:tblGrid>
      <w:tr>
        <w:trPr>
          <w:cantSplit/>
        </w:trPr>
        <w:tc>
          <w:tcPr>
            <w:tcW w:type="dxa" w:w="10282"/>
            <w:shd w:fill="FDECEC"/>
            <w:tcMar>
              <w:top w:w="110" w:type="dxa"/>
              <w:start w:w="130" w:type="dxa"/>
              <w:bottom w:w="110" w:type="dxa"/>
              <w:end w:w="130" w:type="dxa"/>
            </w:tcMar>
            <w:tcBorders>
              <w:top w:val="single" w:sz="8" w:color="A61B1B"/>
              <w:left w:val="single" w:sz="8" w:color="A61B1B"/>
              <w:bottom w:val="single" w:sz="8" w:color="A61B1B"/>
              <w:right w:val="single" w:sz="8" w:color="A61B1B"/>
            </w:tcBorders>
          </w:tcPr>
          <w:p>
            <w:pPr>
              <w:keepLines/>
              <w:spacing w:after="0"/>
            </w:pPr>
            <w:r>
              <w:rPr>
                <w:rFonts w:ascii="Arial" w:hAnsi="Arial" w:eastAsia="Arial"/>
                <w:b/>
                <w:i w:val="0"/>
                <w:color w:val="A61B1B"/>
                <w:sz w:val="18"/>
              </w:rPr>
              <w:t xml:space="preserve">COMMON TRAP  </w:t>
            </w:r>
            <w:r>
              <w:rPr>
                <w:rFonts w:ascii="Arial" w:hAnsi="Arial" w:eastAsia="Arial"/>
                <w:b w:val="0"/>
                <w:i w:val="0"/>
                <w:color w:val="1F2937"/>
                <w:sz w:val="18"/>
              </w:rPr>
              <w:t>“Normal grief” does not mean “no assessment.” The counselor still evaluates safety, depression, trauma, substance use, function, support, culture, and whether the client wants additional help.</w:t>
            </w:r>
          </w:p>
        </w:tc>
      </w:tr>
    </w:tbl>
    <w:p>
      <w:pPr>
        <w:spacing w:after="0"/>
      </w:pPr>
    </w:p>
    <w:p>
      <w:pPr>
        <w:pStyle w:val="Heading2"/>
        <w:keepNext/>
      </w:pPr>
      <w:r>
        <w:t>Clinical Resource Toolkit: MEANING Life-Transition Plan</w:t>
      </w:r>
    </w:p>
    <w:tbl>
      <w:tblPr>
        <w:tblW w:type="auto" w:w="0"/>
        <w:jc w:val="center"/>
        <w:tblLayout w:type="fixed"/>
        <w:tblLook w:firstColumn="1" w:firstRow="1" w:lastColumn="0" w:lastRow="0" w:noHBand="0" w:noVBand="1" w:val="04A0"/>
      </w:tblPr>
      <w:tblGrid>
        <w:gridCol w:w="1800"/>
        <w:gridCol w:w="1944"/>
        <w:gridCol w:w="1872"/>
        <w:gridCol w:w="1944"/>
        <w:gridCol w:w="1728"/>
        <w:gridCol w:w="1728"/>
      </w:tblGrid>
      <w:tr>
        <w:trPr>
          <w:tblHeader w:val="true"/>
          <w:cantSplit/>
        </w:trPr>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Change / loss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Meaning / beliefs / rituals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Function and risk</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Caregiving / health / access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Supports / resources</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Client-defined next step</w:t>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80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bl>
    <w:p>
      <w:pPr>
        <w:spacing w:after="0"/>
      </w:pPr>
    </w:p>
    <w:p>
      <w:pPr>
        <w:pStyle w:val="Heading2"/>
        <w:keepNext/>
      </w:pPr>
      <w:r>
        <w:t>Chapter Summary</w:t>
      </w:r>
    </w:p>
    <w:p>
      <w:pPr>
        <w:pStyle w:val="ListBullet"/>
        <w:spacing w:after="30"/>
      </w:pPr>
      <w:r>
        <w:rPr>
          <w:rFonts w:ascii="Arial" w:hAnsi="Arial" w:eastAsia="Arial"/>
          <w:b w:val="0"/>
          <w:i w:val="0"/>
          <w:color w:val="1F2937"/>
          <w:sz w:val="20"/>
        </w:rPr>
        <w:t>Spirituality is assessed as the client defines it and integrated only with consent, competence, and clinical purpose.</w:t>
      </w:r>
    </w:p>
    <w:p>
      <w:pPr>
        <w:pStyle w:val="ListBullet"/>
        <w:spacing w:after="30"/>
      </w:pPr>
      <w:r>
        <w:rPr>
          <w:rFonts w:ascii="Arial" w:hAnsi="Arial" w:eastAsia="Arial"/>
          <w:b w:val="0"/>
          <w:i w:val="0"/>
          <w:color w:val="1F2937"/>
          <w:sz w:val="20"/>
        </w:rPr>
        <w:t>Grief varies across people and cultures; assessment distinguishes expected mourning, trauma, depression, risk, and prolonged impairment.</w:t>
      </w:r>
    </w:p>
    <w:p>
      <w:pPr>
        <w:pStyle w:val="ListBullet"/>
        <w:spacing w:after="30"/>
      </w:pPr>
      <w:r>
        <w:rPr>
          <w:rFonts w:ascii="Arial" w:hAnsi="Arial" w:eastAsia="Arial"/>
          <w:b w:val="0"/>
          <w:i w:val="0"/>
          <w:color w:val="1F2937"/>
          <w:sz w:val="20"/>
        </w:rPr>
        <w:t>Chronic illness, disability, caregiving, aging, and transition affect identity, function, autonomy, access, and relationships.</w:t>
      </w:r>
    </w:p>
    <w:p>
      <w:pPr>
        <w:pStyle w:val="ListBullet"/>
        <w:spacing w:after="30"/>
      </w:pPr>
      <w:r>
        <w:rPr>
          <w:rFonts w:ascii="Arial" w:hAnsi="Arial" w:eastAsia="Arial"/>
          <w:b w:val="0"/>
          <w:i w:val="0"/>
          <w:color w:val="1F2937"/>
          <w:sz w:val="20"/>
        </w:rPr>
        <w:t>Avoid ageism, ableism, spiritual imposition, and praise of self-sacrifice that obscures risk or unmet need.</w:t>
      </w:r>
    </w:p>
    <w:p>
      <w:pPr>
        <w:pStyle w:val="ListBullet"/>
        <w:spacing w:after="30"/>
      </w:pPr>
      <w:r>
        <w:rPr>
          <w:rFonts w:ascii="Arial" w:hAnsi="Arial" w:eastAsia="Arial"/>
          <w:b w:val="0"/>
          <w:i w:val="0"/>
          <w:color w:val="1F2937"/>
          <w:sz w:val="20"/>
        </w:rPr>
        <w:t>Referral and coordination are strengths when specialized medical, rehabilitation, spiritual, caregiver, geriatric, or community support is needed.</w:t>
      </w:r>
    </w:p>
    <w:p>
      <w:r>
        <w:br w:type="page"/>
      </w:r>
    </w:p>
    <w:tbl>
      <w:tblPr>
        <w:tblW w:type="auto" w:w="0"/>
        <w:jc w:val="center"/>
        <w:tblLayout w:type="fixed"/>
        <w:tblLook w:firstColumn="1" w:firstRow="1" w:lastColumn="0" w:lastRow="0" w:noHBand="0" w:noVBand="1" w:val="04A0"/>
      </w:tblPr>
      <w:tblGrid>
        <w:gridCol w:w="1037"/>
        <w:gridCol w:w="9936"/>
      </w:tblGrid>
      <w:tr>
        <w:trPr>
          <w:cantSplit/>
        </w:trPr>
        <w:tc>
          <w:tcPr>
            <w:tcW w:type="dxa" w:w="5141"/>
            <w:vMerge w:val="restart"/>
            <w:shd w:fill="17365D"/>
            <w:tcMar>
              <w:top w:w="80" w:type="dxa"/>
              <w:start w:w="80" w:type="dxa"/>
              <w:bottom w:w="80" w:type="dxa"/>
              <w:end w:w="80" w:type="dxa"/>
            </w:tcMar>
            <w:vAlign w:val="cente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44"/>
              </w:rPr>
              <w:t>5</w:t>
            </w:r>
          </w:p>
        </w:tc>
        <w:tc>
          <w:tcPr>
            <w:tcW w:type="dxa" w:w="5141"/>
            <w:shd w:fill="EAF0F7"/>
            <w:tcMar>
              <w:top w:w="90" w:type="dxa"/>
              <w:start w:w="120" w:type="dxa"/>
              <w:bottom w:w="35"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i w:val="0"/>
                <w:color w:val="17365D"/>
                <w:sz w:val="28"/>
              </w:rPr>
              <w:t>Culturally Responsive Assessment, Intervention, and Advocacy</w:t>
            </w:r>
          </w:p>
        </w:tc>
      </w:tr>
      <w:tr>
        <w:trPr>
          <w:cantSplit/>
        </w:trPr>
        <w:tc>
          <w:tcPr>
            <w:tcW w:type="dxa" w:w="5141"/>
            <w:vMerge/>
          </w:tcPr>
          <w:p/>
        </w:tc>
        <w:tc>
          <w:tcPr>
            <w:tcW w:type="dxa" w:w="5141"/>
            <w:shd w:fill="EAF0F7"/>
            <w:tcMar>
              <w:top w:w="35" w:type="dxa"/>
              <w:start w:w="120" w:type="dxa"/>
              <w:bottom w:w="90" w:type="dxa"/>
              <w:end w:w="120" w:type="dxa"/>
            </w:tcMar>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color w:val="1F2937"/>
                <w:sz w:val="18"/>
              </w:rPr>
              <w:t>Integrate client meaning, fairness, access, evidence, adaptation, measurement, and multi-level action without exceeding role or competence.</w:t>
            </w:r>
          </w:p>
        </w:tc>
      </w:tr>
    </w:tbl>
    <w:p>
      <w:pPr>
        <w:spacing w:after="0"/>
      </w:pPr>
    </w:p>
    <w:p>
      <w:pPr>
        <w:keepLines w:val="0"/>
      </w:pPr>
      <w:r>
        <w:rPr>
          <w:rFonts w:ascii="Arial" w:hAnsi="Arial" w:eastAsia="Arial"/>
          <w:b w:val="0"/>
          <w:i w:val="0"/>
          <w:color w:val="1F2937"/>
          <w:sz w:val="20"/>
        </w:rPr>
        <w:t>A culturally responsive plan changes how the counselor gathers information, interprets evidence, communicates options, delivers care, measures outcomes, and responds to barriers. Adaptation is not guessing what a group prefers. It is collaborative, explicit, clinically reasoned, and evaluated.</w:t>
      </w:r>
    </w:p>
    <w:p>
      <w:pPr>
        <w:pStyle w:val="Heading2"/>
        <w:keepNext/>
      </w:pPr>
      <w:r>
        <w:t>Fair Assessment Requires More Than the Same Procedure</w:t>
      </w:r>
    </w:p>
    <w:tbl>
      <w:tblPr>
        <w:tblW w:type="auto" w:w="0"/>
        <w:jc w:val="center"/>
        <w:tblLayout w:type="fixed"/>
        <w:tblLook w:firstColumn="1" w:firstRow="1" w:lastColumn="0" w:lastRow="0" w:noHBand="0" w:noVBand="1" w:val="04A0"/>
      </w:tblPr>
      <w:tblGrid>
        <w:gridCol w:w="1944"/>
        <w:gridCol w:w="4824"/>
        <w:gridCol w:w="4104"/>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Decision Point</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Responsive Action</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Risk to Avoid</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Problem definition</w:t>
            </w:r>
          </w:p>
        </w:tc>
        <w:tc>
          <w:tcPr>
            <w:tcW w:type="dxa" w:w="482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Ask how the client and relevant community or family understand the concern and what change would matter.</w:t>
            </w:r>
          </w:p>
        </w:tc>
        <w:tc>
          <w:tcPr>
            <w:tcW w:type="dxa" w:w="410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Translate the counselor’s preferred diagnosis or goal into the client’s life without collaboration.</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Instrument choice</w:t>
            </w:r>
          </w:p>
        </w:tc>
        <w:tc>
          <w:tcPr>
            <w:tcW w:type="dxa" w:w="482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Review purpose, language, literacy, accessibility, norms, validation, burden, and consequences.</w:t>
            </w:r>
          </w:p>
        </w:tc>
        <w:tc>
          <w:tcPr>
            <w:tcW w:type="dxa" w:w="410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Treat a score as culture-free or use an inaccessible measure because it is standard.</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Interpretation</w:t>
            </w:r>
          </w:p>
        </w:tc>
        <w:tc>
          <w:tcPr>
            <w:tcW w:type="dxa" w:w="482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Combine interview, observation, function, history, context, collateral data, screening, and client feedback.</w:t>
            </w:r>
          </w:p>
        </w:tc>
        <w:tc>
          <w:tcPr>
            <w:tcW w:type="dxa" w:w="410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Overpathologize culturally normative behavior or minimize genuine symptoms because they are contextual.</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Intervention fit</w:t>
            </w:r>
          </w:p>
        </w:tc>
        <w:tc>
          <w:tcPr>
            <w:tcW w:type="dxa" w:w="482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Explain options, mechanism, risks, tasks, evidence, cultural fit, access, and alternatives.</w:t>
            </w:r>
          </w:p>
        </w:tc>
        <w:tc>
          <w:tcPr>
            <w:tcW w:type="dxa" w:w="410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Assume evidence support eliminates the need for adaptation or consent.</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Adaptation</w:t>
            </w:r>
          </w:p>
        </w:tc>
        <w:tc>
          <w:tcPr>
            <w:tcW w:type="dxa" w:w="482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Modify examples, language, pace, format, setting, supports, and delivery while preserving the active clinical purpose.</w:t>
            </w:r>
          </w:p>
        </w:tc>
        <w:tc>
          <w:tcPr>
            <w:tcW w:type="dxa" w:w="410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Remove the mechanism until the intervention becomes generic support.</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Outcome review</w:t>
            </w:r>
          </w:p>
        </w:tc>
        <w:tc>
          <w:tcPr>
            <w:tcW w:type="dxa" w:w="482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Track symptoms, function, burden, alliance, safety, access, and client-defined benefit.</w:t>
            </w:r>
          </w:p>
        </w:tc>
        <w:tc>
          <w:tcPr>
            <w:tcW w:type="dxa" w:w="410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Call the client resistant before checking bias, barriers, understanding, and fit.</w:t>
            </w:r>
          </w:p>
        </w:tc>
      </w:tr>
    </w:tbl>
    <w:p>
      <w:pPr>
        <w:spacing w:after="0"/>
      </w:pPr>
    </w:p>
    <w:p>
      <w:pPr>
        <w:pStyle w:val="Heading2"/>
        <w:keepNext/>
      </w:pPr>
      <w:r>
        <w:t>The RESPOND Decision Process</w:t>
      </w:r>
    </w:p>
    <w:tbl>
      <w:tblPr>
        <w:tblW w:type="auto" w:w="0"/>
        <w:jc w:val="center"/>
        <w:tblLayout w:type="fixed"/>
        <w:tblLook w:firstColumn="1" w:firstRow="1" w:lastColumn="0" w:lastRow="0" w:noHBand="0" w:noVBand="1" w:val="04A0"/>
      </w:tblPr>
      <w:tblGrid>
        <w:gridCol w:w="2592"/>
        <w:gridCol w:w="8352"/>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Step</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Exam Question</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R - Reflect client meaning</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does the client describe the concern, cause, strengths, goals, and acceptable help?</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E - Examine equity and access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language, disability, cost, transportation, technology, discrimination, scheduling, or system barrier affects care?</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S - Screen assumptions and bias</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Could the counselor, instrument, setting, diagnosis, or policy be misreading the client?</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P - Partner on options</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Have credible choices, risks, benefits, tasks, adaptations, and alternatives been discussed?</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O - Optimize fit while preserving purpose</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can change in delivery without losing the active ingredient or clinical objective?</w:t>
            </w:r>
          </w:p>
        </w:tc>
      </w:tr>
      <w:tr>
        <w:trPr>
          <w:cantSplit/>
        </w:trPr>
        <w:tc>
          <w:tcPr>
            <w:tcW w:type="dxa" w:w="259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N - Notice outcomes and burden</w:t>
            </w:r>
          </w:p>
        </w:tc>
        <w:tc>
          <w:tcPr>
            <w:tcW w:type="dxa" w:w="83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Are symptoms, function, alliance, access, safety, and client-defined benefit improving?</w:t>
            </w:r>
          </w:p>
        </w:tc>
      </w:tr>
      <w:tr>
        <w:trPr>
          <w:cantSplit/>
        </w:trPr>
        <w:tc>
          <w:tcPr>
            <w:tcW w:type="dxa" w:w="259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D - Document and advocate</w:t>
            </w:r>
          </w:p>
        </w:tc>
        <w:tc>
          <w:tcPr>
            <w:tcW w:type="dxa" w:w="83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barrier, consultation, referral, coordination, resource, or advocacy action is needed and consented to?</w:t>
            </w:r>
          </w:p>
        </w:tc>
      </w:tr>
    </w:tbl>
    <w:p>
      <w:pPr>
        <w:spacing w:after="0"/>
      </w:pPr>
    </w:p>
    <w:p>
      <w:pPr>
        <w:pStyle w:val="Heading2"/>
        <w:keepNext/>
      </w:pPr>
      <w:r>
        <w:t>Levels of Advocacy and Coordination</w:t>
      </w:r>
    </w:p>
    <w:tbl>
      <w:tblPr>
        <w:tblW w:type="auto" w:w="0"/>
        <w:jc w:val="center"/>
        <w:tblLayout w:type="fixed"/>
        <w:tblLook w:firstColumn="1" w:firstRow="1" w:lastColumn="0" w:lastRow="0" w:noHBand="0" w:noVBand="1" w:val="04A0"/>
      </w:tblPr>
      <w:tblGrid>
        <w:gridCol w:w="1944"/>
        <w:gridCol w:w="5976"/>
        <w:gridCol w:w="2952"/>
      </w:tblGrid>
      <w:tr>
        <w:trPr>
          <w:tblHeader w:val="true"/>
          <w:cantSplit/>
        </w:trPr>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Level</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Examples</w:t>
            </w:r>
          </w:p>
        </w:tc>
        <w:tc>
          <w:tcPr>
            <w:tcW w:type="dxa" w:w="3427"/>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Control</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Client / interpersonal</w:t>
            </w:r>
          </w:p>
        </w:tc>
        <w:tc>
          <w:tcPr>
            <w:tcW w:type="dxa" w:w="597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Prepare a client to request an accommodation, practice self-advocacy, clarify a discriminatory event, or identify support.</w:t>
            </w:r>
          </w:p>
        </w:tc>
        <w:tc>
          <w:tcPr>
            <w:tcW w:type="dxa" w:w="29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Follow the client’s goals, safety, readiness, and consent.</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Program / organization</w:t>
            </w:r>
          </w:p>
        </w:tc>
        <w:tc>
          <w:tcPr>
            <w:tcW w:type="dxa" w:w="597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Raise an accessibility problem, revise a biased procedure, improve interpreter access, or consult leadership about a barrier.</w:t>
            </w:r>
          </w:p>
        </w:tc>
        <w:tc>
          <w:tcPr>
            <w:tcW w:type="dxa" w:w="29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Protect confidentiality; use appropriate channels and documentation.</w:t>
            </w:r>
          </w:p>
        </w:tc>
      </w:tr>
      <w:tr>
        <w:trPr>
          <w:cantSplit/>
        </w:trPr>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Community / systems</w:t>
            </w:r>
          </w:p>
        </w:tc>
        <w:tc>
          <w:tcPr>
            <w:tcW w:type="dxa" w:w="597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Participate in a needs-and-strengths assessment, resource coalition, outreach, referral network, or policy education.</w:t>
            </w:r>
          </w:p>
        </w:tc>
        <w:tc>
          <w:tcPr>
            <w:tcW w:type="dxa" w:w="295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Stay within role and competence; do not represent a client or community without authority.</w:t>
            </w:r>
          </w:p>
        </w:tc>
      </w:tr>
      <w:tr>
        <w:trPr>
          <w:cantSplit/>
        </w:trPr>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Professional</w:t>
            </w:r>
          </w:p>
        </w:tc>
        <w:tc>
          <w:tcPr>
            <w:tcW w:type="dxa" w:w="597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Seek training, supervision, consultation, and inclusive practices; address biased conduct through proper ethical processes.</w:t>
            </w:r>
          </w:p>
        </w:tc>
        <w:tc>
          <w:tcPr>
            <w:tcW w:type="dxa" w:w="295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Avoid public confrontation that increases client risk or violates confidentiality.</w:t>
            </w:r>
          </w:p>
        </w:tc>
      </w:tr>
    </w:tbl>
    <w:p>
      <w:pPr>
        <w:spacing w:after="0"/>
      </w:pPr>
    </w:p>
    <w:p>
      <w:pPr>
        <w:pStyle w:val="Heading2"/>
        <w:keepNext/>
      </w:pPr>
      <w:r>
        <w:t>Community Needs and Strengths Assessment</w:t>
      </w:r>
    </w:p>
    <w:p>
      <w:pPr>
        <w:keepLines w:val="0"/>
      </w:pPr>
      <w:r>
        <w:rPr>
          <w:rFonts w:ascii="Arial" w:hAnsi="Arial" w:eastAsia="Arial"/>
          <w:b w:val="0"/>
          <w:i w:val="0"/>
          <w:color w:val="1F2937"/>
          <w:sz w:val="20"/>
        </w:rPr>
        <w:t>A community assessment asks what people identify as priorities, what strengths and informal supports already exist, who is missing from the data, what barriers limit participation, and which solutions are feasible. It should include community voice rather than treating professional opinion as the only evidence. In exam questions, the strongest response usually gathers information and partners with affected people before designing a program or advocacy action.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8F6F6"/>
            <w:tcMar>
              <w:top w:w="110" w:type="dxa"/>
              <w:start w:w="130" w:type="dxa"/>
              <w:bottom w:w="110" w:type="dxa"/>
              <w:end w:w="130" w:type="dxa"/>
            </w:tcMar>
            <w:tcBorders>
              <w:top w:val="single" w:sz="8" w:color="159C9C"/>
              <w:left w:val="single" w:sz="8" w:color="159C9C"/>
              <w:bottom w:val="single" w:sz="8" w:color="159C9C"/>
              <w:right w:val="single" w:sz="8" w:color="159C9C"/>
            </w:tcBorders>
          </w:tcPr>
          <w:p>
            <w:pPr>
              <w:keepLines/>
              <w:spacing w:after="0"/>
            </w:pPr>
            <w:r>
              <w:rPr>
                <w:rFonts w:ascii="Arial" w:hAnsi="Arial" w:eastAsia="Arial"/>
                <w:b/>
                <w:i w:val="0"/>
                <w:color w:val="159C9C"/>
                <w:sz w:val="18"/>
              </w:rPr>
              <w:t xml:space="preserve">EXAM RULE  </w:t>
            </w:r>
            <w:r>
              <w:rPr>
                <w:rFonts w:ascii="Arial" w:hAnsi="Arial" w:eastAsia="Arial"/>
                <w:b w:val="0"/>
                <w:i w:val="0"/>
                <w:color w:val="1F2937"/>
                <w:sz w:val="18"/>
              </w:rPr>
              <w:t>When a barrier is clinically relevant, do not choose between therapy and context. Address the immediate clinical need and the barrier in a coordinated, consent-based way.</w:t>
            </w:r>
          </w:p>
        </w:tc>
      </w:tr>
    </w:tbl>
    <w:p>
      <w:pPr>
        <w:spacing w:after="0"/>
      </w:pPr>
    </w:p>
    <w:p>
      <w:pPr>
        <w:pStyle w:val="Heading2"/>
        <w:keepNext/>
      </w:pPr>
      <w:r>
        <w:t>Clinical Resource Toolkit: RESPOND Adaptation and Advocacy Review</w:t>
      </w:r>
    </w:p>
    <w:tbl>
      <w:tblPr>
        <w:tblW w:type="auto" w:w="0"/>
        <w:jc w:val="center"/>
        <w:tblLayout w:type="fixed"/>
        <w:tblLook w:firstColumn="1" w:firstRow="1" w:lastColumn="0" w:lastRow="0" w:noHBand="0" w:noVBand="1" w:val="04A0"/>
      </w:tblPr>
      <w:tblGrid>
        <w:gridCol w:w="1872"/>
        <w:gridCol w:w="1872"/>
        <w:gridCol w:w="2016"/>
        <w:gridCol w:w="1656"/>
        <w:gridCol w:w="1728"/>
        <w:gridCol w:w="2016"/>
      </w:tblGrid>
      <w:tr>
        <w:trPr>
          <w:tblHeader w:val="true"/>
          <w:cantSplit/>
        </w:trPr>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Client meaning / goal</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Barrier / bias risk</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Option and active purpose</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Adaptation</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Outcome / burden</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4"/>
              </w:rPr>
              <w:t>Referral / advocacy / owner</w:t>
            </w:r>
          </w:p>
        </w:tc>
      </w:tr>
      <w:tr>
        <w:trPr>
          <w:cantSplit/>
        </w:trPr>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65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r>
      <w:tr>
        <w:trPr>
          <w:cantSplit/>
        </w:trPr>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65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r>
      <w:tr>
        <w:trPr>
          <w:cantSplit/>
        </w:trPr>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872"/>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65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72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r>
      <w:tr>
        <w:trPr>
          <w:cantSplit/>
        </w:trPr>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872"/>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65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172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c>
          <w:tcPr>
            <w:tcW w:type="dxa" w:w="20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4"/>
              </w:rPr>
            </w:r>
          </w:p>
        </w:tc>
      </w:tr>
    </w:tbl>
    <w:p>
      <w:pPr>
        <w:spacing w:after="0"/>
      </w:pPr>
    </w:p>
    <w:p>
      <w:pPr>
        <w:pStyle w:val="Heading2"/>
        <w:keepNext/>
      </w:pPr>
      <w:r>
        <w:t>Chapter Summary</w:t>
      </w:r>
    </w:p>
    <w:p>
      <w:pPr>
        <w:pStyle w:val="ListBullet"/>
        <w:spacing w:after="30"/>
      </w:pPr>
      <w:r>
        <w:rPr>
          <w:rFonts w:ascii="Arial" w:hAnsi="Arial" w:eastAsia="Arial"/>
          <w:b w:val="0"/>
          <w:i w:val="0"/>
          <w:color w:val="1F2937"/>
          <w:sz w:val="20"/>
        </w:rPr>
        <w:t>Fair assessment considers language, literacy, accessibility, norms, validation, context, function, and consequences.</w:t>
      </w:r>
    </w:p>
    <w:p>
      <w:pPr>
        <w:pStyle w:val="ListBullet"/>
        <w:spacing w:after="30"/>
      </w:pPr>
      <w:r>
        <w:rPr>
          <w:rFonts w:ascii="Arial" w:hAnsi="Arial" w:eastAsia="Arial"/>
          <w:b w:val="0"/>
          <w:i w:val="0"/>
          <w:color w:val="1F2937"/>
          <w:sz w:val="20"/>
        </w:rPr>
        <w:t>Cultural adaptation changes delivery through collaboration while preserving the intervention’s clinical purpose.</w:t>
      </w:r>
    </w:p>
    <w:p>
      <w:pPr>
        <w:pStyle w:val="ListBullet"/>
        <w:spacing w:after="30"/>
      </w:pPr>
      <w:r>
        <w:rPr>
          <w:rFonts w:ascii="Arial" w:hAnsi="Arial" w:eastAsia="Arial"/>
          <w:b w:val="0"/>
          <w:i w:val="0"/>
          <w:color w:val="1F2937"/>
          <w:sz w:val="20"/>
        </w:rPr>
        <w:t>Outcome review includes access, burden, alliance, safety, function, and client-defined benefit - not symptoms alone.</w:t>
      </w:r>
    </w:p>
    <w:p>
      <w:pPr>
        <w:pStyle w:val="ListBullet"/>
        <w:spacing w:after="30"/>
      </w:pPr>
      <w:r>
        <w:rPr>
          <w:rFonts w:ascii="Arial" w:hAnsi="Arial" w:eastAsia="Arial"/>
          <w:b w:val="0"/>
          <w:i w:val="0"/>
          <w:color w:val="1F2937"/>
          <w:sz w:val="20"/>
        </w:rPr>
        <w:t>Advocacy may occur with the client, within an organization, in a community, or within the profession.</w:t>
      </w:r>
    </w:p>
    <w:p>
      <w:pPr>
        <w:pStyle w:val="ListBullet"/>
        <w:spacing w:after="30"/>
      </w:pPr>
      <w:r>
        <w:rPr>
          <w:rFonts w:ascii="Arial" w:hAnsi="Arial" w:eastAsia="Arial"/>
          <w:b w:val="0"/>
          <w:i w:val="0"/>
          <w:color w:val="1F2937"/>
          <w:sz w:val="20"/>
        </w:rPr>
        <w:t>The counselor documents barriers, obtains consent, protects confidentiality, and uses referral, coordination, consultation, and advocacy without exceeding role.</w:t>
      </w:r>
    </w:p>
    <w:p>
      <w:r>
        <w:br w:type="page"/>
      </w:r>
    </w:p>
    <w:p>
      <w:pPr>
        <w:pStyle w:val="Heading1"/>
        <w:keepNext/>
      </w:pPr>
      <w:r>
        <w:t>Cumulative Three-Part Case Lab</w:t>
      </w:r>
    </w:p>
    <w:p>
      <w:pPr>
        <w:keepLines w:val="0"/>
      </w:pPr>
      <w:r>
        <w:rPr>
          <w:rFonts w:ascii="Arial" w:hAnsi="Arial" w:eastAsia="Arial"/>
          <w:b w:val="0"/>
          <w:i w:val="0"/>
          <w:color w:val="1F2937"/>
          <w:sz w:val="20"/>
        </w:rPr>
        <w:t>Read one part at a time. Treat each new section as additional evidence. Do not use information from a later part to answer an earlier decision.</w:t>
      </w:r>
    </w:p>
    <w:p>
      <w:pPr>
        <w:pStyle w:val="Heading2"/>
        <w:keepNext/>
      </w:pPr>
      <w:r>
        <w:t>Case: Elena - Part 1, Access and Meaning</w:t>
      </w:r>
    </w:p>
    <w:p>
      <w:pPr>
        <w:keepLines w:val="0"/>
      </w:pPr>
      <w:r>
        <w:rPr>
          <w:rFonts w:ascii="Arial" w:hAnsi="Arial" w:eastAsia="Arial"/>
          <w:b w:val="0"/>
          <w:i w:val="0"/>
          <w:color w:val="1F2937"/>
          <w:sz w:val="20"/>
        </w:rPr>
        <w:t>Elena is a 52-year-old bilingual Spanish-English woman referred after several months of low mood, worry, insomnia, and reduced concentration. She was laid off from a hotel-management position after 18 years and is the primary caregiver for her 79-year-old father, who has dementia. Elena has diabetic retinopathy and says the standard electronic intake forms are difficult to see. She speaks English comfortably but says, “When I talk about my father or my faith, Spanish is easier.” Her adult daughter offers to interpret. Elena identifies strongly with her Catholic faith and says she feels ashamed that she is angry about caregiving. She denies current suicidal intent but says, “Sometimes I wish I could disappear for a week.”</w:t>
      </w:r>
    </w:p>
    <w:tbl>
      <w:tblPr>
        <w:tblW w:type="auto" w:w="0"/>
        <w:jc w:val="center"/>
        <w:tblLayout w:type="fixed"/>
        <w:tblLook w:firstColumn="1" w:firstRow="1" w:lastColumn="0" w:lastRow="0" w:noHBand="0" w:noVBand="1" w:val="04A0"/>
      </w:tblPr>
      <w:tblGrid>
        <w:gridCol w:w="4896"/>
        <w:gridCol w:w="6048"/>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Prompt</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Your Response</w:t>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needs immediate clarification before routine diagnosis or treatment selection?</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access and language supports should be discussed?</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can the counselor broach caregiving, faith, work loss, and cultural expectations without stereotyping?</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Which risks, strengths, and functional indicators should be assessed?</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8" w:color="17365D"/>
              <w:left w:val="single" w:sz="8" w:color="17365D"/>
              <w:bottom w:val="single" w:sz="8" w:color="17365D"/>
              <w:right w:val="single" w:sz="8" w:color="17365D"/>
            </w:tcBorders>
          </w:tcPr>
          <w:p>
            <w:pPr>
              <w:keepLines/>
              <w:spacing w:after="0"/>
            </w:pPr>
            <w:r>
              <w:rPr>
                <w:rFonts w:ascii="Arial" w:hAnsi="Arial" w:eastAsia="Arial"/>
                <w:b/>
                <w:i w:val="0"/>
                <w:color w:val="17365D"/>
                <w:sz w:val="18"/>
              </w:rPr>
              <w:t xml:space="preserve">MODEL ANALYSIS  </w:t>
            </w:r>
            <w:r>
              <w:rPr>
                <w:rFonts w:ascii="Arial" w:hAnsi="Arial" w:eastAsia="Arial"/>
                <w:b w:val="0"/>
                <w:i w:val="0"/>
                <w:color w:val="1F2937"/>
                <w:sz w:val="18"/>
              </w:rPr>
              <w:t>Clarify passive death wishes, suicide risk, sleep, medical status, caregiving safety, depression, anxiety, substance use, and function. Ask Elena which language she prefers for each task; offer qualified language assistance rather than relying routinely on her daughter for complex clinical communication. Provide accessible forms or another effective format. Explore faith, family duty, anger, shame, discrimination, finances, and career identity using Elena’s language. Identify strengths, supports, respite needs, and practical barriers.</w:t>
            </w:r>
          </w:p>
        </w:tc>
      </w:tr>
    </w:tbl>
    <w:p>
      <w:pPr>
        <w:spacing w:after="0"/>
      </w:pPr>
    </w:p>
    <w:p>
      <w:pPr>
        <w:pStyle w:val="Heading2"/>
        <w:keepNext/>
      </w:pPr>
      <w:r>
        <w:t>Case: Elena - Part 2, Development and Career Transition</w:t>
      </w:r>
    </w:p>
    <w:p>
      <w:pPr>
        <w:keepLines w:val="0"/>
      </w:pPr>
      <w:r>
        <w:rPr>
          <w:rFonts w:ascii="Arial" w:hAnsi="Arial" w:eastAsia="Arial"/>
          <w:b w:val="0"/>
          <w:i w:val="0"/>
          <w:color w:val="1F2937"/>
          <w:sz w:val="20"/>
        </w:rPr>
        <w:t>Elena chooses a qualified Spanish interpreter for selected sessions and accessible electronic documents that work with screen magnification. She reports no plan or intent to harm herself. Her symptoms began after the layoff and worsened as her father’s needs increased. She says hotel work gave her purpose and community, but she doubts employers will hire “an older woman with vision problems.” She wants help deciding whether to retrain, seek a similar role, or stop working. A career interest inventory is available only in English and in a small-print format. Elena asks whether the test can tell her “the right career.”</w:t>
      </w:r>
    </w:p>
    <w:tbl>
      <w:tblPr>
        <w:tblW w:type="auto" w:w="0"/>
        <w:jc w:val="center"/>
        <w:tblLayout w:type="fixed"/>
        <w:tblLook w:firstColumn="1" w:firstRow="1" w:lastColumn="0" w:lastRow="0" w:noHBand="0" w:noVBand="1" w:val="04A0"/>
      </w:tblPr>
      <w:tblGrid>
        <w:gridCol w:w="4896"/>
        <w:gridCol w:w="6048"/>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Prompt</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Your Response</w:t>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should the counselor respond to the available career inventory?</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developmental, identity, disability, economic, and caregiving factors belong in the career formulation?</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small action experiments could create useful evidence?</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referrals or coordination may improve access and decision quality?</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8" w:color="17365D"/>
              <w:left w:val="single" w:sz="8" w:color="17365D"/>
              <w:bottom w:val="single" w:sz="8" w:color="17365D"/>
              <w:right w:val="single" w:sz="8" w:color="17365D"/>
            </w:tcBorders>
          </w:tcPr>
          <w:p>
            <w:pPr>
              <w:keepLines/>
              <w:spacing w:after="0"/>
            </w:pPr>
            <w:r>
              <w:rPr>
                <w:rFonts w:ascii="Arial" w:hAnsi="Arial" w:eastAsia="Arial"/>
                <w:b/>
                <w:i w:val="0"/>
                <w:color w:val="17365D"/>
                <w:sz w:val="18"/>
              </w:rPr>
              <w:t xml:space="preserve">MODEL ANALYSIS  </w:t>
            </w:r>
            <w:r>
              <w:rPr>
                <w:rFonts w:ascii="Arial" w:hAnsi="Arial" w:eastAsia="Arial"/>
                <w:b w:val="0"/>
                <w:i w:val="0"/>
                <w:color w:val="1F2937"/>
                <w:sz w:val="18"/>
              </w:rPr>
              <w:t>Explain that one inventory cannot prescribe a career and that the available version may not provide fair or accessible information. Use interview, work history, interests, values, skills, health, accommodations, finances, caregiving demands, discrimination concerns, and opportunity data. Consider accessible career resources, vocational rehabilitation or disability-employment services, benefits or legal-resource consultation when indicated, caregiver supports, and small experiments such as an informational interview, accessible training sample, or accommodation inquiry.</w:t>
            </w:r>
          </w:p>
        </w:tc>
      </w:tr>
    </w:tbl>
    <w:p>
      <w:pPr>
        <w:spacing w:after="0"/>
      </w:pPr>
    </w:p>
    <w:p>
      <w:pPr>
        <w:pStyle w:val="Heading2"/>
        <w:keepNext/>
      </w:pPr>
      <w:r>
        <w:t>Case: Elena - Part 3, Adaptation and Advocacy</w:t>
      </w:r>
    </w:p>
    <w:p>
      <w:pPr>
        <w:keepLines w:val="0"/>
      </w:pPr>
      <w:r>
        <w:rPr>
          <w:rFonts w:ascii="Arial" w:hAnsi="Arial" w:eastAsia="Arial"/>
          <w:b w:val="0"/>
          <w:i w:val="0"/>
          <w:color w:val="1F2937"/>
          <w:sz w:val="20"/>
        </w:rPr>
        <w:t>Six weeks later, Elena reports modest improvement in sleep and mood after behavioral activation, scheduled respite, and two career-information interviews. She missed two appointments because paratransit arrived late and stopped completing a written thought record because screen magnification made the form exhausting. She says the counseling has helped but worries the counselor will think she is “not trying.” Her father was recently hospitalized, and Elena wants one session focused on prayer and grief before returning to career planning. She gives permission for the counselor to coordinate with a caregiver-resource program and asks for help requesting a more accessible appointment process.</w:t>
      </w:r>
    </w:p>
    <w:tbl>
      <w:tblPr>
        <w:tblW w:type="auto" w:w="0"/>
        <w:jc w:val="center"/>
        <w:tblLayout w:type="fixed"/>
        <w:tblLook w:firstColumn="1" w:firstRow="1" w:lastColumn="0" w:lastRow="0" w:noHBand="0" w:noVBand="1" w:val="04A0"/>
      </w:tblPr>
      <w:tblGrid>
        <w:gridCol w:w="4896"/>
        <w:gridCol w:w="6048"/>
      </w:tblGrid>
      <w:tr>
        <w:trPr>
          <w:tblHeader w:val="true"/>
          <w:cantSplit/>
        </w:trPr>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Prompt</w:t>
            </w:r>
          </w:p>
        </w:tc>
        <w:tc>
          <w:tcPr>
            <w:tcW w:type="dxa" w:w="5141"/>
            <w:shd w:fill="159C9C"/>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7"/>
              </w:rPr>
              <w:t>Your Response</w:t>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is the best response to missed appointments and incomplete written practice?</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How can the counselor integrate Elena’s request for prayer and grief support ethically?</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Which adaptations preserve the active purpose of treatment?</w:t>
            </w:r>
          </w:p>
        </w:tc>
        <w:tc>
          <w:tcPr>
            <w:tcW w:type="dxa" w:w="604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r>
        <w:trPr>
          <w:cantSplit/>
        </w:trPr>
        <w:tc>
          <w:tcPr>
            <w:tcW w:type="dxa" w:w="48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t>What advocacy and coordination actions are appropriate with Elena’s consent?</w:t>
            </w:r>
          </w:p>
        </w:tc>
        <w:tc>
          <w:tcPr>
            <w:tcW w:type="dxa" w:w="604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7"/>
              </w:rPr>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8" w:color="17365D"/>
              <w:left w:val="single" w:sz="8" w:color="17365D"/>
              <w:bottom w:val="single" w:sz="8" w:color="17365D"/>
              <w:right w:val="single" w:sz="8" w:color="17365D"/>
            </w:tcBorders>
          </w:tcPr>
          <w:p>
            <w:pPr>
              <w:keepLines/>
              <w:spacing w:after="0"/>
            </w:pPr>
            <w:r>
              <w:rPr>
                <w:rFonts w:ascii="Arial" w:hAnsi="Arial" w:eastAsia="Arial"/>
                <w:b/>
                <w:i w:val="0"/>
                <w:color w:val="17365D"/>
                <w:sz w:val="18"/>
              </w:rPr>
              <w:t xml:space="preserve">MODEL ANALYSIS  </w:t>
            </w:r>
            <w:r>
              <w:rPr>
                <w:rFonts w:ascii="Arial" w:hAnsi="Arial" w:eastAsia="Arial"/>
                <w:b w:val="0"/>
                <w:i w:val="0"/>
                <w:color w:val="1F2937"/>
                <w:sz w:val="18"/>
              </w:rPr>
              <w:t>Treat the missed visits and incomplete form as access data, not evidence of poor motivation. Collaborate on alternate scheduling, telehealth if clinically and legally appropriate, accessible audio or verbal practice, and a simpler monitoring method that preserves the cognitive or behavioral purpose. Explore what prayer means to Elena, the counselor’s competence and boundaries, and alternatives such as client-led prayer, reflective spiritual discussion, or chaplain/clergy coordination. With consent, complete a warm handoff to caregiver resources and address the appointment barrier through the appropriate program process while protecting confidentiality.</w:t>
            </w:r>
          </w:p>
        </w:tc>
      </w:tr>
    </w:tbl>
    <w:p>
      <w:pPr>
        <w:spacing w:after="0"/>
      </w:pPr>
    </w:p>
    <w:p>
      <w:r>
        <w:br w:type="page"/>
      </w:r>
    </w:p>
    <w:p>
      <w:pPr>
        <w:pStyle w:val="Heading1"/>
        <w:keepNext/>
      </w:pPr>
      <w:r>
        <w:t>Knowledge Check</w:t>
      </w:r>
    </w:p>
    <w:p>
      <w:pPr>
        <w:keepLines w:val="0"/>
      </w:pPr>
      <w:r>
        <w:rPr>
          <w:rFonts w:ascii="Arial" w:hAnsi="Arial" w:eastAsia="Arial"/>
          <w:b w:val="0"/>
          <w:i w:val="0"/>
          <w:color w:val="1F2937"/>
          <w:sz w:val="20"/>
        </w:rPr>
        <w:t>Choose the one best answer. Complete all 10 questions before reviewing the rationales. Record your confidence so you can distinguish knowledge gaps from sequencing, overreach, access, and assumption errors.</w:t>
      </w:r>
    </w:p>
    <w:p>
      <w:pPr>
        <w:keepNext/>
        <w:spacing w:before="80" w:after="40"/>
      </w:pPr>
      <w:r>
        <w:rPr>
          <w:rFonts w:ascii="Arial" w:hAnsi="Arial" w:eastAsia="Arial"/>
          <w:b/>
          <w:i w:val="0"/>
          <w:color w:val="1F2937"/>
          <w:sz w:val="20"/>
        </w:rPr>
        <w:t>1. A client says, “You keep describing independence as the goal, but my family makes important decisions together.” What is the counselor’s best response?</w:t>
      </w:r>
    </w:p>
    <w:p>
      <w:pPr>
        <w:spacing w:after="16"/>
        <w:ind w:left="259" w:hanging="259"/>
      </w:pPr>
      <w:r>
        <w:rPr>
          <w:rFonts w:ascii="Arial" w:hAnsi="Arial" w:eastAsia="Arial"/>
          <w:b w:val="0"/>
          <w:i w:val="0"/>
          <w:color w:val="1F2937"/>
          <w:sz w:val="19"/>
        </w:rPr>
        <w:t>A. Explain that healthy adulthood requires individual decision making.</w:t>
      </w:r>
    </w:p>
    <w:p>
      <w:pPr>
        <w:spacing w:after="16"/>
        <w:ind w:left="259" w:hanging="259"/>
      </w:pPr>
      <w:r>
        <w:rPr>
          <w:rFonts w:ascii="Arial" w:hAnsi="Arial" w:eastAsia="Arial"/>
          <w:b w:val="0"/>
          <w:i w:val="0"/>
          <w:color w:val="1F2937"/>
          <w:sz w:val="19"/>
        </w:rPr>
        <w:t>B. Acknowledge the assumption, invite the client to describe preferred decision making, and revise goals collaboratively.</w:t>
      </w:r>
    </w:p>
    <w:p>
      <w:pPr>
        <w:spacing w:after="16"/>
        <w:ind w:left="259" w:hanging="259"/>
      </w:pPr>
      <w:r>
        <w:rPr>
          <w:rFonts w:ascii="Arial" w:hAnsi="Arial" w:eastAsia="Arial"/>
          <w:b w:val="0"/>
          <w:i w:val="0"/>
          <w:color w:val="1F2937"/>
          <w:sz w:val="19"/>
        </w:rPr>
        <w:t>C. Avoid discussing family values because they are outside psychotherapy.</w:t>
      </w:r>
    </w:p>
    <w:p>
      <w:pPr>
        <w:spacing w:after="16"/>
        <w:ind w:left="259" w:hanging="259"/>
      </w:pPr>
      <w:r>
        <w:rPr>
          <w:rFonts w:ascii="Arial" w:hAnsi="Arial" w:eastAsia="Arial"/>
          <w:b w:val="0"/>
          <w:i w:val="0"/>
          <w:color w:val="1F2937"/>
          <w:sz w:val="19"/>
        </w:rPr>
        <w:t>D. Ask the family to make all treatment decisions for the client.</w:t>
      </w:r>
    </w:p>
    <w:p>
      <w:pPr>
        <w:spacing w:after="40"/>
      </w:pPr>
      <w:r>
        <w:rPr>
          <w:rFonts w:ascii="Arial" w:hAnsi="Arial" w:eastAsia="Arial"/>
          <w:b w:val="0"/>
          <w:i/>
          <w:color w:val="159C9C"/>
          <w:sz w:val="16"/>
        </w:rPr>
        <w:t>Question ID: LPCC-WB10-Q001    Confidence:  Low / Medium / High</w:t>
      </w:r>
    </w:p>
    <w:p>
      <w:pPr>
        <w:keepNext/>
        <w:spacing w:before="80" w:after="40"/>
      </w:pPr>
      <w:r>
        <w:rPr>
          <w:rFonts w:ascii="Arial" w:hAnsi="Arial" w:eastAsia="Arial"/>
          <w:b/>
          <w:i w:val="0"/>
          <w:color w:val="1F2937"/>
          <w:sz w:val="20"/>
        </w:rPr>
        <w:t>2. A client reports repeated racial discrimination at work and says it contributes to anxiety before each shift. What should the counselor do first?</w:t>
      </w:r>
    </w:p>
    <w:p>
      <w:pPr>
        <w:spacing w:after="16"/>
        <w:ind w:left="259" w:hanging="259"/>
      </w:pPr>
      <w:r>
        <w:rPr>
          <w:rFonts w:ascii="Arial" w:hAnsi="Arial" w:eastAsia="Arial"/>
          <w:b w:val="0"/>
          <w:i w:val="0"/>
          <w:color w:val="1F2937"/>
          <w:sz w:val="19"/>
        </w:rPr>
        <w:t>A. Focus only on breathing skills so the session remains clinically neutral.</w:t>
      </w:r>
    </w:p>
    <w:p>
      <w:pPr>
        <w:spacing w:after="16"/>
        <w:ind w:left="259" w:hanging="259"/>
      </w:pPr>
      <w:r>
        <w:rPr>
          <w:rFonts w:ascii="Arial" w:hAnsi="Arial" w:eastAsia="Arial"/>
          <w:b w:val="0"/>
          <w:i w:val="0"/>
          <w:color w:val="1F2937"/>
          <w:sz w:val="19"/>
        </w:rPr>
        <w:t>B. Tell the client to file a formal complaint immediately.</w:t>
      </w:r>
    </w:p>
    <w:p>
      <w:pPr>
        <w:spacing w:after="16"/>
        <w:ind w:left="259" w:hanging="259"/>
      </w:pPr>
      <w:r>
        <w:rPr>
          <w:rFonts w:ascii="Arial" w:hAnsi="Arial" w:eastAsia="Arial"/>
          <w:b w:val="0"/>
          <w:i w:val="0"/>
          <w:color w:val="1F2937"/>
          <w:sz w:val="19"/>
        </w:rPr>
        <w:t>C. Invite discussion of the experiences and their impact, assess safety and functioning, and collaborate on clinical and practical options.</w:t>
      </w:r>
    </w:p>
    <w:p>
      <w:pPr>
        <w:spacing w:after="16"/>
        <w:ind w:left="259" w:hanging="259"/>
      </w:pPr>
      <w:r>
        <w:rPr>
          <w:rFonts w:ascii="Arial" w:hAnsi="Arial" w:eastAsia="Arial"/>
          <w:b w:val="0"/>
          <w:i w:val="0"/>
          <w:color w:val="1F2937"/>
          <w:sz w:val="19"/>
        </w:rPr>
        <w:t>D. Reframe the concern as a cognitive distortion until objective proof is available.</w:t>
      </w:r>
    </w:p>
    <w:p>
      <w:pPr>
        <w:spacing w:after="40"/>
      </w:pPr>
      <w:r>
        <w:rPr>
          <w:rFonts w:ascii="Arial" w:hAnsi="Arial" w:eastAsia="Arial"/>
          <w:b w:val="0"/>
          <w:i/>
          <w:color w:val="159C9C"/>
          <w:sz w:val="16"/>
        </w:rPr>
        <w:t>Question ID: LPCC-WB10-Q002    Confidence:  Low / Medium / High</w:t>
      </w:r>
    </w:p>
    <w:p>
      <w:pPr>
        <w:keepNext/>
        <w:spacing w:before="80" w:after="40"/>
      </w:pPr>
      <w:r>
        <w:rPr>
          <w:rFonts w:ascii="Arial" w:hAnsi="Arial" w:eastAsia="Arial"/>
          <w:b/>
          <w:i w:val="0"/>
          <w:color w:val="1F2937"/>
          <w:sz w:val="20"/>
        </w:rPr>
        <w:t>3. A client speaks conversational English but prefers Spanish for informed consent and trauma-related discussion. The client’s adult son offers to interpret. What is the best action?</w:t>
      </w:r>
    </w:p>
    <w:p>
      <w:pPr>
        <w:spacing w:after="16"/>
        <w:ind w:left="259" w:hanging="259"/>
      </w:pPr>
      <w:r>
        <w:rPr>
          <w:rFonts w:ascii="Arial" w:hAnsi="Arial" w:eastAsia="Arial"/>
          <w:b w:val="0"/>
          <w:i w:val="0"/>
          <w:color w:val="1F2937"/>
          <w:sz w:val="19"/>
        </w:rPr>
        <w:t>A. Discuss language preferences and arrange qualified language assistance for complex clinical communication.</w:t>
      </w:r>
    </w:p>
    <w:p>
      <w:pPr>
        <w:spacing w:after="16"/>
        <w:ind w:left="259" w:hanging="259"/>
      </w:pPr>
      <w:r>
        <w:rPr>
          <w:rFonts w:ascii="Arial" w:hAnsi="Arial" w:eastAsia="Arial"/>
          <w:b w:val="0"/>
          <w:i w:val="0"/>
          <w:color w:val="1F2937"/>
          <w:sz w:val="19"/>
        </w:rPr>
        <w:t>B. Use the son because family interpretation is always more culturally responsive.</w:t>
      </w:r>
    </w:p>
    <w:p>
      <w:pPr>
        <w:spacing w:after="16"/>
        <w:ind w:left="259" w:hanging="259"/>
      </w:pPr>
      <w:r>
        <w:rPr>
          <w:rFonts w:ascii="Arial" w:hAnsi="Arial" w:eastAsia="Arial"/>
          <w:b w:val="0"/>
          <w:i w:val="0"/>
          <w:color w:val="1F2937"/>
          <w:sz w:val="19"/>
        </w:rPr>
        <w:t>C. Require English because the client can converse in English.</w:t>
      </w:r>
    </w:p>
    <w:p>
      <w:pPr>
        <w:spacing w:after="16"/>
        <w:ind w:left="259" w:hanging="259"/>
      </w:pPr>
      <w:r>
        <w:rPr>
          <w:rFonts w:ascii="Arial" w:hAnsi="Arial" w:eastAsia="Arial"/>
          <w:b w:val="0"/>
          <w:i w:val="0"/>
          <w:color w:val="1F2937"/>
          <w:sz w:val="19"/>
        </w:rPr>
        <w:t>D. Postpone all services until the client becomes fluent in English.</w:t>
      </w:r>
    </w:p>
    <w:p>
      <w:pPr>
        <w:spacing w:after="40"/>
      </w:pPr>
      <w:r>
        <w:rPr>
          <w:rFonts w:ascii="Arial" w:hAnsi="Arial" w:eastAsia="Arial"/>
          <w:b w:val="0"/>
          <w:i/>
          <w:color w:val="159C9C"/>
          <w:sz w:val="16"/>
        </w:rPr>
        <w:t>Question ID: LPCC-WB10-Q003    Confidence:  Low / Medium / High</w:t>
      </w:r>
    </w:p>
    <w:p>
      <w:pPr>
        <w:keepNext/>
        <w:spacing w:before="80" w:after="40"/>
      </w:pPr>
      <w:r>
        <w:rPr>
          <w:rFonts w:ascii="Arial" w:hAnsi="Arial" w:eastAsia="Arial"/>
          <w:b/>
          <w:i w:val="0"/>
          <w:color w:val="1F2937"/>
          <w:sz w:val="20"/>
        </w:rPr>
        <w:t>4. A client with low vision cannot read the clinic’s standard written safety plan. What should the counselor do?</w:t>
      </w:r>
    </w:p>
    <w:p>
      <w:pPr>
        <w:spacing w:after="16"/>
        <w:ind w:left="259" w:hanging="259"/>
      </w:pPr>
      <w:r>
        <w:rPr>
          <w:rFonts w:ascii="Arial" w:hAnsi="Arial" w:eastAsia="Arial"/>
          <w:b w:val="0"/>
          <w:i w:val="0"/>
          <w:color w:val="1F2937"/>
          <w:sz w:val="19"/>
        </w:rPr>
        <w:t>A. Ask a family member to read it later without discussing confidentiality.</w:t>
      </w:r>
    </w:p>
    <w:p>
      <w:pPr>
        <w:spacing w:after="16"/>
        <w:ind w:left="259" w:hanging="259"/>
      </w:pPr>
      <w:r>
        <w:rPr>
          <w:rFonts w:ascii="Arial" w:hAnsi="Arial" w:eastAsia="Arial"/>
          <w:b w:val="0"/>
          <w:i w:val="0"/>
          <w:color w:val="1F2937"/>
          <w:sz w:val="19"/>
        </w:rPr>
        <w:t>B. Document that the client declined the safety plan.</w:t>
      </w:r>
    </w:p>
    <w:p>
      <w:pPr>
        <w:spacing w:after="16"/>
        <w:ind w:left="259" w:hanging="259"/>
      </w:pPr>
      <w:r>
        <w:rPr>
          <w:rFonts w:ascii="Arial" w:hAnsi="Arial" w:eastAsia="Arial"/>
          <w:b w:val="0"/>
          <w:i w:val="0"/>
          <w:color w:val="1F2937"/>
          <w:sz w:val="19"/>
        </w:rPr>
        <w:t>C. Assume the client cannot participate independently in safety planning.</w:t>
      </w:r>
    </w:p>
    <w:p>
      <w:pPr>
        <w:spacing w:after="16"/>
        <w:ind w:left="259" w:hanging="259"/>
      </w:pPr>
      <w:r>
        <w:rPr>
          <w:rFonts w:ascii="Arial" w:hAnsi="Arial" w:eastAsia="Arial"/>
          <w:b w:val="0"/>
          <w:i w:val="0"/>
          <w:color w:val="1F2937"/>
          <w:sz w:val="19"/>
        </w:rPr>
        <w:t>D. Collaborate on an accessible format and verify that the client can use and understand the plan.</w:t>
      </w:r>
    </w:p>
    <w:p>
      <w:pPr>
        <w:spacing w:after="40"/>
      </w:pPr>
      <w:r>
        <w:rPr>
          <w:rFonts w:ascii="Arial" w:hAnsi="Arial" w:eastAsia="Arial"/>
          <w:b w:val="0"/>
          <w:i/>
          <w:color w:val="159C9C"/>
          <w:sz w:val="16"/>
        </w:rPr>
        <w:t>Question ID: LPCC-WB10-Q004    Confidence:  Low / Medium / High</w:t>
      </w:r>
    </w:p>
    <w:p>
      <w:pPr>
        <w:keepNext/>
        <w:spacing w:before="80" w:after="40"/>
      </w:pPr>
      <w:r>
        <w:rPr>
          <w:rFonts w:ascii="Arial" w:hAnsi="Arial" w:eastAsia="Arial"/>
          <w:b/>
          <w:i w:val="0"/>
          <w:color w:val="1F2937"/>
          <w:sz w:val="20"/>
        </w:rPr>
        <w:t>5. A 15-year-old reports bullying related to gender expression, falling grades, and fear of attending school. What is the best initial response?</w:t>
      </w:r>
    </w:p>
    <w:p>
      <w:pPr>
        <w:spacing w:after="16"/>
        <w:ind w:left="259" w:hanging="259"/>
      </w:pPr>
      <w:r>
        <w:rPr>
          <w:rFonts w:ascii="Arial" w:hAnsi="Arial" w:eastAsia="Arial"/>
          <w:b w:val="0"/>
          <w:i w:val="0"/>
          <w:color w:val="1F2937"/>
          <w:sz w:val="19"/>
        </w:rPr>
        <w:t>A. Tell the adolescent to ignore the bullying so it receives less reinforcement.</w:t>
      </w:r>
    </w:p>
    <w:p>
      <w:pPr>
        <w:spacing w:after="16"/>
        <w:ind w:left="259" w:hanging="259"/>
      </w:pPr>
      <w:r>
        <w:rPr>
          <w:rFonts w:ascii="Arial" w:hAnsi="Arial" w:eastAsia="Arial"/>
          <w:b w:val="0"/>
          <w:i w:val="0"/>
          <w:color w:val="1F2937"/>
          <w:sz w:val="19"/>
        </w:rPr>
        <w:t>B. Assess safety, mental health impact, supports, identity-related stress, and school context before collaborating on a plan.</w:t>
      </w:r>
    </w:p>
    <w:p>
      <w:pPr>
        <w:spacing w:after="16"/>
        <w:ind w:left="259" w:hanging="259"/>
      </w:pPr>
      <w:r>
        <w:rPr>
          <w:rFonts w:ascii="Arial" w:hAnsi="Arial" w:eastAsia="Arial"/>
          <w:b w:val="0"/>
          <w:i w:val="0"/>
          <w:color w:val="1F2937"/>
          <w:sz w:val="19"/>
        </w:rPr>
        <w:t>C. Assume the adolescent needs a gender-related diagnosis.</w:t>
      </w:r>
    </w:p>
    <w:p>
      <w:pPr>
        <w:spacing w:after="16"/>
        <w:ind w:left="259" w:hanging="259"/>
      </w:pPr>
      <w:r>
        <w:rPr>
          <w:rFonts w:ascii="Arial" w:hAnsi="Arial" w:eastAsia="Arial"/>
          <w:b w:val="0"/>
          <w:i w:val="0"/>
          <w:color w:val="1F2937"/>
          <w:sz w:val="19"/>
        </w:rPr>
        <w:t>D. Contact the media to advocate for the student.</w:t>
      </w:r>
    </w:p>
    <w:p>
      <w:pPr>
        <w:spacing w:after="40"/>
      </w:pPr>
      <w:r>
        <w:rPr>
          <w:rFonts w:ascii="Arial" w:hAnsi="Arial" w:eastAsia="Arial"/>
          <w:b w:val="0"/>
          <w:i/>
          <w:color w:val="159C9C"/>
          <w:sz w:val="16"/>
        </w:rPr>
        <w:t>Question ID: LPCC-WB10-Q005    Confidence:  Low / Medium / High</w:t>
      </w:r>
    </w:p>
    <w:p>
      <w:pPr>
        <w:keepNext/>
        <w:spacing w:before="80" w:after="40"/>
      </w:pPr>
      <w:r>
        <w:rPr>
          <w:rFonts w:ascii="Arial" w:hAnsi="Arial" w:eastAsia="Arial"/>
          <w:b/>
          <w:i w:val="0"/>
          <w:color w:val="1F2937"/>
          <w:sz w:val="20"/>
        </w:rPr>
        <w:t>6. A client asks whether a career interest inventory can identify the one correct occupation. What is the best response?</w:t>
      </w:r>
    </w:p>
    <w:p>
      <w:pPr>
        <w:spacing w:after="16"/>
        <w:ind w:left="259" w:hanging="259"/>
      </w:pPr>
      <w:r>
        <w:rPr>
          <w:rFonts w:ascii="Arial" w:hAnsi="Arial" w:eastAsia="Arial"/>
          <w:b w:val="0"/>
          <w:i w:val="0"/>
          <w:color w:val="1F2937"/>
          <w:sz w:val="19"/>
        </w:rPr>
        <w:t>A. Yes; valid interest inventories should determine the final career choice.</w:t>
      </w:r>
    </w:p>
    <w:p>
      <w:pPr>
        <w:spacing w:after="16"/>
        <w:ind w:left="259" w:hanging="259"/>
      </w:pPr>
      <w:r>
        <w:rPr>
          <w:rFonts w:ascii="Arial" w:hAnsi="Arial" w:eastAsia="Arial"/>
          <w:b w:val="0"/>
          <w:i w:val="0"/>
          <w:color w:val="1F2937"/>
          <w:sz w:val="19"/>
        </w:rPr>
        <w:t>B. No; career assessment is never useful in clinical counseling.</w:t>
      </w:r>
    </w:p>
    <w:p>
      <w:pPr>
        <w:spacing w:after="16"/>
        <w:ind w:left="259" w:hanging="259"/>
      </w:pPr>
      <w:r>
        <w:rPr>
          <w:rFonts w:ascii="Arial" w:hAnsi="Arial" w:eastAsia="Arial"/>
          <w:b w:val="0"/>
          <w:i w:val="0"/>
          <w:color w:val="1F2937"/>
          <w:sz w:val="19"/>
        </w:rPr>
        <w:t>C. Explain that results are one source of information to integrate with values, skills, health, context, opportunity, and client experience.</w:t>
      </w:r>
    </w:p>
    <w:p>
      <w:pPr>
        <w:spacing w:after="16"/>
        <w:ind w:left="259" w:hanging="259"/>
      </w:pPr>
      <w:r>
        <w:rPr>
          <w:rFonts w:ascii="Arial" w:hAnsi="Arial" w:eastAsia="Arial"/>
          <w:b w:val="0"/>
          <w:i w:val="0"/>
          <w:color w:val="1F2937"/>
          <w:sz w:val="19"/>
        </w:rPr>
        <w:t>D. Select a career for the client based on the counselor’s knowledge of the labor market.</w:t>
      </w:r>
    </w:p>
    <w:p>
      <w:pPr>
        <w:spacing w:after="40"/>
      </w:pPr>
      <w:r>
        <w:rPr>
          <w:rFonts w:ascii="Arial" w:hAnsi="Arial" w:eastAsia="Arial"/>
          <w:b w:val="0"/>
          <w:i/>
          <w:color w:val="159C9C"/>
          <w:sz w:val="16"/>
        </w:rPr>
        <w:t>Question ID: LPCC-WB10-Q006    Confidence:  Low / Medium / High</w:t>
      </w:r>
    </w:p>
    <w:p>
      <w:pPr>
        <w:keepNext/>
        <w:spacing w:before="80" w:after="40"/>
      </w:pPr>
      <w:r>
        <w:rPr>
          <w:rFonts w:ascii="Arial" w:hAnsi="Arial" w:eastAsia="Arial"/>
          <w:b/>
          <w:i w:val="0"/>
          <w:color w:val="1F2937"/>
          <w:sz w:val="20"/>
        </w:rPr>
        <w:t>7. A client asks to include a brief prayer in sessions. The counselor does not share the client’s religious beliefs. What should the counselor do first?</w:t>
      </w:r>
    </w:p>
    <w:p>
      <w:pPr>
        <w:spacing w:after="16"/>
        <w:ind w:left="259" w:hanging="259"/>
      </w:pPr>
      <w:r>
        <w:rPr>
          <w:rFonts w:ascii="Arial" w:hAnsi="Arial" w:eastAsia="Arial"/>
          <w:b w:val="0"/>
          <w:i w:val="0"/>
          <w:color w:val="1F2937"/>
          <w:sz w:val="19"/>
        </w:rPr>
        <w:t>A. Explore the meaning of the request, the client’s goals, consent, and clinically appropriate ways to respond within competence and boundaries.</w:t>
      </w:r>
    </w:p>
    <w:p>
      <w:pPr>
        <w:spacing w:after="16"/>
        <w:ind w:left="259" w:hanging="259"/>
      </w:pPr>
      <w:r>
        <w:rPr>
          <w:rFonts w:ascii="Arial" w:hAnsi="Arial" w:eastAsia="Arial"/>
          <w:b w:val="0"/>
          <w:i w:val="0"/>
          <w:color w:val="1F2937"/>
          <w:sz w:val="19"/>
        </w:rPr>
        <w:t>B. Agree to lead the prayer exactly as requested to avoid offending the client.</w:t>
      </w:r>
    </w:p>
    <w:p>
      <w:pPr>
        <w:spacing w:after="16"/>
        <w:ind w:left="259" w:hanging="259"/>
      </w:pPr>
      <w:r>
        <w:rPr>
          <w:rFonts w:ascii="Arial" w:hAnsi="Arial" w:eastAsia="Arial"/>
          <w:b w:val="0"/>
          <w:i w:val="0"/>
          <w:color w:val="1F2937"/>
          <w:sz w:val="19"/>
        </w:rPr>
        <w:t>C. Refuse because spirituality is never part of mental health counseling.</w:t>
      </w:r>
    </w:p>
    <w:p>
      <w:pPr>
        <w:spacing w:after="16"/>
        <w:ind w:left="259" w:hanging="259"/>
      </w:pPr>
      <w:r>
        <w:rPr>
          <w:rFonts w:ascii="Arial" w:hAnsi="Arial" w:eastAsia="Arial"/>
          <w:b w:val="0"/>
          <w:i w:val="0"/>
          <w:color w:val="1F2937"/>
          <w:sz w:val="19"/>
        </w:rPr>
        <w:t>D. Use the request as evidence that the client is avoiding psychological treatment.</w:t>
      </w:r>
    </w:p>
    <w:p>
      <w:pPr>
        <w:spacing w:after="40"/>
      </w:pPr>
      <w:r>
        <w:rPr>
          <w:rFonts w:ascii="Arial" w:hAnsi="Arial" w:eastAsia="Arial"/>
          <w:b w:val="0"/>
          <w:i/>
          <w:color w:val="159C9C"/>
          <w:sz w:val="16"/>
        </w:rPr>
        <w:t>Question ID: LPCC-WB10-Q007    Confidence:  Low / Medium / High</w:t>
      </w:r>
    </w:p>
    <w:p>
      <w:pPr>
        <w:keepNext/>
        <w:spacing w:before="80" w:after="40"/>
      </w:pPr>
      <w:r>
        <w:rPr>
          <w:rFonts w:ascii="Arial" w:hAnsi="Arial" w:eastAsia="Arial"/>
          <w:b/>
          <w:i w:val="0"/>
          <w:color w:val="1F2937"/>
          <w:sz w:val="20"/>
        </w:rPr>
        <w:t>8. An older adult reports intense grief three months after a spouse’s death. Which response is best?</w:t>
      </w:r>
    </w:p>
    <w:p>
      <w:pPr>
        <w:spacing w:after="16"/>
        <w:ind w:left="259" w:hanging="259"/>
      </w:pPr>
      <w:r>
        <w:rPr>
          <w:rFonts w:ascii="Arial" w:hAnsi="Arial" w:eastAsia="Arial"/>
          <w:b w:val="0"/>
          <w:i w:val="0"/>
          <w:color w:val="1F2937"/>
          <w:sz w:val="19"/>
        </w:rPr>
        <w:t>A. Diagnose a depressive disorder because grief should be resolved within two months.</w:t>
      </w:r>
    </w:p>
    <w:p>
      <w:pPr>
        <w:spacing w:after="16"/>
        <w:ind w:left="259" w:hanging="259"/>
      </w:pPr>
      <w:r>
        <w:rPr>
          <w:rFonts w:ascii="Arial" w:hAnsi="Arial" w:eastAsia="Arial"/>
          <w:b w:val="0"/>
          <w:i w:val="0"/>
          <w:color w:val="1F2937"/>
          <w:sz w:val="19"/>
        </w:rPr>
        <w:t>B. Avoid asking about suicide because grief is expected.</w:t>
      </w:r>
    </w:p>
    <w:p>
      <w:pPr>
        <w:spacing w:after="16"/>
        <w:ind w:left="259" w:hanging="259"/>
      </w:pPr>
      <w:r>
        <w:rPr>
          <w:rFonts w:ascii="Arial" w:hAnsi="Arial" w:eastAsia="Arial"/>
          <w:b w:val="0"/>
          <w:i w:val="0"/>
          <w:color w:val="1F2937"/>
          <w:sz w:val="19"/>
        </w:rPr>
        <w:t>C. Recommend immediate termination so the client can grieve naturally.</w:t>
      </w:r>
    </w:p>
    <w:p>
      <w:pPr>
        <w:spacing w:after="16"/>
        <w:ind w:left="259" w:hanging="259"/>
      </w:pPr>
      <w:r>
        <w:rPr>
          <w:rFonts w:ascii="Arial" w:hAnsi="Arial" w:eastAsia="Arial"/>
          <w:b w:val="0"/>
          <w:i w:val="0"/>
          <w:color w:val="1F2937"/>
          <w:sz w:val="19"/>
        </w:rPr>
        <w:t>D. Assess grief, culture, rituals, depression, trauma, safety, functioning, support, and the client’s desired help without assuming disorder.</w:t>
      </w:r>
    </w:p>
    <w:p>
      <w:pPr>
        <w:spacing w:after="40"/>
      </w:pPr>
      <w:r>
        <w:rPr>
          <w:rFonts w:ascii="Arial" w:hAnsi="Arial" w:eastAsia="Arial"/>
          <w:b w:val="0"/>
          <w:i/>
          <w:color w:val="159C9C"/>
          <w:sz w:val="16"/>
        </w:rPr>
        <w:t>Question ID: LPCC-WB10-Q008    Confidence:  Low / Medium / High</w:t>
      </w:r>
    </w:p>
    <w:p>
      <w:pPr>
        <w:keepNext/>
        <w:spacing w:before="80" w:after="40"/>
      </w:pPr>
      <w:r>
        <w:rPr>
          <w:rFonts w:ascii="Arial" w:hAnsi="Arial" w:eastAsia="Arial"/>
          <w:b/>
          <w:i w:val="0"/>
          <w:color w:val="1F2937"/>
          <w:sz w:val="20"/>
        </w:rPr>
        <w:t>9. An evidence-supported intervention is difficult for a client because examples, written materials, and scheduling do not fit the client’s language, literacy, and work conditions. What is the best response?</w:t>
      </w:r>
    </w:p>
    <w:p>
      <w:pPr>
        <w:spacing w:after="16"/>
        <w:ind w:left="259" w:hanging="259"/>
      </w:pPr>
      <w:r>
        <w:rPr>
          <w:rFonts w:ascii="Arial" w:hAnsi="Arial" w:eastAsia="Arial"/>
          <w:b w:val="0"/>
          <w:i w:val="0"/>
          <w:color w:val="1F2937"/>
          <w:sz w:val="19"/>
        </w:rPr>
        <w:t>A. Deliver the protocol unchanged because adaptation eliminates evidence support.</w:t>
      </w:r>
    </w:p>
    <w:p>
      <w:pPr>
        <w:spacing w:after="16"/>
        <w:ind w:left="259" w:hanging="259"/>
      </w:pPr>
      <w:r>
        <w:rPr>
          <w:rFonts w:ascii="Arial" w:hAnsi="Arial" w:eastAsia="Arial"/>
          <w:b w:val="0"/>
          <w:i w:val="0"/>
          <w:color w:val="1F2937"/>
          <w:sz w:val="19"/>
        </w:rPr>
        <w:t>B. Collaboratively adapt delivery while preserving the intervention’s purpose and monitor benefit, burden, and outcomes.</w:t>
      </w:r>
    </w:p>
    <w:p>
      <w:pPr>
        <w:spacing w:after="16"/>
        <w:ind w:left="259" w:hanging="259"/>
      </w:pPr>
      <w:r>
        <w:rPr>
          <w:rFonts w:ascii="Arial" w:hAnsi="Arial" w:eastAsia="Arial"/>
          <w:b w:val="0"/>
          <w:i w:val="0"/>
          <w:color w:val="1F2937"/>
          <w:sz w:val="19"/>
        </w:rPr>
        <w:t>C. Replace the intervention with unstructured support without documenting the change.</w:t>
      </w:r>
    </w:p>
    <w:p>
      <w:pPr>
        <w:spacing w:after="16"/>
        <w:ind w:left="259" w:hanging="259"/>
      </w:pPr>
      <w:r>
        <w:rPr>
          <w:rFonts w:ascii="Arial" w:hAnsi="Arial" w:eastAsia="Arial"/>
          <w:b w:val="0"/>
          <w:i w:val="0"/>
          <w:color w:val="1F2937"/>
          <w:sz w:val="19"/>
        </w:rPr>
        <w:t>D. Conclude that the client is not ready for treatment.</w:t>
      </w:r>
    </w:p>
    <w:p>
      <w:pPr>
        <w:spacing w:after="40"/>
      </w:pPr>
      <w:r>
        <w:rPr>
          <w:rFonts w:ascii="Arial" w:hAnsi="Arial" w:eastAsia="Arial"/>
          <w:b w:val="0"/>
          <w:i/>
          <w:color w:val="159C9C"/>
          <w:sz w:val="16"/>
        </w:rPr>
        <w:t>Question ID: LPCC-WB10-Q009    Confidence:  Low / Medium / High</w:t>
      </w:r>
    </w:p>
    <w:p>
      <w:pPr>
        <w:keepNext/>
        <w:spacing w:before="80" w:after="40"/>
      </w:pPr>
      <w:r>
        <w:rPr>
          <w:rFonts w:ascii="Arial" w:hAnsi="Arial" w:eastAsia="Arial"/>
          <w:b/>
          <w:i w:val="0"/>
          <w:color w:val="1F2937"/>
          <w:sz w:val="20"/>
        </w:rPr>
        <w:t>10. A client repeatedly misses care because a disability transportation service is unreliable. Symptoms are also worsening. What should the counselor do?</w:t>
      </w:r>
    </w:p>
    <w:p>
      <w:pPr>
        <w:spacing w:after="16"/>
        <w:ind w:left="259" w:hanging="259"/>
      </w:pPr>
      <w:r>
        <w:rPr>
          <w:rFonts w:ascii="Arial" w:hAnsi="Arial" w:eastAsia="Arial"/>
          <w:b w:val="0"/>
          <w:i w:val="0"/>
          <w:color w:val="1F2937"/>
          <w:sz w:val="19"/>
        </w:rPr>
        <w:t>A. Focus only on symptoms because transportation is not a clinical issue.</w:t>
      </w:r>
    </w:p>
    <w:p>
      <w:pPr>
        <w:spacing w:after="16"/>
        <w:ind w:left="259" w:hanging="259"/>
      </w:pPr>
      <w:r>
        <w:rPr>
          <w:rFonts w:ascii="Arial" w:hAnsi="Arial" w:eastAsia="Arial"/>
          <w:b w:val="0"/>
          <w:i w:val="0"/>
          <w:color w:val="1F2937"/>
          <w:sz w:val="19"/>
        </w:rPr>
        <w:t>B. Discharge the client for nonattendance without further assessment.</w:t>
      </w:r>
    </w:p>
    <w:p>
      <w:pPr>
        <w:spacing w:after="16"/>
        <w:ind w:left="259" w:hanging="259"/>
      </w:pPr>
      <w:r>
        <w:rPr>
          <w:rFonts w:ascii="Arial" w:hAnsi="Arial" w:eastAsia="Arial"/>
          <w:b w:val="0"/>
          <w:i w:val="0"/>
          <w:color w:val="1F2937"/>
          <w:sz w:val="19"/>
        </w:rPr>
        <w:t>C. Address current clinical risk and, with consent, modify access and connect or advocate through appropriate resources and program channels.</w:t>
      </w:r>
    </w:p>
    <w:p>
      <w:pPr>
        <w:spacing w:after="16"/>
        <w:ind w:left="259" w:hanging="259"/>
      </w:pPr>
      <w:r>
        <w:rPr>
          <w:rFonts w:ascii="Arial" w:hAnsi="Arial" w:eastAsia="Arial"/>
          <w:b w:val="0"/>
          <w:i w:val="0"/>
          <w:color w:val="1F2937"/>
          <w:sz w:val="19"/>
        </w:rPr>
        <w:t>D. Promise personally to transport the client to every appointment.</w:t>
      </w:r>
    </w:p>
    <w:p>
      <w:pPr>
        <w:spacing w:after="40"/>
      </w:pPr>
      <w:r>
        <w:rPr>
          <w:rFonts w:ascii="Arial" w:hAnsi="Arial" w:eastAsia="Arial"/>
          <w:b w:val="0"/>
          <w:i/>
          <w:color w:val="159C9C"/>
          <w:sz w:val="16"/>
        </w:rPr>
        <w:t>Question ID: LPCC-WB10-Q010    Confidence:  Low / Medium / High</w:t>
      </w:r>
    </w:p>
    <w:p>
      <w:r>
        <w:br w:type="page"/>
      </w:r>
    </w:p>
    <w:p>
      <w:pPr>
        <w:pStyle w:val="Heading1"/>
        <w:keepNext/>
      </w:pPr>
      <w:r>
        <w:t>Knowledge Check Answers and Rationales</w:t>
      </w:r>
    </w:p>
    <w:p>
      <w:pPr>
        <w:keepLines w:val="0"/>
      </w:pPr>
      <w:r>
        <w:rPr>
          <w:rFonts w:ascii="Arial" w:hAnsi="Arial" w:eastAsia="Arial"/>
          <w:b w:val="0"/>
          <w:i w:val="0"/>
          <w:color w:val="1F2937"/>
          <w:sz w:val="20"/>
        </w:rPr>
        <w:t>Review every option, including questions you answered correctly. The goal is to identify the rule that makes one answer better than the other plausible choices.</w:t>
      </w: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1. Correct Answer: B</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This imposes an individualistic developmental norm and ignores the client’s values and legal autonomy.</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Correct. The counselor acknowledges the assumption, invites the client’s model of decision making, and restores collaboration.</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Family values can directly affect goals, consent, support, conflict, and treatment participation.</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Collective preference does not automatically transfer the client’s decision-making authority to the family.</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When the client corrects the counselor’s cultural assumption, choose acknowledgment, curiosity, and collaborative revision - not defense or a new opposite assumption.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ASSUMPTION / REPAIR</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2. Correct Answer: C</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Coping skills may help, but ignoring discrimination misses clinically relevant context and can damage alliance.</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A complaint may become one option, but immediate directive advocacy outruns assessment, consent, safety, and client goals.</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Correct. This response broaches context, assesses impact and risk, and preserves client choice in clinical and practical planning.</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Treating discrimination as distortion invalidates the client and mistakes lack of counselor evidence for evidence that the event did not occur.</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Select the answer that validates clinically relevant context, gathers evidence, and preserves the client’s agency before choosing an advocacy action.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CONTEXT / PREMATURE ACTION</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3. Correct Answer: A</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Correct. Complex consent and trauma communication require accurate, impartial, confidential language access matched to the client’s preference.</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Family members may have conflicts, omit information, or alter the client’s willingness to disclose; routine reliance is not automatically culturally responsive.</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Conversational ability does not prove sufficient comprehension or expression for complex clinical material.</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Language access is intended to facilitate timely participation, not delay care until fluency.</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Ask what language is best for the specific task and choose qualified support for complex communication.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ACCESS / INTERPRETER</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4. Correct Answer: D</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A family member is not the default solution and may create confidentiality or accuracy problems.</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The barrier is an inaccessible format, not a refusal of safety planning.</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Low vision does not establish incapacity.</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Correct. The counselor provides an effective alternative and confirms that the plan can be understood and used.</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When the standard method is inaccessible, modify the method and verify effective participation.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DISABILITY / ACCESS</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5. Correct Answer: B</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Ignoring bullying can increase danger and does not assess the adolescent’s symptoms, school avoidance, or supports.</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Correct. Safety, mental health, identity-related stress, supports, and school context must be assessed before selecting clinical or systems action.</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Gender expression is not itself a disorder, and diagnosis requires evidence beyond identity-related stress.</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Public advocacy without consent, role clarity, or a clinical plan is premature and may increase risk.</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For youth facing identity-related bullying, start with safety, impact, supports, and context - then collaborate on the least harmful effective plan.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SAFETY / IDENTITY / SEQUENCING</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6. Correct Answer: C</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An inventory cannot determine a single correct occupation and should not replace counseling judgment or client agency.</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Career assessments can be useful when accessible, appropriate, interpreted carefully, and integrated with other evidence.</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Correct. Career decisions combine assessment data with values, skills, health, context, opportunity, and lived experience.</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The counselor provides information and process, not a prescribed career choice.</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Career assessment informs; it does not command. Choose integration and collaborative experimentation.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ASSESSMENT LIMIT / CAREER</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7. Correct Answer: A</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Correct. The counselor first clarifies meaning, purpose, consent, competence, and boundaries before selecting a client-led or referral option.</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Automatic agreement can exceed competence, blur roles, or place the counselor’s performance above clinical purpose.</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Spirituality may be clinically relevant when the client wants it included.</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The request is not evidence of avoidance without assessment.</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Follow the client’s meaning without imposing, rejecting, or performing beyond competence.</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VALUES / SPIRITUALITY</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8. Correct Answer: D</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Grief has substantial individual and cultural variation; duration alone does not establish a depressive disorder.</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Expected grief does not remove the need for safety assessment.</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Termination without assessing goals and needs abandons clinical responsibility.</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Correct. This response assesses risk and impairment while respecting cultural variation and the client’s desired support.</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Do not choose between normalization and assessment. Normalize variation while still evaluating safety, function, and differential concerns.</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GRIEF / OVERPATHOLOGIZING</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9. Correct Answer: B</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Fidelity does not require ignoring access, language, literacy, or feasibility.</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Correct. Adaptation should preserve the active clinical purpose and be monitored for benefit and burden.</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Incorrect. Unplanned replacement removes the opportunity to learn whether a purposeful adaptation works.</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A poor delivery fit is not proof that the client lacks readiness.</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Adapt the route, preserve the mechanism, and measure the result.</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ADAPTATION / FIT</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6" w:color="17365D"/>
              <w:left w:val="single" w:sz="6" w:color="17365D"/>
              <w:bottom w:val="single" w:sz="6" w:color="17365D"/>
              <w:right w:val="single" w:sz="6" w:color="17365D"/>
            </w:tcBorders>
          </w:tcPr>
          <w:p>
            <w:pPr>
              <w:keepLines/>
            </w:pPr>
            <w:r>
              <w:rPr>
                <w:rFonts w:ascii="Arial" w:hAnsi="Arial" w:eastAsia="Arial"/>
                <w:b/>
                <w:i w:val="0"/>
                <w:color w:val="17365D"/>
                <w:sz w:val="20"/>
              </w:rPr>
              <w:t>10. Correct Answer: C</w:t>
            </w:r>
          </w:p>
          <w:p>
            <w:pPr>
              <w:keepLines/>
              <w:spacing w:after="20"/>
            </w:pPr>
            <w:r>
              <w:rPr>
                <w:rFonts w:ascii="Arial" w:hAnsi="Arial" w:eastAsia="Arial"/>
                <w:b/>
                <w:i w:val="0"/>
                <w:color w:val="1F2937"/>
                <w:sz w:val="18"/>
              </w:rPr>
              <w:t xml:space="preserve">A. </w:t>
            </w:r>
            <w:r>
              <w:rPr>
                <w:rFonts w:ascii="Arial" w:hAnsi="Arial" w:eastAsia="Arial"/>
                <w:b w:val="0"/>
                <w:i w:val="0"/>
                <w:color w:val="1F2937"/>
                <w:sz w:val="18"/>
              </w:rPr>
              <w:t>Incorrect. Access barriers affect continuity, risk, and treatment effectiveness and therefore are clinically relevant.</w:t>
            </w:r>
          </w:p>
          <w:p>
            <w:pPr>
              <w:keepLines/>
              <w:spacing w:after="20"/>
            </w:pPr>
            <w:r>
              <w:rPr>
                <w:rFonts w:ascii="Arial" w:hAnsi="Arial" w:eastAsia="Arial"/>
                <w:b/>
                <w:i w:val="0"/>
                <w:color w:val="1F2937"/>
                <w:sz w:val="18"/>
              </w:rPr>
              <w:t xml:space="preserve">B. </w:t>
            </w:r>
            <w:r>
              <w:rPr>
                <w:rFonts w:ascii="Arial" w:hAnsi="Arial" w:eastAsia="Arial"/>
                <w:b w:val="0"/>
                <w:i w:val="0"/>
                <w:color w:val="1F2937"/>
                <w:sz w:val="18"/>
              </w:rPr>
              <w:t>Incorrect. Discharge without assessing worsening symptoms and accessibility may be unsafe and discriminatory.</w:t>
            </w:r>
          </w:p>
          <w:p>
            <w:pPr>
              <w:keepLines/>
              <w:spacing w:after="20"/>
            </w:pPr>
            <w:r>
              <w:rPr>
                <w:rFonts w:ascii="Arial" w:hAnsi="Arial" w:eastAsia="Arial"/>
                <w:b/>
                <w:i w:val="0"/>
                <w:color w:val="1F2937"/>
                <w:sz w:val="18"/>
              </w:rPr>
              <w:t xml:space="preserve">C. </w:t>
            </w:r>
            <w:r>
              <w:rPr>
                <w:rFonts w:ascii="Arial" w:hAnsi="Arial" w:eastAsia="Arial"/>
                <w:b w:val="0"/>
                <w:i w:val="0"/>
                <w:color w:val="1F2937"/>
                <w:sz w:val="18"/>
              </w:rPr>
              <w:t>Correct. The counselor addresses current clinical needs and the barrier through collaborative modification, resources, and appropriate advocacy.</w:t>
            </w:r>
          </w:p>
          <w:p>
            <w:pPr>
              <w:keepLines/>
              <w:spacing w:after="20"/>
            </w:pPr>
            <w:r>
              <w:rPr>
                <w:rFonts w:ascii="Arial" w:hAnsi="Arial" w:eastAsia="Arial"/>
                <w:b/>
                <w:i w:val="0"/>
                <w:color w:val="1F2937"/>
                <w:sz w:val="18"/>
              </w:rPr>
              <w:t xml:space="preserve">D. </w:t>
            </w:r>
            <w:r>
              <w:rPr>
                <w:rFonts w:ascii="Arial" w:hAnsi="Arial" w:eastAsia="Arial"/>
                <w:b w:val="0"/>
                <w:i w:val="0"/>
                <w:color w:val="1F2937"/>
                <w:sz w:val="18"/>
              </w:rPr>
              <w:t>Incorrect. Personal transportation creates boundary, liability, and feasibility problems and is not a sustainable systems response.</w:t>
            </w:r>
          </w:p>
          <w:p>
            <w:pPr>
              <w:keepLines/>
              <w:spacing w:after="20"/>
            </w:pPr>
            <w:r>
              <w:rPr>
                <w:rFonts w:ascii="Arial" w:hAnsi="Arial" w:eastAsia="Arial"/>
                <w:b/>
                <w:i w:val="0"/>
                <w:color w:val="159C9C"/>
                <w:sz w:val="18"/>
              </w:rPr>
              <w:t xml:space="preserve">CTA Exam Strategy: </w:t>
            </w:r>
            <w:r>
              <w:rPr>
                <w:rFonts w:ascii="Arial" w:hAnsi="Arial" w:eastAsia="Arial"/>
                <w:b w:val="0"/>
                <w:i w:val="0"/>
                <w:color w:val="1F2937"/>
                <w:sz w:val="18"/>
              </w:rPr>
              <w:t>Address the clinical problem and the barrier together; use consent-based, role-appropriate, sustainable action.</w:t>
            </w:r>
          </w:p>
          <w:p>
            <w:pPr>
              <w:keepLines/>
              <w:spacing w:after="0"/>
            </w:pPr>
            <w:r>
              <w:rPr>
                <w:rFonts w:ascii="Arial" w:hAnsi="Arial" w:eastAsia="Arial"/>
                <w:b/>
                <w:i w:val="0"/>
                <w:color w:val="159C9C"/>
                <w:sz w:val="17"/>
              </w:rPr>
              <w:t xml:space="preserve">Likely Error Code: </w:t>
            </w:r>
            <w:r>
              <w:rPr>
                <w:rFonts w:ascii="Arial" w:hAnsi="Arial" w:eastAsia="Arial"/>
                <w:b w:val="0"/>
                <w:i w:val="0"/>
                <w:color w:val="1F2937"/>
                <w:sz w:val="17"/>
              </w:rPr>
              <w:t>ACCESS / ADVOCACY / BOUNDARY</w:t>
            </w:r>
          </w:p>
        </w:tc>
      </w:tr>
    </w:tbl>
    <w:p>
      <w:pPr>
        <w:spacing w:after="0"/>
      </w:pPr>
    </w:p>
    <w:p>
      <w:pPr>
        <w:pStyle w:val="Heading2"/>
        <w:keepNext/>
      </w:pPr>
      <w:r>
        <w:t>Remediation Log</w:t>
      </w:r>
    </w:p>
    <w:tbl>
      <w:tblPr>
        <w:tblW w:type="auto" w:w="0"/>
        <w:jc w:val="center"/>
        <w:tblLayout w:type="fixed"/>
        <w:tblLook w:firstColumn="1" w:firstRow="1" w:lastColumn="0" w:lastRow="0" w:noHBand="0" w:noVBand="1" w:val="04A0"/>
      </w:tblPr>
      <w:tblGrid>
        <w:gridCol w:w="1080"/>
        <w:gridCol w:w="1584"/>
        <w:gridCol w:w="1440"/>
        <w:gridCol w:w="1944"/>
        <w:gridCol w:w="3384"/>
        <w:gridCol w:w="1440"/>
      </w:tblGrid>
      <w:tr>
        <w:trPr>
          <w:tblHeader w:val="true"/>
          <w:cantSplit/>
        </w:trPr>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Question</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Selected answer</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Correct answer</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Error code</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Rule to remember</w:t>
            </w:r>
          </w:p>
        </w:tc>
        <w:tc>
          <w:tcPr>
            <w:tcW w:type="dxa" w:w="1714"/>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5"/>
              </w:rPr>
              <w:t>Next practice</w:t>
            </w:r>
          </w:p>
        </w:tc>
      </w:tr>
      <w:tr>
        <w:trPr>
          <w:cantSplit/>
        </w:trPr>
        <w:tc>
          <w:tcPr>
            <w:tcW w:type="dxa" w:w="10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0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0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0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0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r>
        <w:trPr>
          <w:cantSplit/>
        </w:trPr>
        <w:tc>
          <w:tcPr>
            <w:tcW w:type="dxa" w:w="10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5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94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3384"/>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c>
          <w:tcPr>
            <w:tcW w:type="dxa" w:w="144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5"/>
              </w:rPr>
            </w:r>
          </w:p>
        </w:tc>
      </w:tr>
    </w:tbl>
    <w:p>
      <w:pPr>
        <w:spacing w:after="0"/>
      </w:pPr>
    </w:p>
    <w:p>
      <w:pPr>
        <w:pStyle w:val="Heading2"/>
        <w:keepNext/>
      </w:pPr>
      <w:r>
        <w:t>Workbook 10 Readiness Check</w:t>
      </w:r>
    </w:p>
    <w:tbl>
      <w:tblPr>
        <w:tblW w:type="auto" w:w="0"/>
        <w:jc w:val="center"/>
        <w:tblLayout w:type="fixed"/>
        <w:tblLook w:firstColumn="1" w:firstRow="1" w:lastColumn="0" w:lastRow="0" w:noHBand="0" w:noVBand="1" w:val="04A0"/>
      </w:tblPr>
      <w:tblGrid>
        <w:gridCol w:w="5616"/>
        <w:gridCol w:w="1008"/>
        <w:gridCol w:w="1296"/>
        <w:gridCol w:w="2880"/>
      </w:tblGrid>
      <w:tr>
        <w:trPr>
          <w:tblHeader w:val="true"/>
          <w:cantSplit/>
        </w:trPr>
        <w:tc>
          <w:tcPr>
            <w:tcW w:type="dxa" w:w="2570"/>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Skill</w:t>
            </w:r>
          </w:p>
        </w:tc>
        <w:tc>
          <w:tcPr>
            <w:tcW w:type="dxa" w:w="2570"/>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Ready</w:t>
            </w:r>
          </w:p>
        </w:tc>
        <w:tc>
          <w:tcPr>
            <w:tcW w:type="dxa" w:w="2570"/>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Needs Review</w:t>
            </w:r>
          </w:p>
        </w:tc>
        <w:tc>
          <w:tcPr>
            <w:tcW w:type="dxa" w:w="2570"/>
            <w:shd w:fill="17365D"/>
            <w:tcMar>
              <w:top w:w="70" w:type="dxa"/>
              <w:start w:w="80" w:type="dxa"/>
              <w:bottom w:w="70" w:type="dxa"/>
              <w:end w:w="80" w:type="dxa"/>
            </w:tcMar>
            <w:tcBorders>
              <w:top w:val="single" w:sz="3" w:color="D1D5DB"/>
              <w:left w:val="single" w:sz="3" w:color="D1D5DB"/>
              <w:bottom w:val="single" w:sz="3" w:color="D1D5DB"/>
              <w:right w:val="single" w:sz="3" w:color="D1D5DB"/>
            </w:tcBorders>
          </w:tcPr>
          <w:p>
            <w:pPr>
              <w:keepLines/>
              <w:spacing w:after="0"/>
              <w:jc w:val="center"/>
            </w:pPr>
            <w:r/>
            <w:r>
              <w:rPr>
                <w:rFonts w:ascii="Arial" w:hAnsi="Arial" w:eastAsia="Arial"/>
                <w:b/>
                <w:i w:val="0"/>
                <w:color w:val="FFFFFF"/>
                <w:sz w:val="16"/>
              </w:rPr>
              <w:t>Evidence / Next Step</w:t>
            </w:r>
          </w:p>
        </w:tc>
      </w:tr>
      <w:tr>
        <w:trPr>
          <w:cantSplit/>
        </w:trPr>
        <w:tc>
          <w:tcPr>
            <w:tcW w:type="dxa" w:w="56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broach identity, power, discrimination, and difference without assuming or forcing disclosure.</w:t>
            </w:r>
          </w:p>
        </w:tc>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r>
        <w:trPr>
          <w:cantSplit/>
        </w:trPr>
        <w:tc>
          <w:tcPr>
            <w:tcW w:type="dxa" w:w="56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identify when language assistance or disability accommodation is needed.</w:t>
            </w:r>
          </w:p>
        </w:tc>
        <w:tc>
          <w:tcPr>
            <w:tcW w:type="dxa" w:w="10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r>
        <w:trPr>
          <w:cantSplit/>
        </w:trPr>
        <w:tc>
          <w:tcPr>
            <w:tcW w:type="dxa" w:w="56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integrate lifespan, career, education, and transition into formulation.</w:t>
            </w:r>
          </w:p>
        </w:tc>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r>
        <w:trPr>
          <w:cantSplit/>
        </w:trPr>
        <w:tc>
          <w:tcPr>
            <w:tcW w:type="dxa" w:w="56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explore spirituality, grief, illness, caregiving, and aging without imposing or pathologizing.</w:t>
            </w:r>
          </w:p>
        </w:tc>
        <w:tc>
          <w:tcPr>
            <w:tcW w:type="dxa" w:w="10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r>
        <w:trPr>
          <w:cantSplit/>
        </w:trPr>
        <w:tc>
          <w:tcPr>
            <w:tcW w:type="dxa" w:w="561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adapt assessment and intervention while preserving purpose and monitoring outcomes.</w:t>
            </w:r>
          </w:p>
        </w:tc>
        <w:tc>
          <w:tcPr>
            <w:tcW w:type="dxa" w:w="1008"/>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FFFFF"/>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r>
        <w:trPr>
          <w:cantSplit/>
        </w:trPr>
        <w:tc>
          <w:tcPr>
            <w:tcW w:type="dxa" w:w="561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I can distinguish client-level, organizational, community, and professional advocacy.</w:t>
            </w:r>
          </w:p>
        </w:tc>
        <w:tc>
          <w:tcPr>
            <w:tcW w:type="dxa" w:w="1008"/>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1296"/>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t>[ ]</w:t>
            </w:r>
          </w:p>
        </w:tc>
        <w:tc>
          <w:tcPr>
            <w:tcW w:type="dxa" w:w="2880"/>
            <w:shd w:fill="F3F4F6"/>
            <w:tcMar>
              <w:top w:w="70" w:type="dxa"/>
              <w:start w:w="80" w:type="dxa"/>
              <w:bottom w:w="70" w:type="dxa"/>
              <w:end w:w="80" w:type="dxa"/>
            </w:tcMar>
            <w:vAlign w:val="top"/>
            <w:tcBorders>
              <w:top w:val="single" w:sz="3" w:color="D1D5DB"/>
              <w:left w:val="single" w:sz="3" w:color="D1D5DB"/>
              <w:bottom w:val="single" w:sz="3" w:color="D1D5DB"/>
              <w:right w:val="single" w:sz="3" w:color="D1D5DB"/>
            </w:tcBorders>
          </w:tcPr>
          <w:p>
            <w:pPr>
              <w:keepLines/>
              <w:spacing w:after="0"/>
            </w:pPr>
            <w:r/>
            <w:r>
              <w:rPr>
                <w:rFonts w:ascii="Arial" w:hAnsi="Arial" w:eastAsia="Arial"/>
                <w:b w:val="0"/>
                <w:i w:val="0"/>
                <w:color w:val="1F2937"/>
                <w:sz w:val="16"/>
              </w:rPr>
            </w:r>
          </w:p>
        </w:tc>
      </w:tr>
    </w:tbl>
    <w:p>
      <w:pPr>
        <w:spacing w:after="0"/>
      </w:pPr>
    </w:p>
    <w:p>
      <w:pPr>
        <w:pStyle w:val="Heading1"/>
        <w:keepNext/>
      </w:pPr>
      <w:r>
        <w:t>Official and Professional Sources</w:t>
      </w:r>
    </w:p>
    <w:p>
      <w:pPr>
        <w:keepLines w:val="0"/>
      </w:pPr>
      <w:r>
        <w:rPr>
          <w:rFonts w:ascii="Arial" w:hAnsi="Arial" w:eastAsia="Arial"/>
          <w:b w:val="0"/>
          <w:i w:val="0"/>
          <w:color w:val="1F2937"/>
          <w:sz w:val="20"/>
        </w:rPr>
        <w:t>Verified July 2026. CTA summarizes these sources for educational use; candidates should review current official materials before testing.</w:t>
      </w:r>
    </w:p>
    <w:p>
      <w:pPr>
        <w:pStyle w:val="ListBullet"/>
        <w:spacing w:after="30"/>
      </w:pPr>
      <w:r>
        <w:rPr>
          <w:rFonts w:ascii="Arial" w:hAnsi="Arial" w:eastAsia="Arial"/>
          <w:b w:val="0"/>
          <w:i w:val="0"/>
          <w:color w:val="1F2937"/>
          <w:sz w:val="20"/>
        </w:rPr>
        <w:t>National Board for Certified Counselors. National Clinical Mental Health Counseling Examination (NCMHCE) Content Outline. Revised October 8, 2025. https://www.nbcc.org/assets/exam/ncmhce_content_outline_2019.pdf</w:t>
      </w:r>
    </w:p>
    <w:p>
      <w:pPr>
        <w:pStyle w:val="ListBullet"/>
        <w:spacing w:after="30"/>
      </w:pPr>
      <w:r>
        <w:rPr>
          <w:rFonts w:ascii="Arial" w:hAnsi="Arial" w:eastAsia="Arial"/>
          <w:b w:val="0"/>
          <w:i w:val="0"/>
          <w:color w:val="1F2937"/>
          <w:sz w:val="20"/>
        </w:rPr>
        <w:t>National Board for Certified Counselors. NCMHCE Examination Specifications effective July 1, 2027. https://www.nbcc.org/assets/exam/NCMHCE_exam_spec_2027.pdf</w:t>
      </w:r>
    </w:p>
    <w:p>
      <w:pPr>
        <w:pStyle w:val="ListBullet"/>
        <w:spacing w:after="30"/>
      </w:pPr>
      <w:r>
        <w:rPr>
          <w:rFonts w:ascii="Arial" w:hAnsi="Arial" w:eastAsia="Arial"/>
          <w:b w:val="0"/>
          <w:i w:val="0"/>
          <w:color w:val="1F2937"/>
          <w:sz w:val="20"/>
        </w:rPr>
        <w:t>California Business and Professions Code section 4999.20, Professional Clinical Counseling Scope of Practice. https://leginfo.legislature.ca.gov/faces/codes_displaySection.xhtml?lawCode=BPC&amp;sectionNum=4999.20.</w:t>
      </w:r>
    </w:p>
    <w:p>
      <w:pPr>
        <w:pStyle w:val="ListBullet"/>
        <w:spacing w:after="30"/>
      </w:pPr>
      <w:r>
        <w:rPr>
          <w:rFonts w:ascii="Arial" w:hAnsi="Arial" w:eastAsia="Arial"/>
          <w:b w:val="0"/>
          <w:i w:val="0"/>
          <w:color w:val="1F2937"/>
          <w:sz w:val="20"/>
        </w:rPr>
        <w:t>U.S. Department of Health and Human Services, Office of Minority Health. National Standards for Culturally and Linguistically Appropriate Services (National CLAS Standards). https://thinkculturalhealth.hhs.gov/clas/standards</w:t>
      </w:r>
    </w:p>
    <w:p>
      <w:pPr>
        <w:pStyle w:val="ListBullet"/>
        <w:spacing w:after="30"/>
      </w:pPr>
      <w:r>
        <w:rPr>
          <w:rFonts w:ascii="Arial" w:hAnsi="Arial" w:eastAsia="Arial"/>
          <w:b w:val="0"/>
          <w:i w:val="0"/>
          <w:color w:val="1F2937"/>
          <w:sz w:val="20"/>
        </w:rPr>
        <w:t>U.S. Department of Justice. ADA Requirements: Effective Communication; Communicating Effectively with People with Disabilities; and Telehealth. https://www.ada.gov/resources/effective-communication/ and https://www.ada.gov/topics/telehealth/</w:t>
      </w:r>
    </w:p>
    <w:p>
      <w:pPr>
        <w:pStyle w:val="ListBullet"/>
        <w:spacing w:after="30"/>
      </w:pPr>
      <w:r>
        <w:rPr>
          <w:rFonts w:ascii="Arial" w:hAnsi="Arial" w:eastAsia="Arial"/>
          <w:b w:val="0"/>
          <w:i w:val="0"/>
          <w:color w:val="1F2937"/>
          <w:sz w:val="20"/>
        </w:rPr>
        <w:t>National Career Development Association. Career Counseling Competencies; Multicultural Career Counseling and Development Competencies; National Career Development Guidelines. https://www.ncda.org/</w:t>
      </w:r>
    </w:p>
    <w:p>
      <w:pPr>
        <w:pStyle w:val="ListBullet"/>
        <w:spacing w:after="30"/>
      </w:pPr>
      <w:r>
        <w:rPr>
          <w:rFonts w:ascii="Arial" w:hAnsi="Arial" w:eastAsia="Arial"/>
          <w:b w:val="0"/>
          <w:i w:val="0"/>
          <w:color w:val="1F2937"/>
          <w:sz w:val="20"/>
        </w:rPr>
        <w:t>Centers for Disease Control and Prevention. Social Determinants of Health; Disability Inclusion; Mental Health of People with Disabilities. https://www.cdc.gov/</w:t>
      </w:r>
    </w:p>
    <w:p>
      <w:pPr>
        <w:pStyle w:val="ListBullet"/>
        <w:spacing w:after="30"/>
      </w:pPr>
      <w:r>
        <w:rPr>
          <w:rFonts w:ascii="Arial" w:hAnsi="Arial" w:eastAsia="Arial"/>
          <w:b w:val="0"/>
          <w:i w:val="0"/>
          <w:color w:val="1F2937"/>
          <w:sz w:val="20"/>
        </w:rPr>
        <w:t>National Institute on Aging. Grief and Mourning; Caregiving; Services for Older Adults Living at Home. https://www.nia.nih.gov/health</w:t>
      </w:r>
    </w:p>
    <w:p>
      <w:pPr>
        <w:pStyle w:val="ListBullet"/>
        <w:spacing w:after="30"/>
      </w:pPr>
      <w:r>
        <w:rPr>
          <w:rFonts w:ascii="Arial" w:hAnsi="Arial" w:eastAsia="Arial"/>
          <w:b w:val="0"/>
          <w:i w:val="0"/>
          <w:color w:val="1F2937"/>
          <w:sz w:val="20"/>
        </w:rPr>
        <w:t>Substance Abuse and Mental Health Services Administration. Improving Cultural Competence, Treatment Improvement Protocol 59. https://library.samhsa.gov/sites/default/files/sma14-4849.pdf</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0F7"/>
            <w:tcMar>
              <w:top w:w="110" w:type="dxa"/>
              <w:start w:w="130" w:type="dxa"/>
              <w:bottom w:w="110" w:type="dxa"/>
              <w:end w:w="130" w:type="dxa"/>
            </w:tcMar>
            <w:tcBorders>
              <w:top w:val="single" w:sz="8" w:color="17365D"/>
              <w:left w:val="single" w:sz="8" w:color="17365D"/>
              <w:bottom w:val="single" w:sz="8" w:color="17365D"/>
              <w:right w:val="single" w:sz="8" w:color="17365D"/>
            </w:tcBorders>
          </w:tcPr>
          <w:p>
            <w:pPr>
              <w:keepLines/>
              <w:spacing w:after="0"/>
            </w:pPr>
            <w:r>
              <w:rPr>
                <w:rFonts w:ascii="Arial" w:hAnsi="Arial" w:eastAsia="Arial"/>
                <w:b/>
                <w:i w:val="0"/>
                <w:color w:val="17365D"/>
                <w:sz w:val="18"/>
              </w:rPr>
              <w:t xml:space="preserve">NEXT IN SEQUENCE  </w:t>
            </w:r>
            <w:r>
              <w:rPr>
                <w:rFonts w:ascii="Arial" w:hAnsi="Arial" w:eastAsia="Arial"/>
                <w:b w:val="0"/>
                <w:i w:val="0"/>
                <w:color w:val="1F2937"/>
                <w:sz w:val="18"/>
              </w:rPr>
              <w:t>Complete the matching 17-question Workbook 10 practice bank, including five targeted questions and one original three-part NCMHCE-style mini case. Then continue to Workbook 11: Individual, Group, Couple/Family, Referral, Continuity, and Interdisciplinary Collaboration.</w:t>
            </w:r>
          </w:p>
        </w:tc>
      </w:tr>
    </w:tbl>
    <w:p>
      <w:pPr>
        <w:spacing w:after="0"/>
      </w:pP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5"/>
      </w:rPr>
      <w:t xml:space="preserve">Clinical Training Academy - LPCC Student Workbook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Workbook 10 - Context-Responsive Counseling</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 Id="rId45" Type="http://schemas.openxmlformats.org/officeDocument/2006/relationships/hyperlink" Target="https://www.nbcc.org/exams/ncmhce" TargetMode="External"/><Relationship Id="rId46" Type="http://schemas.openxmlformats.org/officeDocument/2006/relationships/hyperlink" Target="https://www.cacrep.org/for-programs/2024-cacrep-standards/" TargetMode="External"/><Relationship Id="rId47" Type="http://schemas.openxmlformats.org/officeDocument/2006/relationships/hyperlink" Target="https://library.samhsa.gov/sites/default/files/d7/priv/pep19-02-01-003_0.pdf" TargetMode="External"/><Relationship Id="rId48" Type="http://schemas.openxmlformats.org/officeDocument/2006/relationships/hyperlink" Target="https://pubmed.ncbi.nlm.nih.gov/29792475/" TargetMode="External"/><Relationship Id="rId49" Type="http://schemas.openxmlformats.org/officeDocument/2006/relationships/hyperlink" Target="https://pubmed.ncbi.nlm.nih.gov/30335462/" TargetMode="External"/><Relationship Id="rId50" Type="http://schemas.openxmlformats.org/officeDocument/2006/relationships/hyperlink" Target="https://pubmed.ncbi.nlm.nih.gov/33829817/" TargetMode="External"/><Relationship Id="rId51" Type="http://schemas.openxmlformats.org/officeDocument/2006/relationships/hyperlink" Target="https://pubmed.ncbi.nlm.nih.gov/39901761/" TargetMode="External"/><Relationship Id="rId5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10 - Multicultural, Developmental, Career, Spiritual, Disability, and Context-Responsive Counseling</dc:title>
  <dc:subject>LPCC NCMHCE Exam Preparation Program</dc:subject>
  <dc:creator>Clinical Training Academy</dc:creator>
  <cp:keywords>LPCC, NCMHCE, multicultural counseling, disability, career counseling, lifespan development, spirituality, advocacy</cp:keywords>
  <dc:description>Editable Word student workbook. Version 1.0, July 2026.</dc:description>
  <cp:lastModifiedBy/>
  <cp:revision>1</cp:revision>
  <dcterms:created xsi:type="dcterms:W3CDTF">2013-12-23T23:15:00Z</dcterms:created>
  <dcterms:modified xsi:type="dcterms:W3CDTF">2013-12-23T23:15:00Z</dcterms:modified>
  <cp:category/>
</cp:coreProperties>
</file>