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454136"/>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454136"/>
                    </a:xfrm>
                    <a:prstGeom prst="rect"/>
                  </pic:spPr>
                </pic:pic>
              </a:graphicData>
            </a:graphic>
          </wp:inline>
        </w:drawing>
      </w:r>
    </w:p>
    <w:p>
      <w:pPr>
        <w:spacing w:after="80"/>
        <w:jc w:val="center"/>
      </w:pPr>
      <w:r>
        <w:rPr>
          <w:rFonts w:ascii="Arial" w:hAnsi="Arial"/>
          <w:b/>
          <w:i w:val="0"/>
          <w:color w:val="159C9C"/>
          <w:sz w:val="21"/>
        </w:rPr>
        <w:t>LPCC NCMHCE EXAM PREPARATION PROGRAM</w:t>
      </w:r>
    </w:p>
    <w:p>
      <w:pPr>
        <w:spacing w:after="160"/>
        <w:jc w:val="center"/>
      </w:pPr>
      <w:r>
        <w:rPr>
          <w:rFonts w:ascii="Arial" w:hAnsi="Arial"/>
          <w:b/>
          <w:i w:val="0"/>
          <w:color w:val="17365D"/>
          <w:sz w:val="30"/>
        </w:rPr>
        <w:t>Student Workbook</w:t>
      </w:r>
    </w:p>
    <w:p>
      <w:pPr>
        <w:spacing w:after="80"/>
        <w:jc w:val="center"/>
      </w:pPr>
      <w:r>
        <w:rPr>
          <w:rFonts w:ascii="Arial" w:hAnsi="Arial"/>
          <w:b/>
          <w:i w:val="0"/>
          <w:color w:val="159C9C"/>
          <w:sz w:val="24"/>
        </w:rPr>
        <w:t>CTA LPCC Workbook 11</w:t>
      </w:r>
    </w:p>
    <w:p>
      <w:pPr>
        <w:spacing w:after="200"/>
        <w:jc w:val="center"/>
      </w:pPr>
      <w:r>
        <w:rPr>
          <w:rFonts w:ascii="Arial" w:hAnsi="Arial"/>
          <w:b/>
          <w:i w:val="0"/>
          <w:color w:val="17365D"/>
          <w:sz w:val="40"/>
        </w:rPr>
        <w:t>Individual, Group, Couple/Family, Referral, Continuity, and Interdisciplinary Collaboration</w:t>
      </w:r>
    </w:p>
    <w:p>
      <w:pPr>
        <w:spacing w:after="360"/>
        <w:jc w:val="center"/>
      </w:pPr>
      <w:r>
        <w:rPr>
          <w:rFonts w:ascii="Arial" w:hAnsi="Arial"/>
          <w:b w:val="0"/>
          <w:i/>
          <w:color w:val="4B5563"/>
          <w:sz w:val="21"/>
        </w:rPr>
        <w:t>How to select the right modality, work effectively with groups and relational systems, build usable referrals, preserve continuity, and collaborate without losing role clarity or client-centered purpose.</w:t>
      </w:r>
    </w:p>
    <w:p>
      <w:pPr>
        <w:spacing w:after="60"/>
        <w:jc w:val="center"/>
      </w:pPr>
      <w:r>
        <w:rPr>
          <w:rFonts w:ascii="Arial" w:hAnsi="Arial"/>
          <w:b/>
          <w:i w:val="0"/>
          <w:color w:val="17365D"/>
          <w:sz w:val="19"/>
        </w:rPr>
        <w:t>Version 1.0 - July 2026</w:t>
      </w:r>
    </w:p>
    <w:p>
      <w:pPr>
        <w:spacing w:after="40"/>
        <w:jc w:val="center"/>
      </w:pPr>
      <w:r>
        <w:rPr>
          <w:rFonts w:ascii="Arial" w:hAnsi="Arial"/>
          <w:b/>
          <w:i w:val="0"/>
          <w:color w:val="159C9C"/>
          <w:sz w:val="20"/>
        </w:rPr>
        <w:t>Clinical Training Academy</w:t>
      </w:r>
    </w:p>
    <w:p>
      <w:pPr>
        <w:spacing w:after="160"/>
        <w:jc w:val="center"/>
      </w:pPr>
      <w:r>
        <w:rPr>
          <w:rFonts w:ascii="Arial" w:hAnsi="Arial"/>
          <w:b w:val="0"/>
          <w:i w:val="0"/>
          <w:color w:val="4B5563"/>
          <w:sz w:val="17"/>
        </w:rPr>
        <w:t>Editable Word workbook | Self-paced study | Educational use</w:t>
      </w:r>
    </w:p>
    <w:p>
      <w:r>
        <w:br w:type="page"/>
      </w:r>
    </w:p>
    <w:p>
      <w:pPr>
        <w:pStyle w:val="Heading1"/>
        <w:keepNext/>
      </w:pPr>
      <w:r>
        <w:t>How to Use This Workbook</w:t>
      </w:r>
    </w:p>
    <w:p>
      <w:pPr>
        <w:spacing w:after="100"/>
      </w:pPr>
      <w:r>
        <w:rPr>
          <w:rFonts w:ascii="Arial" w:hAnsi="Arial"/>
          <w:b w:val="0"/>
          <w:i w:val="0"/>
          <w:color w:val="1F2937"/>
          <w:sz w:val="19"/>
        </w:rPr>
        <w:t>Workbook 11 moves from direct counseling to coordinated care. The examination does not reward automatic individual therapy, automatic referral, or indiscriminate information sharing. It rewards a counselor who identifies the clinical purpose, selects the least restrictive effective modality, clarifies who the client is, obtains appropriate consent, coordinates needed services, and follows the result.</w:t>
      </w:r>
    </w:p>
    <w:tbl>
      <w:tblPr>
        <w:tblW w:type="auto" w:w="0"/>
        <w:jc w:val="center"/>
        <w:tblLayout w:type="autofit"/>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LEARN -&gt; APPLY -&gt; ANALYZE -&gt; REMEDIATE</w:t>
            </w:r>
          </w:p>
          <w:p>
            <w:pPr>
              <w:spacing w:after="0"/>
            </w:pPr>
            <w:r>
              <w:rPr>
                <w:rFonts w:ascii="Arial" w:hAnsi="Arial"/>
                <w:color w:val="1F2937"/>
                <w:sz w:val="18"/>
              </w:rPr>
              <w:t>Study one chapter at a time. Complete its decision tool, work the cumulative case without looking ahead, answer all ten knowledge-check questions, and then write one corrected rule for every missed item.</w:t>
            </w:r>
          </w:p>
        </w:tc>
      </w:tr>
    </w:tbl>
    <w:p>
      <w:pPr>
        <w:spacing w:after="0"/>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Current NCMHCE Alignment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Primary Emphasis</w:t>
            </w:r>
          </w:p>
        </w:tc>
      </w:tr>
      <w:tr>
        <w:tc>
          <w:tcPr>
            <w:tcW w:type="dxa" w:w="5141"/>
            <w:tcMar>
              <w:top w:w="55" w:type="dxa"/>
              <w:start w:w="70" w:type="dxa"/>
              <w:bottom w:w="55" w:type="dxa"/>
              <w:end w:w="70" w:type="dxa"/>
            </w:tcMar>
          </w:tcPr>
          <w:p>
            <w:r>
              <w:rPr>
                <w:rFonts w:ascii="Arial" w:hAnsi="Arial"/>
                <w:color w:val="1F2937"/>
                <w:sz w:val="16"/>
              </w:rPr>
              <w:t>Counseling Skills and Interventions</w:t>
            </w:r>
          </w:p>
        </w:tc>
        <w:tc>
          <w:tcPr>
            <w:tcW w:type="dxa" w:w="5141"/>
            <w:tcMar>
              <w:top w:w="55" w:type="dxa"/>
              <w:start w:w="70" w:type="dxa"/>
              <w:bottom w:w="55" w:type="dxa"/>
              <w:end w:w="70" w:type="dxa"/>
            </w:tcMar>
          </w:tcPr>
          <w:p>
            <w:r>
              <w:rPr>
                <w:rFonts w:ascii="Arial" w:hAnsi="Arial"/>
                <w:color w:val="1F2937"/>
                <w:sz w:val="16"/>
              </w:rPr>
              <w:t>Modality fit, individual and group interventions, relational/systemic skills, referral and collaboration</w:t>
            </w:r>
          </w:p>
        </w:tc>
      </w:tr>
      <w:tr>
        <w:tc>
          <w:tcPr>
            <w:tcW w:type="dxa" w:w="5141"/>
            <w:tcMar>
              <w:top w:w="55" w:type="dxa"/>
              <w:start w:w="70" w:type="dxa"/>
              <w:bottom w:w="55" w:type="dxa"/>
              <w:end w:w="70" w:type="dxa"/>
            </w:tcMar>
            <w:shd w:fill="F8FAFC"/>
          </w:tcPr>
          <w:p>
            <w:r>
              <w:rPr>
                <w:rFonts w:ascii="Arial" w:hAnsi="Arial"/>
                <w:color w:val="1F2937"/>
                <w:sz w:val="16"/>
              </w:rPr>
              <w:t>Treatment Planning</w:t>
            </w:r>
          </w:p>
        </w:tc>
        <w:tc>
          <w:tcPr>
            <w:tcW w:type="dxa" w:w="5141"/>
            <w:tcMar>
              <w:top w:w="55" w:type="dxa"/>
              <w:start w:w="70" w:type="dxa"/>
              <w:bottom w:w="55" w:type="dxa"/>
              <w:end w:w="70" w:type="dxa"/>
            </w:tcMar>
            <w:shd w:fill="F8FAFC"/>
          </w:tcPr>
          <w:p>
            <w:r>
              <w:rPr>
                <w:rFonts w:ascii="Arial" w:hAnsi="Arial"/>
                <w:color w:val="1F2937"/>
                <w:sz w:val="16"/>
              </w:rPr>
              <w:t>Service sequencing, level of care, transition planning, continuity, and progress review</w:t>
            </w:r>
          </w:p>
        </w:tc>
      </w:tr>
      <w:tr>
        <w:tc>
          <w:tcPr>
            <w:tcW w:type="dxa" w:w="5141"/>
            <w:tcMar>
              <w:top w:w="55" w:type="dxa"/>
              <w:start w:w="70" w:type="dxa"/>
              <w:bottom w:w="55" w:type="dxa"/>
              <w:end w:w="70" w:type="dxa"/>
            </w:tcMar>
          </w:tcPr>
          <w:p>
            <w:r>
              <w:rPr>
                <w:rFonts w:ascii="Arial" w:hAnsi="Arial"/>
                <w:color w:val="1F2937"/>
                <w:sz w:val="16"/>
              </w:rPr>
              <w:t>Professional Practice and Ethics</w:t>
            </w:r>
          </w:p>
        </w:tc>
        <w:tc>
          <w:tcPr>
            <w:tcW w:type="dxa" w:w="5141"/>
            <w:tcMar>
              <w:top w:w="55" w:type="dxa"/>
              <w:start w:w="70" w:type="dxa"/>
              <w:bottom w:w="55" w:type="dxa"/>
              <w:end w:w="70" w:type="dxa"/>
            </w:tcMar>
          </w:tcPr>
          <w:p>
            <w:r>
              <w:rPr>
                <w:rFonts w:ascii="Arial" w:hAnsi="Arial"/>
                <w:color w:val="1F2937"/>
                <w:sz w:val="16"/>
              </w:rPr>
              <w:t>Role clarity, consent, confidentiality, competence, documentation, and interdisciplinary communication</w:t>
            </w:r>
          </w:p>
        </w:tc>
      </w:tr>
      <w:tr>
        <w:tc>
          <w:tcPr>
            <w:tcW w:type="dxa" w:w="5141"/>
            <w:tcMar>
              <w:top w:w="55" w:type="dxa"/>
              <w:start w:w="70" w:type="dxa"/>
              <w:bottom w:w="55" w:type="dxa"/>
              <w:end w:w="70" w:type="dxa"/>
            </w:tcMar>
            <w:shd w:fill="F8FAFC"/>
          </w:tcPr>
          <w:p>
            <w:r>
              <w:rPr>
                <w:rFonts w:ascii="Arial" w:hAnsi="Arial"/>
                <w:color w:val="1F2937"/>
                <w:sz w:val="16"/>
              </w:rPr>
              <w:t>Core Counseling Attributes</w:t>
            </w:r>
          </w:p>
        </w:tc>
        <w:tc>
          <w:tcPr>
            <w:tcW w:type="dxa" w:w="5141"/>
            <w:tcMar>
              <w:top w:w="55" w:type="dxa"/>
              <w:start w:w="70" w:type="dxa"/>
              <w:bottom w:w="55" w:type="dxa"/>
              <w:end w:w="70" w:type="dxa"/>
            </w:tcMar>
            <w:shd w:fill="F8FAFC"/>
          </w:tcPr>
          <w:p>
            <w:r>
              <w:rPr>
                <w:rFonts w:ascii="Arial" w:hAnsi="Arial"/>
                <w:color w:val="1F2937"/>
                <w:sz w:val="16"/>
              </w:rPr>
              <w:t>Collaboration, responsiveness, humility, flexibility, and respect for client autonomy</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JULY 2027 BRIDGE</w:t>
            </w:r>
          </w:p>
          <w:p>
            <w:pPr>
              <w:spacing w:after="0"/>
            </w:pPr>
            <w:r>
              <w:rPr>
                <w:rFonts w:ascii="Arial" w:hAnsi="Arial"/>
                <w:color w:val="1F2937"/>
                <w:sz w:val="18"/>
              </w:rPr>
              <w:t>This workbook directly prepares for Treatment Planning and Continuity of Care, Provision of Counseling Interventions, Indirect Client Care, and Legal and Ethical Compliance in the July 1, 2027 NCMHCE specifications.</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FFF4D6"/>
            <w:tcBorders>
              <w:top w:val="single" w:sz="8" w:color="C99500"/>
              <w:left w:val="single" w:sz="8" w:color="C99500"/>
              <w:bottom w:val="single" w:sz="8" w:color="C99500"/>
              <w:right w:val="single" w:sz="8" w:color="C99500"/>
            </w:tcBorders>
            <w:tcMar>
              <w:top w:w="90" w:type="dxa"/>
              <w:start w:w="120" w:type="dxa"/>
              <w:bottom w:w="90" w:type="dxa"/>
              <w:end w:w="120" w:type="dxa"/>
            </w:tcMar>
          </w:tcPr>
          <w:p>
            <w:pPr>
              <w:spacing w:after="40"/>
            </w:pPr>
            <w:r>
              <w:rPr>
                <w:rFonts w:ascii="Arial" w:hAnsi="Arial"/>
                <w:b/>
                <w:color w:val="17365D"/>
                <w:sz w:val="19"/>
              </w:rPr>
              <w:t>CALIFORNIA LPCC SCOPE CONTROL</w:t>
            </w:r>
          </w:p>
          <w:p>
            <w:pPr>
              <w:spacing w:after="0"/>
            </w:pPr>
            <w:r>
              <w:rPr>
                <w:rFonts w:ascii="Arial" w:hAnsi="Arial"/>
                <w:color w:val="1F2937"/>
                <w:sz w:val="18"/>
              </w:rPr>
              <w:t>California professional clinical counseling includes cognitive, affective, verbal or nonverbal, systemic, or holistic strategies. LPCCs must refer when a need exceeds their education, training, or experience. Couple/family and group work therefore require competence, clear informed consent, defensible role boundaries, and appropriate referral or consultation.</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F2F4F6"/>
            <w:tcBorders>
              <w:top w:val="single" w:sz="8" w:color="9CA3AF"/>
              <w:left w:val="single" w:sz="8" w:color="9CA3AF"/>
              <w:bottom w:val="single" w:sz="8" w:color="9CA3AF"/>
              <w:right w:val="single" w:sz="8" w:color="9CA3AF"/>
            </w:tcBorders>
            <w:tcMar>
              <w:top w:w="90" w:type="dxa"/>
              <w:start w:w="120" w:type="dxa"/>
              <w:bottom w:w="90" w:type="dxa"/>
              <w:end w:w="120" w:type="dxa"/>
            </w:tcMar>
          </w:tcPr>
          <w:p>
            <w:pPr>
              <w:spacing w:after="40"/>
            </w:pPr>
            <w:r>
              <w:rPr>
                <w:rFonts w:ascii="Arial" w:hAnsi="Arial"/>
                <w:b/>
                <w:color w:val="17365D"/>
                <w:sz w:val="19"/>
              </w:rPr>
              <w:t>EDUCATIONAL USE</w:t>
            </w:r>
          </w:p>
          <w:p>
            <w:pPr>
              <w:spacing w:after="0"/>
            </w:pPr>
            <w:r>
              <w:rPr>
                <w:rFonts w:ascii="Arial" w:hAnsi="Arial"/>
                <w:color w:val="1F2937"/>
                <w:sz w:val="18"/>
              </w:rPr>
              <w:t>CTA materials support examination preparation and professional learning. They do not provide legal advice, determine individual scope, replace supervision or consultation, or guarantee examination passage.</w:t>
            </w:r>
          </w:p>
        </w:tc>
      </w:tr>
    </w:tbl>
    <w:p>
      <w:pPr>
        <w:spacing w:after="0"/>
      </w:pPr>
    </w:p>
    <w:p>
      <w:pPr>
        <w:pStyle w:val="Heading2"/>
        <w:keepNext/>
      </w:pPr>
      <w:r>
        <w:t>Learning Objectives</w:t>
      </w:r>
    </w:p>
    <w:p>
      <w:pPr>
        <w:pStyle w:val="ListBullet"/>
        <w:spacing w:after="56"/>
      </w:pPr>
      <w:r>
        <w:t>Select individual, group, couple/family, referral, and coordinated-care responses using clinical purpose, client preference, safety, access, evidence, and competence.</w:t>
      </w:r>
    </w:p>
    <w:p>
      <w:pPr>
        <w:pStyle w:val="ListBullet"/>
        <w:spacing w:after="56"/>
      </w:pPr>
      <w:r>
        <w:t>Screen and prepare clients for group counseling, manage group process and leadership challenges, and plan ethical termination.</w:t>
      </w:r>
    </w:p>
    <w:p>
      <w:pPr>
        <w:pStyle w:val="ListBullet"/>
        <w:spacing w:after="56"/>
      </w:pPr>
      <w:r>
        <w:t>Use systemic and relational interventions with couples and families only after clarifying the client, goals, safety, consent, confidentiality limits, and counselor competence.</w:t>
      </w:r>
    </w:p>
    <w:p>
      <w:pPr>
        <w:pStyle w:val="ListBullet"/>
        <w:spacing w:after="56"/>
      </w:pPr>
      <w:r>
        <w:t>Build referrals and warm handoffs that match level of care, reduce access barriers, and include follow-up rather than merely giving a phone number.</w:t>
      </w:r>
    </w:p>
    <w:p>
      <w:pPr>
        <w:pStyle w:val="ListBullet"/>
        <w:spacing w:after="56"/>
      </w:pPr>
      <w:r>
        <w:t>Coordinate with collateral contacts, prescribers, medical professionals, schools, agencies, and interdisciplinary teams while maintaining role clarity and purposeful documentation.</w:t>
      </w:r>
    </w:p>
    <w:p>
      <w:r>
        <w:br w:type="page"/>
      </w:r>
    </w:p>
    <w:p>
      <w:pPr>
        <w:pStyle w:val="Heading1"/>
        <w:keepNext/>
      </w:pPr>
      <w:r>
        <w:t>Workbook Roadmap</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6"/>
              </w:rPr>
              <w:t>Chapter</w:t>
            </w:r>
          </w:p>
        </w:tc>
        <w:tc>
          <w:tcPr>
            <w:tcW w:type="dxa" w:w="3427"/>
            <w:shd w:fill="17365D"/>
            <w:vAlign w:val="center"/>
            <w:tcMar>
              <w:top w:w="70" w:type="dxa"/>
              <w:start w:w="75" w:type="dxa"/>
              <w:bottom w:w="70" w:type="dxa"/>
              <w:end w:w="75" w:type="dxa"/>
            </w:tcMar>
          </w:tcPr>
          <w:p>
            <w:pPr>
              <w:jc w:val="center"/>
            </w:pPr>
            <w:r>
              <w:rPr>
                <w:rFonts w:ascii="Arial" w:hAnsi="Arial"/>
                <w:b/>
                <w:color w:val="FFFFFF"/>
                <w:sz w:val="16"/>
              </w:rPr>
              <w:t>Focus</w:t>
            </w:r>
          </w:p>
        </w:tc>
        <w:tc>
          <w:tcPr>
            <w:tcW w:type="dxa" w:w="3427"/>
            <w:shd w:fill="17365D"/>
            <w:vAlign w:val="center"/>
            <w:tcMar>
              <w:top w:w="70" w:type="dxa"/>
              <w:start w:w="75" w:type="dxa"/>
              <w:bottom w:w="70" w:type="dxa"/>
              <w:end w:w="75" w:type="dxa"/>
            </w:tcMar>
          </w:tcPr>
          <w:p>
            <w:pPr>
              <w:jc w:val="center"/>
            </w:pPr>
            <w:r>
              <w:rPr>
                <w:rFonts w:ascii="Arial" w:hAnsi="Arial"/>
                <w:b/>
                <w:color w:val="FFFFFF"/>
                <w:sz w:val="16"/>
              </w:rPr>
              <w:t>Primary Tool</w:t>
            </w:r>
          </w:p>
        </w:tc>
      </w:tr>
      <w:tr>
        <w:tc>
          <w:tcPr>
            <w:tcW w:type="dxa" w:w="3427"/>
            <w:tcMar>
              <w:top w:w="55" w:type="dxa"/>
              <w:start w:w="70" w:type="dxa"/>
              <w:bottom w:w="55" w:type="dxa"/>
              <w:end w:w="70" w:type="dxa"/>
            </w:tcMar>
          </w:tcPr>
          <w:p>
            <w:r>
              <w:rPr>
                <w:rFonts w:ascii="Arial" w:hAnsi="Arial"/>
                <w:color w:val="1F2937"/>
                <w:sz w:val="16"/>
              </w:rPr>
              <w:t>1</w:t>
            </w:r>
          </w:p>
        </w:tc>
        <w:tc>
          <w:tcPr>
            <w:tcW w:type="dxa" w:w="3427"/>
            <w:tcMar>
              <w:top w:w="55" w:type="dxa"/>
              <w:start w:w="70" w:type="dxa"/>
              <w:bottom w:w="55" w:type="dxa"/>
              <w:end w:w="70" w:type="dxa"/>
            </w:tcMar>
          </w:tcPr>
          <w:p>
            <w:r>
              <w:rPr>
                <w:rFonts w:ascii="Arial" w:hAnsi="Arial"/>
                <w:color w:val="1F2937"/>
                <w:sz w:val="16"/>
              </w:rPr>
              <w:t>Modality selection and individual counseling</w:t>
            </w:r>
          </w:p>
        </w:tc>
        <w:tc>
          <w:tcPr>
            <w:tcW w:type="dxa" w:w="3427"/>
            <w:tcMar>
              <w:top w:w="55" w:type="dxa"/>
              <w:start w:w="70" w:type="dxa"/>
              <w:bottom w:w="55" w:type="dxa"/>
              <w:end w:w="70" w:type="dxa"/>
            </w:tcMar>
          </w:tcPr>
          <w:p>
            <w:r>
              <w:rPr>
                <w:rFonts w:ascii="Arial" w:hAnsi="Arial"/>
                <w:color w:val="1F2937"/>
                <w:sz w:val="16"/>
              </w:rPr>
              <w:t>MODE</w:t>
            </w:r>
          </w:p>
        </w:tc>
      </w:tr>
      <w:tr>
        <w:tc>
          <w:tcPr>
            <w:tcW w:type="dxa" w:w="3427"/>
            <w:tcMar>
              <w:top w:w="55" w:type="dxa"/>
              <w:start w:w="70" w:type="dxa"/>
              <w:bottom w:w="55" w:type="dxa"/>
              <w:end w:w="70" w:type="dxa"/>
            </w:tcMar>
            <w:shd w:fill="F8FAFC"/>
          </w:tcPr>
          <w:p>
            <w:r>
              <w:rPr>
                <w:rFonts w:ascii="Arial" w:hAnsi="Arial"/>
                <w:color w:val="1F2937"/>
                <w:sz w:val="16"/>
              </w:rPr>
              <w:t>2</w:t>
            </w:r>
          </w:p>
        </w:tc>
        <w:tc>
          <w:tcPr>
            <w:tcW w:type="dxa" w:w="3427"/>
            <w:tcMar>
              <w:top w:w="55" w:type="dxa"/>
              <w:start w:w="70" w:type="dxa"/>
              <w:bottom w:w="55" w:type="dxa"/>
              <w:end w:w="70" w:type="dxa"/>
            </w:tcMar>
            <w:shd w:fill="F8FAFC"/>
          </w:tcPr>
          <w:p>
            <w:r>
              <w:rPr>
                <w:rFonts w:ascii="Arial" w:hAnsi="Arial"/>
                <w:color w:val="1F2937"/>
                <w:sz w:val="16"/>
              </w:rPr>
              <w:t>Group screening, process, leadership, and termination</w:t>
            </w:r>
          </w:p>
        </w:tc>
        <w:tc>
          <w:tcPr>
            <w:tcW w:type="dxa" w:w="3427"/>
            <w:tcMar>
              <w:top w:w="55" w:type="dxa"/>
              <w:start w:w="70" w:type="dxa"/>
              <w:bottom w:w="55" w:type="dxa"/>
              <w:end w:w="70" w:type="dxa"/>
            </w:tcMar>
            <w:shd w:fill="F8FAFC"/>
          </w:tcPr>
          <w:p>
            <w:r>
              <w:rPr>
                <w:rFonts w:ascii="Arial" w:hAnsi="Arial"/>
                <w:color w:val="1F2937"/>
                <w:sz w:val="16"/>
              </w:rPr>
              <w:t>GROUP</w:t>
            </w:r>
          </w:p>
        </w:tc>
      </w:tr>
      <w:tr>
        <w:tc>
          <w:tcPr>
            <w:tcW w:type="dxa" w:w="3427"/>
            <w:tcMar>
              <w:top w:w="55" w:type="dxa"/>
              <w:start w:w="70" w:type="dxa"/>
              <w:bottom w:w="55" w:type="dxa"/>
              <w:end w:w="70" w:type="dxa"/>
            </w:tcMar>
          </w:tcPr>
          <w:p>
            <w:r>
              <w:rPr>
                <w:rFonts w:ascii="Arial" w:hAnsi="Arial"/>
                <w:color w:val="1F2937"/>
                <w:sz w:val="16"/>
              </w:rPr>
              <w:t>3</w:t>
            </w:r>
          </w:p>
        </w:tc>
        <w:tc>
          <w:tcPr>
            <w:tcW w:type="dxa" w:w="3427"/>
            <w:tcMar>
              <w:top w:w="55" w:type="dxa"/>
              <w:start w:w="70" w:type="dxa"/>
              <w:bottom w:w="55" w:type="dxa"/>
              <w:end w:w="70" w:type="dxa"/>
            </w:tcMar>
          </w:tcPr>
          <w:p>
            <w:r>
              <w:rPr>
                <w:rFonts w:ascii="Arial" w:hAnsi="Arial"/>
                <w:color w:val="1F2937"/>
                <w:sz w:val="16"/>
              </w:rPr>
              <w:t>Couple/family and systemic work within LPCC competence</w:t>
            </w:r>
          </w:p>
        </w:tc>
        <w:tc>
          <w:tcPr>
            <w:tcW w:type="dxa" w:w="3427"/>
            <w:tcMar>
              <w:top w:w="55" w:type="dxa"/>
              <w:start w:w="70" w:type="dxa"/>
              <w:bottom w:w="55" w:type="dxa"/>
              <w:end w:w="70" w:type="dxa"/>
            </w:tcMar>
          </w:tcPr>
          <w:p>
            <w:r>
              <w:rPr>
                <w:rFonts w:ascii="Arial" w:hAnsi="Arial"/>
                <w:color w:val="1F2937"/>
                <w:sz w:val="16"/>
              </w:rPr>
              <w:t>SYSTEM</w:t>
            </w:r>
          </w:p>
        </w:tc>
      </w:tr>
      <w:tr>
        <w:tc>
          <w:tcPr>
            <w:tcW w:type="dxa" w:w="3427"/>
            <w:tcMar>
              <w:top w:w="55" w:type="dxa"/>
              <w:start w:w="70" w:type="dxa"/>
              <w:bottom w:w="55" w:type="dxa"/>
              <w:end w:w="70" w:type="dxa"/>
            </w:tcMar>
            <w:shd w:fill="F8FAFC"/>
          </w:tcPr>
          <w:p>
            <w:r>
              <w:rPr>
                <w:rFonts w:ascii="Arial" w:hAnsi="Arial"/>
                <w:color w:val="1F2937"/>
                <w:sz w:val="16"/>
              </w:rPr>
              <w:t>4</w:t>
            </w:r>
          </w:p>
        </w:tc>
        <w:tc>
          <w:tcPr>
            <w:tcW w:type="dxa" w:w="3427"/>
            <w:tcMar>
              <w:top w:w="55" w:type="dxa"/>
              <w:start w:w="70" w:type="dxa"/>
              <w:bottom w:w="55" w:type="dxa"/>
              <w:end w:w="70" w:type="dxa"/>
            </w:tcMar>
            <w:shd w:fill="F8FAFC"/>
          </w:tcPr>
          <w:p>
            <w:r>
              <w:rPr>
                <w:rFonts w:ascii="Arial" w:hAnsi="Arial"/>
                <w:color w:val="1F2937"/>
                <w:sz w:val="16"/>
              </w:rPr>
              <w:t>Referral, warm handoff, resources, and levels of care</w:t>
            </w:r>
          </w:p>
        </w:tc>
        <w:tc>
          <w:tcPr>
            <w:tcW w:type="dxa" w:w="3427"/>
            <w:tcMar>
              <w:top w:w="55" w:type="dxa"/>
              <w:start w:w="70" w:type="dxa"/>
              <w:bottom w:w="55" w:type="dxa"/>
              <w:end w:w="70" w:type="dxa"/>
            </w:tcMar>
            <w:shd w:fill="F8FAFC"/>
          </w:tcPr>
          <w:p>
            <w:r>
              <w:rPr>
                <w:rFonts w:ascii="Arial" w:hAnsi="Arial"/>
                <w:color w:val="1F2937"/>
                <w:sz w:val="16"/>
              </w:rPr>
              <w:t>HANDOFF</w:t>
            </w:r>
          </w:p>
        </w:tc>
      </w:tr>
      <w:tr>
        <w:tc>
          <w:tcPr>
            <w:tcW w:type="dxa" w:w="3427"/>
            <w:tcMar>
              <w:top w:w="55" w:type="dxa"/>
              <w:start w:w="70" w:type="dxa"/>
              <w:bottom w:w="55" w:type="dxa"/>
              <w:end w:w="70" w:type="dxa"/>
            </w:tcMar>
          </w:tcPr>
          <w:p>
            <w:r>
              <w:rPr>
                <w:rFonts w:ascii="Arial" w:hAnsi="Arial"/>
                <w:color w:val="1F2937"/>
                <w:sz w:val="16"/>
              </w:rPr>
              <w:t>5</w:t>
            </w:r>
          </w:p>
        </w:tc>
        <w:tc>
          <w:tcPr>
            <w:tcW w:type="dxa" w:w="3427"/>
            <w:tcMar>
              <w:top w:w="55" w:type="dxa"/>
              <w:start w:w="70" w:type="dxa"/>
              <w:bottom w:w="55" w:type="dxa"/>
              <w:end w:w="70" w:type="dxa"/>
            </w:tcMar>
          </w:tcPr>
          <w:p>
            <w:r>
              <w:rPr>
                <w:rFonts w:ascii="Arial" w:hAnsi="Arial"/>
                <w:color w:val="1F2937"/>
                <w:sz w:val="16"/>
              </w:rPr>
              <w:t>Collateral work, medication coordination, documentation, and teams</w:t>
            </w:r>
          </w:p>
        </w:tc>
        <w:tc>
          <w:tcPr>
            <w:tcW w:type="dxa" w:w="3427"/>
            <w:tcMar>
              <w:top w:w="55" w:type="dxa"/>
              <w:start w:w="70" w:type="dxa"/>
              <w:bottom w:w="55" w:type="dxa"/>
              <w:end w:w="70" w:type="dxa"/>
            </w:tcMar>
          </w:tcPr>
          <w:p>
            <w:r>
              <w:rPr>
                <w:rFonts w:ascii="Arial" w:hAnsi="Arial"/>
                <w:color w:val="1F2937"/>
                <w:sz w:val="16"/>
              </w:rPr>
              <w:t>TEAM</w:t>
            </w:r>
          </w:p>
        </w:tc>
      </w:tr>
    </w:tbl>
    <w:p>
      <w:pPr>
        <w:spacing w:after="0"/>
      </w:pPr>
    </w:p>
    <w:p>
      <w:pPr>
        <w:pStyle w:val="Heading2"/>
        <w:keepNext/>
      </w:pPr>
      <w:r>
        <w:t>Program-Wide Decision Sequence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Decision Point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Ask Before Acting</w:t>
            </w:r>
          </w:p>
        </w:tc>
      </w:tr>
      <w:tr>
        <w:tc>
          <w:tcPr>
            <w:tcW w:type="dxa" w:w="5141"/>
            <w:tcMar>
              <w:top w:w="55" w:type="dxa"/>
              <w:start w:w="70" w:type="dxa"/>
              <w:bottom w:w="55" w:type="dxa"/>
              <w:end w:w="70" w:type="dxa"/>
            </w:tcMar>
          </w:tcPr>
          <w:p>
            <w:r>
              <w:rPr>
                <w:rFonts w:ascii="Arial" w:hAnsi="Arial"/>
                <w:color w:val="1F2937"/>
                <w:sz w:val="15"/>
              </w:rPr>
              <w:t>Direct service</w:t>
            </w:r>
          </w:p>
        </w:tc>
        <w:tc>
          <w:tcPr>
            <w:tcW w:type="dxa" w:w="5141"/>
            <w:tcMar>
              <w:top w:w="55" w:type="dxa"/>
              <w:start w:w="70" w:type="dxa"/>
              <w:bottom w:w="55" w:type="dxa"/>
              <w:end w:w="70" w:type="dxa"/>
            </w:tcMar>
          </w:tcPr>
          <w:p>
            <w:r>
              <w:rPr>
                <w:rFonts w:ascii="Arial" w:hAnsi="Arial"/>
                <w:color w:val="1F2937"/>
                <w:sz w:val="15"/>
              </w:rPr>
              <w:t>Can the current counselor and modality safely meet the defined need?</w:t>
            </w:r>
          </w:p>
        </w:tc>
      </w:tr>
      <w:tr>
        <w:tc>
          <w:tcPr>
            <w:tcW w:type="dxa" w:w="5141"/>
            <w:tcMar>
              <w:top w:w="55" w:type="dxa"/>
              <w:start w:w="70" w:type="dxa"/>
              <w:bottom w:w="55" w:type="dxa"/>
              <w:end w:w="70" w:type="dxa"/>
            </w:tcMar>
            <w:shd w:fill="F8FAFC"/>
          </w:tcPr>
          <w:p>
            <w:r>
              <w:rPr>
                <w:rFonts w:ascii="Arial" w:hAnsi="Arial"/>
                <w:color w:val="1F2937"/>
                <w:sz w:val="15"/>
              </w:rPr>
              <w:t>Group option</w:t>
            </w:r>
          </w:p>
        </w:tc>
        <w:tc>
          <w:tcPr>
            <w:tcW w:type="dxa" w:w="5141"/>
            <w:tcMar>
              <w:top w:w="55" w:type="dxa"/>
              <w:start w:w="70" w:type="dxa"/>
              <w:bottom w:w="55" w:type="dxa"/>
              <w:end w:w="70" w:type="dxa"/>
            </w:tcMar>
            <w:shd w:fill="F8FAFC"/>
          </w:tcPr>
          <w:p>
            <w:r>
              <w:rPr>
                <w:rFonts w:ascii="Arial" w:hAnsi="Arial"/>
                <w:color w:val="1F2937"/>
                <w:sz w:val="15"/>
              </w:rPr>
              <w:t>Does the group purpose, composition, structure, and privacy frame fit this client?</w:t>
            </w:r>
          </w:p>
        </w:tc>
      </w:tr>
      <w:tr>
        <w:tc>
          <w:tcPr>
            <w:tcW w:type="dxa" w:w="5141"/>
            <w:tcMar>
              <w:top w:w="55" w:type="dxa"/>
              <w:start w:w="70" w:type="dxa"/>
              <w:bottom w:w="55" w:type="dxa"/>
              <w:end w:w="70" w:type="dxa"/>
            </w:tcMar>
          </w:tcPr>
          <w:p>
            <w:r>
              <w:rPr>
                <w:rFonts w:ascii="Arial" w:hAnsi="Arial"/>
                <w:color w:val="1F2937"/>
                <w:sz w:val="15"/>
              </w:rPr>
              <w:t>Relational involvement</w:t>
            </w:r>
          </w:p>
        </w:tc>
        <w:tc>
          <w:tcPr>
            <w:tcW w:type="dxa" w:w="5141"/>
            <w:tcMar>
              <w:top w:w="55" w:type="dxa"/>
              <w:start w:w="70" w:type="dxa"/>
              <w:bottom w:w="55" w:type="dxa"/>
              <w:end w:w="70" w:type="dxa"/>
            </w:tcMar>
          </w:tcPr>
          <w:p>
            <w:r>
              <w:rPr>
                <w:rFonts w:ascii="Arial" w:hAnsi="Arial"/>
                <w:color w:val="1F2937"/>
                <w:sz w:val="15"/>
              </w:rPr>
              <w:t>Who is the client, is conjoint work safe, and is the counselor competent?</w:t>
            </w:r>
          </w:p>
        </w:tc>
      </w:tr>
      <w:tr>
        <w:tc>
          <w:tcPr>
            <w:tcW w:type="dxa" w:w="5141"/>
            <w:tcMar>
              <w:top w:w="55" w:type="dxa"/>
              <w:start w:w="70" w:type="dxa"/>
              <w:bottom w:w="55" w:type="dxa"/>
              <w:end w:w="70" w:type="dxa"/>
            </w:tcMar>
            <w:shd w:fill="F8FAFC"/>
          </w:tcPr>
          <w:p>
            <w:r>
              <w:rPr>
                <w:rFonts w:ascii="Arial" w:hAnsi="Arial"/>
                <w:color w:val="1F2937"/>
                <w:sz w:val="15"/>
              </w:rPr>
              <w:t>Referral / added service</w:t>
            </w:r>
          </w:p>
        </w:tc>
        <w:tc>
          <w:tcPr>
            <w:tcW w:type="dxa" w:w="5141"/>
            <w:tcMar>
              <w:top w:w="55" w:type="dxa"/>
              <w:start w:w="70" w:type="dxa"/>
              <w:bottom w:w="55" w:type="dxa"/>
              <w:end w:w="70" w:type="dxa"/>
            </w:tcMar>
            <w:shd w:fill="F8FAFC"/>
          </w:tcPr>
          <w:p>
            <w:r>
              <w:rPr>
                <w:rFonts w:ascii="Arial" w:hAnsi="Arial"/>
                <w:color w:val="1F2937"/>
                <w:sz w:val="15"/>
              </w:rPr>
              <w:t>What need remains unmet, how urgent is it, and what barrier could block connection?</w:t>
            </w:r>
          </w:p>
        </w:tc>
      </w:tr>
      <w:tr>
        <w:tc>
          <w:tcPr>
            <w:tcW w:type="dxa" w:w="5141"/>
            <w:tcMar>
              <w:top w:w="55" w:type="dxa"/>
              <w:start w:w="70" w:type="dxa"/>
              <w:bottom w:w="55" w:type="dxa"/>
              <w:end w:w="70" w:type="dxa"/>
            </w:tcMar>
          </w:tcPr>
          <w:p>
            <w:r>
              <w:rPr>
                <w:rFonts w:ascii="Arial" w:hAnsi="Arial"/>
                <w:color w:val="1F2937"/>
                <w:sz w:val="15"/>
              </w:rPr>
              <w:t>Team coordination</w:t>
            </w:r>
          </w:p>
        </w:tc>
        <w:tc>
          <w:tcPr>
            <w:tcW w:type="dxa" w:w="5141"/>
            <w:tcMar>
              <w:top w:w="55" w:type="dxa"/>
              <w:start w:w="70" w:type="dxa"/>
              <w:bottom w:w="55" w:type="dxa"/>
              <w:end w:w="70" w:type="dxa"/>
            </w:tcMar>
          </w:tcPr>
          <w:p>
            <w:r>
              <w:rPr>
                <w:rFonts w:ascii="Arial" w:hAnsi="Arial"/>
                <w:color w:val="1F2937"/>
                <w:sz w:val="15"/>
              </w:rPr>
              <w:t>What is the purpose, who has authority, what information is necessary, and who owns follow-up?</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BEFORE YOU CHOOSE AN ANSWER</w:t>
            </w:r>
          </w:p>
          <w:p>
            <w:pPr>
              <w:spacing w:after="0"/>
            </w:pPr>
            <w:r>
              <w:rPr>
                <w:rFonts w:ascii="Arial" w:hAnsi="Arial"/>
                <w:color w:val="1F2937"/>
                <w:sz w:val="18"/>
              </w:rPr>
              <w:t>Identify whether the question is asking for a modality decision, a process intervention, a scope/competence response, a referral step, or an indirect-care task. Then choose the action that is safest, least premature, and most connected to the client’s goals.</w:t>
            </w:r>
          </w:p>
        </w:tc>
      </w:tr>
    </w:tbl>
    <w:p>
      <w:pPr>
        <w:spacing w:after="0"/>
      </w:pP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1</w:t>
            </w:r>
          </w:p>
          <w:p>
            <w:pPr>
              <w:jc w:val="center"/>
            </w:pPr>
            <w:r>
              <w:rPr>
                <w:rFonts w:ascii="Arial" w:hAnsi="Arial"/>
                <w:b/>
                <w:color w:val="FFFFFF"/>
                <w:sz w:val="34"/>
              </w:rPr>
              <w:t>Modality Selection and Individual Counseling</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Choose the modality that best fits the clinical task; do not confuse familiar with appropriate.</w:t>
            </w:r>
          </w:p>
        </w:tc>
      </w:tr>
    </w:tbl>
    <w:p>
      <w:pPr>
        <w:spacing w:after="0"/>
      </w:pPr>
    </w:p>
    <w:p>
      <w:pPr>
        <w:spacing w:after="100"/>
      </w:pPr>
      <w:r>
        <w:rPr>
          <w:rFonts w:ascii="Arial" w:hAnsi="Arial"/>
          <w:b w:val="0"/>
          <w:i w:val="0"/>
          <w:color w:val="1F2937"/>
          <w:sz w:val="19"/>
        </w:rPr>
        <w:t>Individual counseling is often appropriate, but it is not the default answer to every problem. A strong exam response identifies the treatment target, safety needs, readiness, environmental constraints, relationship context, and whether the client needs a different or additional service.</w:t>
      </w:r>
    </w:p>
    <w:p>
      <w:pPr>
        <w:pStyle w:val="Heading2"/>
        <w:keepNext/>
      </w:pPr>
      <w:r>
        <w:t>The MODE Modality Selection Tool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Question to Ask</w:t>
            </w:r>
          </w:p>
        </w:tc>
      </w:tr>
      <w:tr>
        <w:tc>
          <w:tcPr>
            <w:tcW w:type="dxa" w:w="5141"/>
            <w:tcMar>
              <w:top w:w="55" w:type="dxa"/>
              <w:start w:w="70" w:type="dxa"/>
              <w:bottom w:w="55" w:type="dxa"/>
              <w:end w:w="70" w:type="dxa"/>
            </w:tcMar>
          </w:tcPr>
          <w:p>
            <w:r>
              <w:rPr>
                <w:rFonts w:ascii="Arial" w:hAnsi="Arial"/>
                <w:color w:val="1F2937"/>
                <w:sz w:val="16"/>
              </w:rPr>
              <w:t>M - Match the clinical target</w:t>
            </w:r>
          </w:p>
        </w:tc>
        <w:tc>
          <w:tcPr>
            <w:tcW w:type="dxa" w:w="5141"/>
            <w:tcMar>
              <w:top w:w="55" w:type="dxa"/>
              <w:start w:w="70" w:type="dxa"/>
              <w:bottom w:w="55" w:type="dxa"/>
              <w:end w:w="70" w:type="dxa"/>
            </w:tcMar>
          </w:tcPr>
          <w:p>
            <w:r>
              <w:rPr>
                <w:rFonts w:ascii="Arial" w:hAnsi="Arial"/>
                <w:color w:val="1F2937"/>
                <w:sz w:val="16"/>
              </w:rPr>
              <w:t>What specifically must change, stabilize, be assessed, or be supported?</w:t>
            </w:r>
          </w:p>
        </w:tc>
      </w:tr>
      <w:tr>
        <w:tc>
          <w:tcPr>
            <w:tcW w:type="dxa" w:w="5141"/>
            <w:tcMar>
              <w:top w:w="55" w:type="dxa"/>
              <w:start w:w="70" w:type="dxa"/>
              <w:bottom w:w="55" w:type="dxa"/>
              <w:end w:w="70" w:type="dxa"/>
            </w:tcMar>
            <w:shd w:fill="F8FAFC"/>
          </w:tcPr>
          <w:p>
            <w:r>
              <w:rPr>
                <w:rFonts w:ascii="Arial" w:hAnsi="Arial"/>
                <w:color w:val="1F2937"/>
                <w:sz w:val="16"/>
              </w:rPr>
              <w:t>O - Options and evidence</w:t>
            </w:r>
          </w:p>
        </w:tc>
        <w:tc>
          <w:tcPr>
            <w:tcW w:type="dxa" w:w="5141"/>
            <w:tcMar>
              <w:top w:w="55" w:type="dxa"/>
              <w:start w:w="70" w:type="dxa"/>
              <w:bottom w:w="55" w:type="dxa"/>
              <w:end w:w="70" w:type="dxa"/>
            </w:tcMar>
            <w:shd w:fill="F8FAFC"/>
          </w:tcPr>
          <w:p>
            <w:r>
              <w:rPr>
                <w:rFonts w:ascii="Arial" w:hAnsi="Arial"/>
                <w:color w:val="1F2937"/>
                <w:sz w:val="16"/>
              </w:rPr>
              <w:t>Which modalities or service combinations are reasonable for this target?</w:t>
            </w:r>
          </w:p>
        </w:tc>
      </w:tr>
      <w:tr>
        <w:tc>
          <w:tcPr>
            <w:tcW w:type="dxa" w:w="5141"/>
            <w:tcMar>
              <w:top w:w="55" w:type="dxa"/>
              <w:start w:w="70" w:type="dxa"/>
              <w:bottom w:w="55" w:type="dxa"/>
              <w:end w:w="70" w:type="dxa"/>
            </w:tcMar>
          </w:tcPr>
          <w:p>
            <w:r>
              <w:rPr>
                <w:rFonts w:ascii="Arial" w:hAnsi="Arial"/>
                <w:color w:val="1F2937"/>
                <w:sz w:val="16"/>
              </w:rPr>
              <w:t>D - Data, danger, and readiness</w:t>
            </w:r>
          </w:p>
        </w:tc>
        <w:tc>
          <w:tcPr>
            <w:tcW w:type="dxa" w:w="5141"/>
            <w:tcMar>
              <w:top w:w="55" w:type="dxa"/>
              <w:start w:w="70" w:type="dxa"/>
              <w:bottom w:w="55" w:type="dxa"/>
              <w:end w:w="70" w:type="dxa"/>
            </w:tcMar>
          </w:tcPr>
          <w:p>
            <w:r>
              <w:rPr>
                <w:rFonts w:ascii="Arial" w:hAnsi="Arial"/>
                <w:color w:val="1F2937"/>
                <w:sz w:val="16"/>
              </w:rPr>
              <w:t>What do safety, diagnosis, functioning, motivation, prior response, and client preference indicate?</w:t>
            </w:r>
          </w:p>
        </w:tc>
      </w:tr>
      <w:tr>
        <w:tc>
          <w:tcPr>
            <w:tcW w:type="dxa" w:w="5141"/>
            <w:tcMar>
              <w:top w:w="55" w:type="dxa"/>
              <w:start w:w="70" w:type="dxa"/>
              <w:bottom w:w="55" w:type="dxa"/>
              <w:end w:w="70" w:type="dxa"/>
            </w:tcMar>
            <w:shd w:fill="F8FAFC"/>
          </w:tcPr>
          <w:p>
            <w:r>
              <w:rPr>
                <w:rFonts w:ascii="Arial" w:hAnsi="Arial"/>
                <w:color w:val="1F2937"/>
                <w:sz w:val="16"/>
              </w:rPr>
              <w:t>E - Environment, equity, and feasibility</w:t>
            </w:r>
          </w:p>
        </w:tc>
        <w:tc>
          <w:tcPr>
            <w:tcW w:type="dxa" w:w="5141"/>
            <w:tcMar>
              <w:top w:w="55" w:type="dxa"/>
              <w:start w:w="70" w:type="dxa"/>
              <w:bottom w:w="55" w:type="dxa"/>
              <w:end w:w="70" w:type="dxa"/>
            </w:tcMar>
            <w:shd w:fill="F8FAFC"/>
          </w:tcPr>
          <w:p>
            <w:r>
              <w:rPr>
                <w:rFonts w:ascii="Arial" w:hAnsi="Arial"/>
                <w:color w:val="1F2937"/>
                <w:sz w:val="16"/>
              </w:rPr>
              <w:t>Can the client access, tolerate, afford, attend, and meaningfully use the option?</w:t>
            </w:r>
          </w:p>
        </w:tc>
      </w:tr>
    </w:tbl>
    <w:p>
      <w:pPr>
        <w:spacing w:after="0"/>
      </w:pPr>
    </w:p>
    <w:p>
      <w:pPr>
        <w:pStyle w:val="Heading2"/>
        <w:keepNext/>
      </w:pPr>
      <w:r>
        <w:t>When Individual Counseling Is a Strong Fit</w:t>
      </w:r>
    </w:p>
    <w:p>
      <w:pPr>
        <w:pStyle w:val="ListBullet"/>
        <w:spacing w:after="56"/>
      </w:pPr>
      <w:r>
        <w:t>The primary goals involve private exploration, symptom management, behavior change, trauma processing after adequate preparation, or individualized skills practice.</w:t>
      </w:r>
    </w:p>
    <w:p>
      <w:pPr>
        <w:pStyle w:val="ListBullet"/>
        <w:spacing w:after="56"/>
      </w:pPr>
      <w:r>
        <w:t>The client prefers individual work and can participate safely and consistently.</w:t>
      </w:r>
    </w:p>
    <w:p>
      <w:pPr>
        <w:pStyle w:val="ListBullet"/>
        <w:spacing w:after="56"/>
      </w:pPr>
      <w:r>
        <w:t>The counselor has competence in the presenting concern and intervention, and the chosen approach fits the client’s culture, development, language, disability, and access needs.</w:t>
      </w:r>
    </w:p>
    <w:p>
      <w:pPr>
        <w:pStyle w:val="ListBullet"/>
        <w:spacing w:after="56"/>
      </w:pPr>
      <w:r>
        <w:t>Progress can be monitored through agreed functional, symptom, behavioral, or relational indicators.</w:t>
      </w:r>
    </w:p>
    <w:p>
      <w:pPr>
        <w:pStyle w:val="ListBullet"/>
        <w:spacing w:after="56"/>
      </w:pPr>
      <w:r>
        <w:t>Other services are added when the client also needs medication evaluation, medical care, case coordination, group support, family involvement, or a higher level of care.</w:t>
      </w:r>
    </w:p>
    <w:tbl>
      <w:tblPr>
        <w:tblW w:type="auto" w:w="0"/>
        <w:jc w:val="center"/>
        <w:tblLayout w:type="autofit"/>
        <w:tblLook w:firstColumn="1" w:firstRow="1" w:lastColumn="0" w:lastRow="0" w:noHBand="0" w:noVBand="1" w:val="04A0"/>
      </w:tblPr>
      <w:tblGrid>
        <w:gridCol w:w="10282"/>
      </w:tblGrid>
      <w:tr>
        <w:tc>
          <w:tcPr>
            <w:tcW w:type="dxa" w:w="10282"/>
            <w:shd w:fill="FBE9E7"/>
            <w:tcBorders>
              <w:top w:val="single" w:sz="8" w:color="B42318"/>
              <w:left w:val="single" w:sz="8" w:color="B42318"/>
              <w:bottom w:val="single" w:sz="8" w:color="B42318"/>
              <w:right w:val="single" w:sz="8" w:color="B42318"/>
            </w:tcBorders>
            <w:tcMar>
              <w:top w:w="90" w:type="dxa"/>
              <w:start w:w="120" w:type="dxa"/>
              <w:bottom w:w="90" w:type="dxa"/>
              <w:end w:w="120" w:type="dxa"/>
            </w:tcMar>
          </w:tcPr>
          <w:p>
            <w:pPr>
              <w:spacing w:after="40"/>
            </w:pPr>
            <w:r>
              <w:rPr>
                <w:rFonts w:ascii="Arial" w:hAnsi="Arial"/>
                <w:b/>
                <w:color w:val="17365D"/>
                <w:sz w:val="19"/>
              </w:rPr>
              <w:t>COMMON TRAP</w:t>
            </w:r>
          </w:p>
          <w:p>
            <w:pPr>
              <w:spacing w:after="0"/>
            </w:pPr>
            <w:r>
              <w:rPr>
                <w:rFonts w:ascii="Arial" w:hAnsi="Arial"/>
                <w:color w:val="1F2937"/>
                <w:sz w:val="18"/>
              </w:rPr>
              <w:t>“The client has a relationship problem, so bring in the partner” is premature. First clarify the client’s goals, safety, consent, the potential effects of involving another person, and whether the counselor is competent to provide relational treatment.</w:t>
            </w:r>
          </w:p>
        </w:tc>
      </w:tr>
    </w:tbl>
    <w:p>
      <w:pPr>
        <w:spacing w:after="0"/>
      </w:pPr>
    </w:p>
    <w:p>
      <w:r>
        <w:br w:type="page"/>
      </w:r>
    </w:p>
    <w:p>
      <w:pPr>
        <w:pStyle w:val="Heading2"/>
        <w:keepNext/>
      </w:pPr>
      <w:r>
        <w:t>Individual Counseling and Adjunctive Services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Primary Need</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Individual Counseling Role</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Possible Adjunct</w:t>
            </w:r>
          </w:p>
        </w:tc>
      </w:tr>
      <w:tr>
        <w:tc>
          <w:tcPr>
            <w:tcW w:type="dxa" w:w="3427"/>
            <w:tcMar>
              <w:top w:w="55" w:type="dxa"/>
              <w:start w:w="70" w:type="dxa"/>
              <w:bottom w:w="55" w:type="dxa"/>
              <w:end w:w="70" w:type="dxa"/>
            </w:tcMar>
          </w:tcPr>
          <w:p>
            <w:r>
              <w:rPr>
                <w:rFonts w:ascii="Arial" w:hAnsi="Arial"/>
                <w:color w:val="1F2937"/>
                <w:sz w:val="15"/>
              </w:rPr>
              <w:t>Private symptom or behavior change</w:t>
            </w:r>
          </w:p>
        </w:tc>
        <w:tc>
          <w:tcPr>
            <w:tcW w:type="dxa" w:w="3427"/>
            <w:tcMar>
              <w:top w:w="55" w:type="dxa"/>
              <w:start w:w="70" w:type="dxa"/>
              <w:bottom w:w="55" w:type="dxa"/>
              <w:end w:w="70" w:type="dxa"/>
            </w:tcMar>
          </w:tcPr>
          <w:p>
            <w:r>
              <w:rPr>
                <w:rFonts w:ascii="Arial" w:hAnsi="Arial"/>
                <w:color w:val="1F2937"/>
                <w:sz w:val="15"/>
              </w:rPr>
              <w:t>Assessment, formulation, skills, exposure, processing, monitoring</w:t>
            </w:r>
          </w:p>
        </w:tc>
        <w:tc>
          <w:tcPr>
            <w:tcW w:type="dxa" w:w="3427"/>
            <w:tcMar>
              <w:top w:w="55" w:type="dxa"/>
              <w:start w:w="70" w:type="dxa"/>
              <w:bottom w:w="55" w:type="dxa"/>
              <w:end w:w="70" w:type="dxa"/>
            </w:tcMar>
          </w:tcPr>
          <w:p>
            <w:r>
              <w:rPr>
                <w:rFonts w:ascii="Arial" w:hAnsi="Arial"/>
                <w:color w:val="1F2937"/>
                <w:sz w:val="15"/>
              </w:rPr>
              <w:t>Medication, medical care, group, peer support, or community resource</w:t>
            </w:r>
          </w:p>
        </w:tc>
      </w:tr>
      <w:tr>
        <w:tc>
          <w:tcPr>
            <w:tcW w:type="dxa" w:w="3427"/>
            <w:tcMar>
              <w:top w:w="55" w:type="dxa"/>
              <w:start w:w="70" w:type="dxa"/>
              <w:bottom w:w="55" w:type="dxa"/>
              <w:end w:w="70" w:type="dxa"/>
            </w:tcMar>
            <w:shd w:fill="F8FAFC"/>
          </w:tcPr>
          <w:p>
            <w:r>
              <w:rPr>
                <w:rFonts w:ascii="Arial" w:hAnsi="Arial"/>
                <w:color w:val="1F2937"/>
                <w:sz w:val="15"/>
              </w:rPr>
              <w:t>Interpersonal pattern</w:t>
            </w:r>
          </w:p>
        </w:tc>
        <w:tc>
          <w:tcPr>
            <w:tcW w:type="dxa" w:w="3427"/>
            <w:tcMar>
              <w:top w:w="55" w:type="dxa"/>
              <w:start w:w="70" w:type="dxa"/>
              <w:bottom w:w="55" w:type="dxa"/>
              <w:end w:w="70" w:type="dxa"/>
            </w:tcMar>
            <w:shd w:fill="F8FAFC"/>
          </w:tcPr>
          <w:p>
            <w:r>
              <w:rPr>
                <w:rFonts w:ascii="Arial" w:hAnsi="Arial"/>
                <w:color w:val="1F2937"/>
                <w:sz w:val="15"/>
              </w:rPr>
              <w:t>Clarify client goals, safety, contributions, boundaries, and readiness</w:t>
            </w:r>
          </w:p>
        </w:tc>
        <w:tc>
          <w:tcPr>
            <w:tcW w:type="dxa" w:w="3427"/>
            <w:tcMar>
              <w:top w:w="55" w:type="dxa"/>
              <w:start w:w="70" w:type="dxa"/>
              <w:bottom w:w="55" w:type="dxa"/>
              <w:end w:w="70" w:type="dxa"/>
            </w:tcMar>
            <w:shd w:fill="F8FAFC"/>
          </w:tcPr>
          <w:p>
            <w:r>
              <w:rPr>
                <w:rFonts w:ascii="Arial" w:hAnsi="Arial"/>
                <w:color w:val="1F2937"/>
                <w:sz w:val="15"/>
              </w:rPr>
              <w:t>Couple/family or group work when safe, desired, and within competence</w:t>
            </w:r>
          </w:p>
        </w:tc>
      </w:tr>
      <w:tr>
        <w:tc>
          <w:tcPr>
            <w:tcW w:type="dxa" w:w="3427"/>
            <w:tcMar>
              <w:top w:w="55" w:type="dxa"/>
              <w:start w:w="70" w:type="dxa"/>
              <w:bottom w:w="55" w:type="dxa"/>
              <w:end w:w="70" w:type="dxa"/>
            </w:tcMar>
          </w:tcPr>
          <w:p>
            <w:r>
              <w:rPr>
                <w:rFonts w:ascii="Arial" w:hAnsi="Arial"/>
                <w:color w:val="1F2937"/>
                <w:sz w:val="15"/>
              </w:rPr>
              <w:t>Functional or environmental barrier</w:t>
            </w:r>
          </w:p>
        </w:tc>
        <w:tc>
          <w:tcPr>
            <w:tcW w:type="dxa" w:w="3427"/>
            <w:tcMar>
              <w:top w:w="55" w:type="dxa"/>
              <w:start w:w="70" w:type="dxa"/>
              <w:bottom w:w="55" w:type="dxa"/>
              <w:end w:w="70" w:type="dxa"/>
            </w:tcMar>
          </w:tcPr>
          <w:p>
            <w:r>
              <w:rPr>
                <w:rFonts w:ascii="Arial" w:hAnsi="Arial"/>
                <w:color w:val="1F2937"/>
                <w:sz w:val="15"/>
              </w:rPr>
              <w:t>Support coping, problem solving, self-advocacy, and treatment engagement</w:t>
            </w:r>
          </w:p>
        </w:tc>
        <w:tc>
          <w:tcPr>
            <w:tcW w:type="dxa" w:w="3427"/>
            <w:tcMar>
              <w:top w:w="55" w:type="dxa"/>
              <w:start w:w="70" w:type="dxa"/>
              <w:bottom w:w="55" w:type="dxa"/>
              <w:end w:w="70" w:type="dxa"/>
            </w:tcMar>
          </w:tcPr>
          <w:p>
            <w:r>
              <w:rPr>
                <w:rFonts w:ascii="Arial" w:hAnsi="Arial"/>
                <w:color w:val="1F2937"/>
                <w:sz w:val="15"/>
              </w:rPr>
              <w:t>Case coordination, disability support, vocational, school, housing, or benefits resource</w:t>
            </w:r>
          </w:p>
        </w:tc>
      </w:tr>
    </w:tbl>
    <w:p>
      <w:pPr>
        <w:spacing w:after="0"/>
      </w:pPr>
    </w:p>
    <w:p>
      <w:pPr>
        <w:pStyle w:val="Heading2"/>
        <w:keepNext/>
      </w:pPr>
      <w:r>
        <w:t>Clinical Resource Toolkit: MODE Decision Grid</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65D"/>
            <w:vAlign w:val="center"/>
            <w:tcMar>
              <w:top w:w="70" w:type="dxa"/>
              <w:start w:w="75" w:type="dxa"/>
              <w:bottom w:w="70" w:type="dxa"/>
              <w:end w:w="75" w:type="dxa"/>
            </w:tcMar>
          </w:tcPr>
          <w:p>
            <w:pPr>
              <w:jc w:val="center"/>
            </w:pPr>
            <w:r>
              <w:rPr>
                <w:rFonts w:ascii="Arial" w:hAnsi="Arial"/>
                <w:b/>
                <w:color w:val="FFFFFF"/>
                <w:sz w:val="16"/>
              </w:rPr>
              <w:t>Clinical Target</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Candidate Modalities</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Fit / Risk / Access Evidence</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Best Initial Plan</w:t>
            </w:r>
          </w:p>
        </w:tc>
      </w:tr>
      <w:tr>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r>
      <w:tr>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r>
      <w:tr>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r>
    </w:tbl>
    <w:p>
      <w:pPr>
        <w:spacing w:after="0"/>
      </w:pPr>
    </w:p>
    <w:p>
      <w:pPr>
        <w:pStyle w:val="Heading2"/>
        <w:keepNext/>
      </w:pPr>
      <w:r>
        <w:t>Chapter Summary</w:t>
      </w:r>
    </w:p>
    <w:p>
      <w:pPr>
        <w:pStyle w:val="ListBullet"/>
        <w:spacing w:after="36"/>
      </w:pPr>
      <w:r>
        <w:t>Modality follows the clinical task, not counselor habit.</w:t>
      </w:r>
    </w:p>
    <w:p>
      <w:pPr>
        <w:pStyle w:val="ListBullet"/>
        <w:spacing w:after="36"/>
      </w:pPr>
      <w:r>
        <w:t>Individual counseling may be primary, adjunctive, transitional, or inappropriate depending on safety, readiness, access, and needed expertise.</w:t>
      </w:r>
    </w:p>
    <w:p>
      <w:pPr>
        <w:pStyle w:val="ListBullet"/>
        <w:spacing w:after="36"/>
      </w:pPr>
      <w:r>
        <w:t>A multimodal plan can be more appropriate than forcing one service to meet every need.</w:t>
      </w:r>
    </w:p>
    <w:p>
      <w:pPr>
        <w:pStyle w:val="ListBullet"/>
        <w:spacing w:after="36"/>
      </w:pPr>
      <w:r>
        <w:t>Client preference matters, but informed preference requires an understandable discussion of options, benefits, risks, and alternatives.</w:t>
      </w:r>
    </w:p>
    <w:p>
      <w:pPr>
        <w:pStyle w:val="ListBullet"/>
        <w:spacing w:after="36"/>
      </w:pPr>
      <w:r>
        <w:t>Document why the selected modality is clinically appropriate and what would trigger revision, consultation, or referral.</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2</w:t>
            </w:r>
          </w:p>
          <w:p>
            <w:pPr>
              <w:jc w:val="center"/>
            </w:pPr>
            <w:r>
              <w:rPr>
                <w:rFonts w:ascii="Arial" w:hAnsi="Arial"/>
                <w:b/>
                <w:color w:val="FFFFFF"/>
                <w:sz w:val="34"/>
              </w:rPr>
              <w:t>Group Screening, Process, Leadership, and Termination</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A group is a treatment environment with its own risks, relationships, norms, and therapeutic mechanisms.</w:t>
            </w:r>
          </w:p>
        </w:tc>
      </w:tr>
    </w:tbl>
    <w:p>
      <w:pPr>
        <w:spacing w:after="0"/>
      </w:pPr>
    </w:p>
    <w:p>
      <w:pPr>
        <w:spacing w:after="100"/>
      </w:pPr>
      <w:r>
        <w:rPr>
          <w:rFonts w:ascii="Arial" w:hAnsi="Arial"/>
          <w:b w:val="0"/>
          <w:i w:val="0"/>
          <w:color w:val="1F2937"/>
          <w:sz w:val="19"/>
        </w:rPr>
        <w:t>Group counseling can provide universality, interpersonal learning, feedback, skills rehearsal, belonging, accountability, and efficient access to care. Effective group practice begins before the first meeting through screening, orientation, informed consent, and fit assessment.</w:t>
      </w:r>
    </w:p>
    <w:p>
      <w:pPr>
        <w:pStyle w:val="Heading2"/>
        <w:keepNext/>
      </w:pPr>
      <w:r>
        <w:t>The GROUP Practice Sequence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Counselor Task</w:t>
            </w:r>
          </w:p>
        </w:tc>
      </w:tr>
      <w:tr>
        <w:tc>
          <w:tcPr>
            <w:tcW w:type="dxa" w:w="5141"/>
            <w:tcMar>
              <w:top w:w="55" w:type="dxa"/>
              <w:start w:w="70" w:type="dxa"/>
              <w:bottom w:w="55" w:type="dxa"/>
              <w:end w:w="70" w:type="dxa"/>
            </w:tcMar>
          </w:tcPr>
          <w:p>
            <w:r>
              <w:rPr>
                <w:rFonts w:ascii="Arial" w:hAnsi="Arial"/>
                <w:color w:val="1F2937"/>
                <w:sz w:val="16"/>
              </w:rPr>
              <w:t>G - Goals and group purpose</w:t>
            </w:r>
          </w:p>
        </w:tc>
        <w:tc>
          <w:tcPr>
            <w:tcW w:type="dxa" w:w="5141"/>
            <w:tcMar>
              <w:top w:w="55" w:type="dxa"/>
              <w:start w:w="70" w:type="dxa"/>
              <w:bottom w:w="55" w:type="dxa"/>
              <w:end w:w="70" w:type="dxa"/>
            </w:tcMar>
          </w:tcPr>
          <w:p>
            <w:r>
              <w:rPr>
                <w:rFonts w:ascii="Arial" w:hAnsi="Arial"/>
                <w:color w:val="1F2937"/>
                <w:sz w:val="16"/>
              </w:rPr>
              <w:t>Define the population, clinical purpose, structure, inclusion criteria, and expected outcomes.</w:t>
            </w:r>
          </w:p>
        </w:tc>
      </w:tr>
      <w:tr>
        <w:tc>
          <w:tcPr>
            <w:tcW w:type="dxa" w:w="5141"/>
            <w:tcMar>
              <w:top w:w="55" w:type="dxa"/>
              <w:start w:w="70" w:type="dxa"/>
              <w:bottom w:w="55" w:type="dxa"/>
              <w:end w:w="70" w:type="dxa"/>
            </w:tcMar>
            <w:shd w:fill="F8FAFC"/>
          </w:tcPr>
          <w:p>
            <w:r>
              <w:rPr>
                <w:rFonts w:ascii="Arial" w:hAnsi="Arial"/>
                <w:color w:val="1F2937"/>
                <w:sz w:val="16"/>
              </w:rPr>
              <w:t>R - Readiness and risk screening</w:t>
            </w:r>
          </w:p>
        </w:tc>
        <w:tc>
          <w:tcPr>
            <w:tcW w:type="dxa" w:w="5141"/>
            <w:tcMar>
              <w:top w:w="55" w:type="dxa"/>
              <w:start w:w="70" w:type="dxa"/>
              <w:bottom w:w="55" w:type="dxa"/>
              <w:end w:w="70" w:type="dxa"/>
            </w:tcMar>
            <w:shd w:fill="F8FAFC"/>
          </w:tcPr>
          <w:p>
            <w:r>
              <w:rPr>
                <w:rFonts w:ascii="Arial" w:hAnsi="Arial"/>
                <w:color w:val="1F2937"/>
                <w:sz w:val="16"/>
              </w:rPr>
              <w:t>Assess motivation, stability, interpersonal behavior, communication needs, safety, and whether the client can use the format.</w:t>
            </w:r>
          </w:p>
        </w:tc>
      </w:tr>
      <w:tr>
        <w:tc>
          <w:tcPr>
            <w:tcW w:type="dxa" w:w="5141"/>
            <w:tcMar>
              <w:top w:w="55" w:type="dxa"/>
              <w:start w:w="70" w:type="dxa"/>
              <w:bottom w:w="55" w:type="dxa"/>
              <w:end w:w="70" w:type="dxa"/>
            </w:tcMar>
          </w:tcPr>
          <w:p>
            <w:r>
              <w:rPr>
                <w:rFonts w:ascii="Arial" w:hAnsi="Arial"/>
                <w:color w:val="1F2937"/>
                <w:sz w:val="16"/>
              </w:rPr>
              <w:t>O - Orientation and informed consent</w:t>
            </w:r>
          </w:p>
        </w:tc>
        <w:tc>
          <w:tcPr>
            <w:tcW w:type="dxa" w:w="5141"/>
            <w:tcMar>
              <w:top w:w="55" w:type="dxa"/>
              <w:start w:w="70" w:type="dxa"/>
              <w:bottom w:w="55" w:type="dxa"/>
              <w:end w:w="70" w:type="dxa"/>
            </w:tcMar>
          </w:tcPr>
          <w:p>
            <w:r>
              <w:rPr>
                <w:rFonts w:ascii="Arial" w:hAnsi="Arial"/>
                <w:color w:val="1F2937"/>
                <w:sz w:val="16"/>
              </w:rPr>
              <w:t>Explain expectations, attendance, participation, privacy limits, member responsibilities, technology, and emergency procedures.</w:t>
            </w:r>
          </w:p>
        </w:tc>
      </w:tr>
      <w:tr>
        <w:tc>
          <w:tcPr>
            <w:tcW w:type="dxa" w:w="5141"/>
            <w:tcMar>
              <w:top w:w="55" w:type="dxa"/>
              <w:start w:w="70" w:type="dxa"/>
              <w:bottom w:w="55" w:type="dxa"/>
              <w:end w:w="70" w:type="dxa"/>
            </w:tcMar>
            <w:shd w:fill="F8FAFC"/>
          </w:tcPr>
          <w:p>
            <w:r>
              <w:rPr>
                <w:rFonts w:ascii="Arial" w:hAnsi="Arial"/>
                <w:color w:val="1F2937"/>
                <w:sz w:val="16"/>
              </w:rPr>
              <w:t>U - Understand process</w:t>
            </w:r>
          </w:p>
        </w:tc>
        <w:tc>
          <w:tcPr>
            <w:tcW w:type="dxa" w:w="5141"/>
            <w:tcMar>
              <w:top w:w="55" w:type="dxa"/>
              <w:start w:w="70" w:type="dxa"/>
              <w:bottom w:w="55" w:type="dxa"/>
              <w:end w:w="70" w:type="dxa"/>
            </w:tcMar>
            <w:shd w:fill="F8FAFC"/>
          </w:tcPr>
          <w:p>
            <w:r>
              <w:rPr>
                <w:rFonts w:ascii="Arial" w:hAnsi="Arial"/>
                <w:color w:val="1F2937"/>
                <w:sz w:val="16"/>
              </w:rPr>
              <w:t>Track cohesion, norms, roles, power, conflict, silence, monopolizing, scapegoating, subgroups, and cultural dynamics.</w:t>
            </w:r>
          </w:p>
        </w:tc>
      </w:tr>
      <w:tr>
        <w:tc>
          <w:tcPr>
            <w:tcW w:type="dxa" w:w="5141"/>
            <w:tcMar>
              <w:top w:w="55" w:type="dxa"/>
              <w:start w:w="70" w:type="dxa"/>
              <w:bottom w:w="55" w:type="dxa"/>
              <w:end w:w="70" w:type="dxa"/>
            </w:tcMar>
          </w:tcPr>
          <w:p>
            <w:r>
              <w:rPr>
                <w:rFonts w:ascii="Arial" w:hAnsi="Arial"/>
                <w:color w:val="1F2937"/>
                <w:sz w:val="16"/>
              </w:rPr>
              <w:t>P - Promote progress and planned endings</w:t>
            </w:r>
          </w:p>
        </w:tc>
        <w:tc>
          <w:tcPr>
            <w:tcW w:type="dxa" w:w="5141"/>
            <w:tcMar>
              <w:top w:w="55" w:type="dxa"/>
              <w:start w:w="70" w:type="dxa"/>
              <w:bottom w:w="55" w:type="dxa"/>
              <w:end w:w="70" w:type="dxa"/>
            </w:tcMar>
          </w:tcPr>
          <w:p>
            <w:r>
              <w:rPr>
                <w:rFonts w:ascii="Arial" w:hAnsi="Arial"/>
                <w:color w:val="1F2937"/>
                <w:sz w:val="16"/>
              </w:rPr>
              <w:t>Use interventions tied to purpose, evaluate outcomes, prepare transitions, and address termination openly.</w:t>
            </w:r>
          </w:p>
        </w:tc>
      </w:tr>
    </w:tbl>
    <w:p>
      <w:pPr>
        <w:spacing w:after="0"/>
      </w:pPr>
    </w:p>
    <w:p>
      <w:pPr>
        <w:pStyle w:val="Heading2"/>
        <w:keepNext/>
      </w:pPr>
      <w:r>
        <w:t>Screening Is Not Exclusion by Convenience</w:t>
      </w:r>
    </w:p>
    <w:p>
      <w:pPr>
        <w:pStyle w:val="ListBullet"/>
        <w:spacing w:after="56"/>
      </w:pPr>
      <w:r>
        <w:t>Determine whether the group can safely and effectively meet the client’s needs; do not use screening to avoid accommodations or unfamiliar identities.</w:t>
      </w:r>
    </w:p>
    <w:p>
      <w:pPr>
        <w:pStyle w:val="ListBullet"/>
        <w:spacing w:after="56"/>
      </w:pPr>
      <w:r>
        <w:t>Assess acute risk, severe instability, intoxication or withdrawal, cognitive or communication barriers, disruptive behavior, and interpersonal patterns in relation to the specific group—not as automatic exclusions.</w:t>
      </w:r>
    </w:p>
    <w:p>
      <w:pPr>
        <w:pStyle w:val="ListBullet"/>
        <w:spacing w:after="56"/>
      </w:pPr>
      <w:r>
        <w:t>Consider preparatory individual sessions, accessibility supports, modified expectations, co-leadership, or another group rather than a simple rejection.</w:t>
      </w:r>
    </w:p>
    <w:p>
      <w:pPr>
        <w:pStyle w:val="ListBullet"/>
        <w:spacing w:after="56"/>
      </w:pPr>
      <w:r>
        <w:t>Clarify whether the group is open or closed, psychoeducational or process-oriented, time-limited or ongoing, voluntary or required, in person or virtual.</w:t>
      </w:r>
    </w:p>
    <w:p>
      <w:pPr>
        <w:pStyle w:val="Heading2"/>
        <w:keepNext/>
      </w:pPr>
      <w:r>
        <w:t>Leadership Responses to Common Process Events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Event</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Best Initial Leadership Direction</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Avoid</w:t>
            </w:r>
          </w:p>
        </w:tc>
      </w:tr>
      <w:tr>
        <w:tc>
          <w:tcPr>
            <w:tcW w:type="dxa" w:w="3427"/>
            <w:tcMar>
              <w:top w:w="55" w:type="dxa"/>
              <w:start w:w="70" w:type="dxa"/>
              <w:bottom w:w="55" w:type="dxa"/>
              <w:end w:w="70" w:type="dxa"/>
            </w:tcMar>
          </w:tcPr>
          <w:p>
            <w:r>
              <w:rPr>
                <w:rFonts w:ascii="Arial" w:hAnsi="Arial"/>
                <w:color w:val="1F2937"/>
                <w:sz w:val="15"/>
              </w:rPr>
              <w:t>One member monopolizes</w:t>
            </w:r>
          </w:p>
        </w:tc>
        <w:tc>
          <w:tcPr>
            <w:tcW w:type="dxa" w:w="3427"/>
            <w:tcMar>
              <w:top w:w="55" w:type="dxa"/>
              <w:start w:w="70" w:type="dxa"/>
              <w:bottom w:w="55" w:type="dxa"/>
              <w:end w:w="70" w:type="dxa"/>
            </w:tcMar>
          </w:tcPr>
          <w:p>
            <w:r>
              <w:rPr>
                <w:rFonts w:ascii="Arial" w:hAnsi="Arial"/>
                <w:color w:val="1F2937"/>
                <w:sz w:val="15"/>
              </w:rPr>
              <w:t>Name the pattern respectfully, protect airtime, reconnect to group purpose, and invite broader participation.</w:t>
            </w:r>
          </w:p>
        </w:tc>
        <w:tc>
          <w:tcPr>
            <w:tcW w:type="dxa" w:w="3427"/>
            <w:tcMar>
              <w:top w:w="55" w:type="dxa"/>
              <w:start w:w="70" w:type="dxa"/>
              <w:bottom w:w="55" w:type="dxa"/>
              <w:end w:w="70" w:type="dxa"/>
            </w:tcMar>
          </w:tcPr>
          <w:p>
            <w:r>
              <w:rPr>
                <w:rFonts w:ascii="Arial" w:hAnsi="Arial"/>
                <w:color w:val="1F2937"/>
                <w:sz w:val="15"/>
              </w:rPr>
              <w:t>Public shaming or ignoring the pattern.</w:t>
            </w:r>
          </w:p>
        </w:tc>
      </w:tr>
      <w:tr>
        <w:tc>
          <w:tcPr>
            <w:tcW w:type="dxa" w:w="3427"/>
            <w:tcMar>
              <w:top w:w="55" w:type="dxa"/>
              <w:start w:w="70" w:type="dxa"/>
              <w:bottom w:w="55" w:type="dxa"/>
              <w:end w:w="70" w:type="dxa"/>
            </w:tcMar>
            <w:shd w:fill="F8FAFC"/>
          </w:tcPr>
          <w:p>
            <w:r>
              <w:rPr>
                <w:rFonts w:ascii="Arial" w:hAnsi="Arial"/>
                <w:color w:val="1F2937"/>
                <w:sz w:val="15"/>
              </w:rPr>
              <w:t>A member is silent</w:t>
            </w:r>
          </w:p>
        </w:tc>
        <w:tc>
          <w:tcPr>
            <w:tcW w:type="dxa" w:w="3427"/>
            <w:tcMar>
              <w:top w:w="55" w:type="dxa"/>
              <w:start w:w="70" w:type="dxa"/>
              <w:bottom w:w="55" w:type="dxa"/>
              <w:end w:w="70" w:type="dxa"/>
            </w:tcMar>
            <w:shd w:fill="F8FAFC"/>
          </w:tcPr>
          <w:p>
            <w:r>
              <w:rPr>
                <w:rFonts w:ascii="Arial" w:hAnsi="Arial"/>
                <w:color w:val="1F2937"/>
                <w:sz w:val="15"/>
              </w:rPr>
              <w:t>Explore privately or gently in group, normalize varying participation, and invite without coercion.</w:t>
            </w:r>
          </w:p>
        </w:tc>
        <w:tc>
          <w:tcPr>
            <w:tcW w:type="dxa" w:w="3427"/>
            <w:tcMar>
              <w:top w:w="55" w:type="dxa"/>
              <w:start w:w="70" w:type="dxa"/>
              <w:bottom w:w="55" w:type="dxa"/>
              <w:end w:w="70" w:type="dxa"/>
            </w:tcMar>
            <w:shd w:fill="F8FAFC"/>
          </w:tcPr>
          <w:p>
            <w:r>
              <w:rPr>
                <w:rFonts w:ascii="Arial" w:hAnsi="Arial"/>
                <w:color w:val="1F2937"/>
                <w:sz w:val="15"/>
              </w:rPr>
              <w:t>Demanding disclosure.</w:t>
            </w:r>
          </w:p>
        </w:tc>
      </w:tr>
      <w:tr>
        <w:tc>
          <w:tcPr>
            <w:tcW w:type="dxa" w:w="3427"/>
            <w:tcMar>
              <w:top w:w="55" w:type="dxa"/>
              <w:start w:w="70" w:type="dxa"/>
              <w:bottom w:w="55" w:type="dxa"/>
              <w:end w:w="70" w:type="dxa"/>
            </w:tcMar>
          </w:tcPr>
          <w:p>
            <w:r>
              <w:rPr>
                <w:rFonts w:ascii="Arial" w:hAnsi="Arial"/>
                <w:color w:val="1F2937"/>
                <w:sz w:val="15"/>
              </w:rPr>
              <w:t>Conflict escalates</w:t>
            </w:r>
          </w:p>
        </w:tc>
        <w:tc>
          <w:tcPr>
            <w:tcW w:type="dxa" w:w="3427"/>
            <w:tcMar>
              <w:top w:w="55" w:type="dxa"/>
              <w:start w:w="70" w:type="dxa"/>
              <w:bottom w:w="55" w:type="dxa"/>
              <w:end w:w="70" w:type="dxa"/>
            </w:tcMar>
          </w:tcPr>
          <w:p>
            <w:r>
              <w:rPr>
                <w:rFonts w:ascii="Arial" w:hAnsi="Arial"/>
                <w:color w:val="1F2937"/>
                <w:sz w:val="15"/>
              </w:rPr>
              <w:t>Slow the process, restate safety/norms, clarify impact and needs, and use the event therapeutically when appropriate.</w:t>
            </w:r>
          </w:p>
        </w:tc>
        <w:tc>
          <w:tcPr>
            <w:tcW w:type="dxa" w:w="3427"/>
            <w:tcMar>
              <w:top w:w="55" w:type="dxa"/>
              <w:start w:w="70" w:type="dxa"/>
              <w:bottom w:w="55" w:type="dxa"/>
              <w:end w:w="70" w:type="dxa"/>
            </w:tcMar>
          </w:tcPr>
          <w:p>
            <w:r>
              <w:rPr>
                <w:rFonts w:ascii="Arial" w:hAnsi="Arial"/>
                <w:color w:val="1F2937"/>
                <w:sz w:val="15"/>
              </w:rPr>
              <w:t>Taking sides before understanding.</w:t>
            </w:r>
          </w:p>
        </w:tc>
      </w:tr>
      <w:tr>
        <w:tc>
          <w:tcPr>
            <w:tcW w:type="dxa" w:w="3427"/>
            <w:tcMar>
              <w:top w:w="55" w:type="dxa"/>
              <w:start w:w="70" w:type="dxa"/>
              <w:bottom w:w="55" w:type="dxa"/>
              <w:end w:w="70" w:type="dxa"/>
            </w:tcMar>
            <w:shd w:fill="F8FAFC"/>
          </w:tcPr>
          <w:p>
            <w:r>
              <w:rPr>
                <w:rFonts w:ascii="Arial" w:hAnsi="Arial"/>
                <w:color w:val="1F2937"/>
                <w:sz w:val="15"/>
              </w:rPr>
              <w:t>Confidentiality concern</w:t>
            </w:r>
          </w:p>
        </w:tc>
        <w:tc>
          <w:tcPr>
            <w:tcW w:type="dxa" w:w="3427"/>
            <w:tcMar>
              <w:top w:w="55" w:type="dxa"/>
              <w:start w:w="70" w:type="dxa"/>
              <w:bottom w:w="55" w:type="dxa"/>
              <w:end w:w="70" w:type="dxa"/>
            </w:tcMar>
            <w:shd w:fill="F8FAFC"/>
          </w:tcPr>
          <w:p>
            <w:r>
              <w:rPr>
                <w:rFonts w:ascii="Arial" w:hAnsi="Arial"/>
                <w:color w:val="1F2937"/>
                <w:sz w:val="15"/>
              </w:rPr>
              <w:t>Address promptly, review limits and responsibilities, assess harm, consult/document, and modify the plan as needed.</w:t>
            </w:r>
          </w:p>
        </w:tc>
        <w:tc>
          <w:tcPr>
            <w:tcW w:type="dxa" w:w="3427"/>
            <w:tcMar>
              <w:top w:w="55" w:type="dxa"/>
              <w:start w:w="70" w:type="dxa"/>
              <w:bottom w:w="55" w:type="dxa"/>
              <w:end w:w="70" w:type="dxa"/>
            </w:tcMar>
            <w:shd w:fill="F8FAFC"/>
          </w:tcPr>
          <w:p>
            <w:r>
              <w:rPr>
                <w:rFonts w:ascii="Arial" w:hAnsi="Arial"/>
                <w:color w:val="1F2937"/>
                <w:sz w:val="15"/>
              </w:rPr>
              <w:t>Promising that member confidentiality can be guaranteed.</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EXAM TIP</w:t>
            </w:r>
          </w:p>
          <w:p>
            <w:pPr>
              <w:spacing w:after="0"/>
            </w:pPr>
            <w:r>
              <w:rPr>
                <w:rFonts w:ascii="Arial" w:hAnsi="Arial"/>
                <w:color w:val="1F2937"/>
                <w:sz w:val="18"/>
              </w:rPr>
              <w:t>When a group problem emerges, the best first response is usually process-oriented and proportionate: observe, name, assess, restate the frame, invite reflection, and protect safety. Immediate removal is reserved for situations that cannot be safely managed within the group.</w:t>
            </w:r>
          </w:p>
        </w:tc>
      </w:tr>
    </w:tbl>
    <w:p>
      <w:pPr>
        <w:spacing w:after="0"/>
      </w:pPr>
    </w:p>
    <w:p>
      <w:pPr>
        <w:pStyle w:val="Heading2"/>
        <w:keepNext/>
      </w:pPr>
      <w:r>
        <w:t>Clinical Resource Toolkit: GROUP Screening and Preparation Record</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17365D"/>
            <w:vAlign w:val="center"/>
            <w:tcMar>
              <w:top w:w="70" w:type="dxa"/>
              <w:start w:w="75" w:type="dxa"/>
              <w:bottom w:w="70" w:type="dxa"/>
              <w:end w:w="75" w:type="dxa"/>
            </w:tcMar>
          </w:tcPr>
          <w:p>
            <w:pPr>
              <w:jc w:val="center"/>
            </w:pPr>
            <w:r>
              <w:rPr>
                <w:rFonts w:ascii="Arial" w:hAnsi="Arial"/>
                <w:b/>
                <w:color w:val="FFFFFF"/>
                <w:sz w:val="15"/>
              </w:rPr>
              <w:t>Purpose / Fit</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Risk / Readiness</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Access / Accommodation</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Orientation Topics</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Decision / Follow-Up</w:t>
            </w:r>
          </w:p>
        </w:tc>
      </w:tr>
      <w:tr>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r>
      <w:tr>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r>
    </w:tbl>
    <w:p>
      <w:pPr>
        <w:spacing w:after="0"/>
      </w:pPr>
    </w:p>
    <w:p>
      <w:pPr>
        <w:pStyle w:val="Heading2"/>
        <w:keepNext/>
      </w:pPr>
      <w:r>
        <w:t>Chapter Summary</w:t>
      </w:r>
    </w:p>
    <w:p>
      <w:pPr>
        <w:pStyle w:val="ListBullet"/>
        <w:spacing w:after="36"/>
      </w:pPr>
      <w:r>
        <w:t>Group effectiveness depends on purpose, fit, preparation, leadership, and evaluation.</w:t>
      </w:r>
    </w:p>
    <w:p>
      <w:pPr>
        <w:pStyle w:val="ListBullet"/>
        <w:spacing w:after="36"/>
      </w:pPr>
      <w:r>
        <w:t>Privacy in groups has limits because other members are not under the counselor’s direct control.</w:t>
      </w:r>
    </w:p>
    <w:p>
      <w:pPr>
        <w:pStyle w:val="ListBullet"/>
        <w:spacing w:after="36"/>
      </w:pPr>
      <w:r>
        <w:t>Group leaders attend to both individual needs and the group-as-a-whole.</w:t>
      </w:r>
    </w:p>
    <w:p>
      <w:pPr>
        <w:pStyle w:val="ListBullet"/>
        <w:spacing w:after="36"/>
      </w:pPr>
      <w:r>
        <w:t>Culture, power, accessibility, and communication differences shape participation and cohesion.</w:t>
      </w:r>
    </w:p>
    <w:p>
      <w:pPr>
        <w:pStyle w:val="ListBullet"/>
        <w:spacing w:after="36"/>
      </w:pPr>
      <w:r>
        <w:t>Termination is a clinical phase that requires preparation, review, referral when needed, and attention to member reactions.</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3</w:t>
            </w:r>
          </w:p>
          <w:p>
            <w:pPr>
              <w:jc w:val="center"/>
            </w:pPr>
            <w:r>
              <w:rPr>
                <w:rFonts w:ascii="Arial" w:hAnsi="Arial"/>
                <w:b/>
                <w:color w:val="FFFFFF"/>
                <w:sz w:val="34"/>
              </w:rPr>
              <w:t>Couple/Family and Systemic Work Within LPCC Competence</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Relational work begins by clarifying the client system, the counseling contract, safety, and the counselor’s competence.</w:t>
            </w:r>
          </w:p>
        </w:tc>
      </w:tr>
    </w:tbl>
    <w:p>
      <w:pPr>
        <w:spacing w:after="0"/>
      </w:pPr>
    </w:p>
    <w:p>
      <w:pPr>
        <w:spacing w:after="100"/>
      </w:pPr>
      <w:r>
        <w:rPr>
          <w:rFonts w:ascii="Arial" w:hAnsi="Arial"/>
          <w:b w:val="0"/>
          <w:i w:val="0"/>
          <w:color w:val="1F2937"/>
          <w:sz w:val="19"/>
        </w:rPr>
        <w:t>California professional clinical counseling includes systemic strategies, but systemic language does not automatically establish competence for every couple or family presentation. The counselor must know who the client is, whose interests are being served, what records and confidentiality rules apply, and whether violence, coercion, custody conflict, substance use, or severe instability changes the treatment plan.</w:t>
      </w:r>
    </w:p>
    <w:p>
      <w:pPr>
        <w:pStyle w:val="Heading2"/>
        <w:keepNext/>
      </w:pPr>
      <w:r>
        <w:t>The SYSTEM Relational Practice Check</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Practice Question</w:t>
            </w:r>
          </w:p>
        </w:tc>
      </w:tr>
      <w:tr>
        <w:tc>
          <w:tcPr>
            <w:tcW w:type="dxa" w:w="5141"/>
            <w:tcMar>
              <w:top w:w="55" w:type="dxa"/>
              <w:start w:w="70" w:type="dxa"/>
              <w:bottom w:w="55" w:type="dxa"/>
              <w:end w:w="70" w:type="dxa"/>
            </w:tcMar>
          </w:tcPr>
          <w:p>
            <w:r>
              <w:rPr>
                <w:rFonts w:ascii="Arial" w:hAnsi="Arial"/>
                <w:color w:val="1F2937"/>
                <w:sz w:val="15"/>
              </w:rPr>
              <w:t>S - Safety and suitability</w:t>
            </w:r>
          </w:p>
        </w:tc>
        <w:tc>
          <w:tcPr>
            <w:tcW w:type="dxa" w:w="5141"/>
            <w:tcMar>
              <w:top w:w="55" w:type="dxa"/>
              <w:start w:w="70" w:type="dxa"/>
              <w:bottom w:w="55" w:type="dxa"/>
              <w:end w:w="70" w:type="dxa"/>
            </w:tcMar>
          </w:tcPr>
          <w:p>
            <w:r>
              <w:rPr>
                <w:rFonts w:ascii="Arial" w:hAnsi="Arial"/>
                <w:color w:val="1F2937"/>
                <w:sz w:val="15"/>
              </w:rPr>
              <w:t>Is conjoint or family work safe? Assess coercion, intimidation, violence, retaliation risk, severe instability, and competing legal demands.</w:t>
            </w:r>
          </w:p>
        </w:tc>
      </w:tr>
      <w:tr>
        <w:tc>
          <w:tcPr>
            <w:tcW w:type="dxa" w:w="5141"/>
            <w:tcMar>
              <w:top w:w="55" w:type="dxa"/>
              <w:start w:w="70" w:type="dxa"/>
              <w:bottom w:w="55" w:type="dxa"/>
              <w:end w:w="70" w:type="dxa"/>
            </w:tcMar>
            <w:shd w:fill="F8FAFC"/>
          </w:tcPr>
          <w:p>
            <w:r>
              <w:rPr>
                <w:rFonts w:ascii="Arial" w:hAnsi="Arial"/>
                <w:color w:val="1F2937"/>
                <w:sz w:val="15"/>
              </w:rPr>
              <w:t>Y - Your client and role</w:t>
            </w:r>
          </w:p>
        </w:tc>
        <w:tc>
          <w:tcPr>
            <w:tcW w:type="dxa" w:w="5141"/>
            <w:tcMar>
              <w:top w:w="55" w:type="dxa"/>
              <w:start w:w="70" w:type="dxa"/>
              <w:bottom w:w="55" w:type="dxa"/>
              <w:end w:w="70" w:type="dxa"/>
            </w:tcMar>
            <w:shd w:fill="F8FAFC"/>
          </w:tcPr>
          <w:p>
            <w:r>
              <w:rPr>
                <w:rFonts w:ascii="Arial" w:hAnsi="Arial"/>
                <w:color w:val="1F2937"/>
                <w:sz w:val="15"/>
              </w:rPr>
              <w:t>Who is the client: an individual, the relationship, a family unit, or multiple identified clients? What is the counselor’s role?</w:t>
            </w:r>
          </w:p>
        </w:tc>
      </w:tr>
      <w:tr>
        <w:tc>
          <w:tcPr>
            <w:tcW w:type="dxa" w:w="5141"/>
            <w:tcMar>
              <w:top w:w="55" w:type="dxa"/>
              <w:start w:w="70" w:type="dxa"/>
              <w:bottom w:w="55" w:type="dxa"/>
              <w:end w:w="70" w:type="dxa"/>
            </w:tcMar>
          </w:tcPr>
          <w:p>
            <w:r>
              <w:rPr>
                <w:rFonts w:ascii="Arial" w:hAnsi="Arial"/>
                <w:color w:val="1F2937"/>
                <w:sz w:val="15"/>
              </w:rPr>
              <w:t>S - Shared consent and expectations</w:t>
            </w:r>
          </w:p>
        </w:tc>
        <w:tc>
          <w:tcPr>
            <w:tcW w:type="dxa" w:w="5141"/>
            <w:tcMar>
              <w:top w:w="55" w:type="dxa"/>
              <w:start w:w="70" w:type="dxa"/>
              <w:bottom w:w="55" w:type="dxa"/>
              <w:end w:w="70" w:type="dxa"/>
            </w:tcMar>
          </w:tcPr>
          <w:p>
            <w:r>
              <w:rPr>
                <w:rFonts w:ascii="Arial" w:hAnsi="Arial"/>
                <w:color w:val="1F2937"/>
                <w:sz w:val="15"/>
              </w:rPr>
              <w:t>What are the goals, participation expectations, communication rules, record practices, and limits of confidentiality?</w:t>
            </w:r>
          </w:p>
        </w:tc>
      </w:tr>
      <w:tr>
        <w:tc>
          <w:tcPr>
            <w:tcW w:type="dxa" w:w="5141"/>
            <w:tcMar>
              <w:top w:w="55" w:type="dxa"/>
              <w:start w:w="70" w:type="dxa"/>
              <w:bottom w:w="55" w:type="dxa"/>
              <w:end w:w="70" w:type="dxa"/>
            </w:tcMar>
            <w:shd w:fill="F8FAFC"/>
          </w:tcPr>
          <w:p>
            <w:r>
              <w:rPr>
                <w:rFonts w:ascii="Arial" w:hAnsi="Arial"/>
                <w:color w:val="1F2937"/>
                <w:sz w:val="15"/>
              </w:rPr>
              <w:t>T - Treatment model and competence</w:t>
            </w:r>
          </w:p>
        </w:tc>
        <w:tc>
          <w:tcPr>
            <w:tcW w:type="dxa" w:w="5141"/>
            <w:tcMar>
              <w:top w:w="55" w:type="dxa"/>
              <w:start w:w="70" w:type="dxa"/>
              <w:bottom w:w="55" w:type="dxa"/>
              <w:end w:w="70" w:type="dxa"/>
            </w:tcMar>
            <w:shd w:fill="F8FAFC"/>
          </w:tcPr>
          <w:p>
            <w:r>
              <w:rPr>
                <w:rFonts w:ascii="Arial" w:hAnsi="Arial"/>
                <w:color w:val="1F2937"/>
                <w:sz w:val="15"/>
              </w:rPr>
              <w:t>Does the counselor have education, supervised experience, and current competence for this relational task and population?</w:t>
            </w:r>
          </w:p>
        </w:tc>
      </w:tr>
      <w:tr>
        <w:tc>
          <w:tcPr>
            <w:tcW w:type="dxa" w:w="5141"/>
            <w:tcMar>
              <w:top w:w="55" w:type="dxa"/>
              <w:start w:w="70" w:type="dxa"/>
              <w:bottom w:w="55" w:type="dxa"/>
              <w:end w:w="70" w:type="dxa"/>
            </w:tcMar>
          </w:tcPr>
          <w:p>
            <w:r>
              <w:rPr>
                <w:rFonts w:ascii="Arial" w:hAnsi="Arial"/>
                <w:color w:val="1F2937"/>
                <w:sz w:val="15"/>
              </w:rPr>
              <w:t>E - Evaluate process and impact</w:t>
            </w:r>
          </w:p>
        </w:tc>
        <w:tc>
          <w:tcPr>
            <w:tcW w:type="dxa" w:w="5141"/>
            <w:tcMar>
              <w:top w:w="55" w:type="dxa"/>
              <w:start w:w="70" w:type="dxa"/>
              <w:bottom w:w="55" w:type="dxa"/>
              <w:end w:w="70" w:type="dxa"/>
            </w:tcMar>
          </w:tcPr>
          <w:p>
            <w:r>
              <w:rPr>
                <w:rFonts w:ascii="Arial" w:hAnsi="Arial"/>
                <w:color w:val="1F2937"/>
                <w:sz w:val="15"/>
              </w:rPr>
              <w:t>Are power, alliances, secrets, cultural values, child needs, and treatment effects being monitored?</w:t>
            </w:r>
          </w:p>
        </w:tc>
      </w:tr>
      <w:tr>
        <w:tc>
          <w:tcPr>
            <w:tcW w:type="dxa" w:w="5141"/>
            <w:tcMar>
              <w:top w:w="55" w:type="dxa"/>
              <w:start w:w="70" w:type="dxa"/>
              <w:bottom w:w="55" w:type="dxa"/>
              <w:end w:w="70" w:type="dxa"/>
            </w:tcMar>
            <w:shd w:fill="F8FAFC"/>
          </w:tcPr>
          <w:p>
            <w:r>
              <w:rPr>
                <w:rFonts w:ascii="Arial" w:hAnsi="Arial"/>
                <w:color w:val="1F2937"/>
                <w:sz w:val="15"/>
              </w:rPr>
              <w:t>M - Modify, consult, or refer</w:t>
            </w:r>
          </w:p>
        </w:tc>
        <w:tc>
          <w:tcPr>
            <w:tcW w:type="dxa" w:w="5141"/>
            <w:tcMar>
              <w:top w:w="55" w:type="dxa"/>
              <w:start w:w="70" w:type="dxa"/>
              <w:bottom w:w="55" w:type="dxa"/>
              <w:end w:w="70" w:type="dxa"/>
            </w:tcMar>
            <w:shd w:fill="F8FAFC"/>
          </w:tcPr>
          <w:p>
            <w:r>
              <w:rPr>
                <w:rFonts w:ascii="Arial" w:hAnsi="Arial"/>
                <w:color w:val="1F2937"/>
                <w:sz w:val="15"/>
              </w:rPr>
              <w:t>What signs require a different format, specialized provider, individual support, safety plan, or higher level of care?</w:t>
            </w:r>
          </w:p>
        </w:tc>
      </w:tr>
    </w:tbl>
    <w:p>
      <w:pPr>
        <w:spacing w:after="0"/>
      </w:pPr>
    </w:p>
    <w:p>
      <w:pPr>
        <w:pStyle w:val="Heading2"/>
        <w:keepNext/>
      </w:pPr>
      <w:r>
        <w:t>High-Yield Systemic Concepts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Concept</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Useful Exam Meaning</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Common Misuse</w:t>
            </w:r>
          </w:p>
        </w:tc>
      </w:tr>
      <w:tr>
        <w:tc>
          <w:tcPr>
            <w:tcW w:type="dxa" w:w="3427"/>
            <w:tcMar>
              <w:top w:w="55" w:type="dxa"/>
              <w:start w:w="70" w:type="dxa"/>
              <w:bottom w:w="55" w:type="dxa"/>
              <w:end w:w="70" w:type="dxa"/>
            </w:tcMar>
          </w:tcPr>
          <w:p>
            <w:r>
              <w:rPr>
                <w:rFonts w:ascii="Arial" w:hAnsi="Arial"/>
                <w:color w:val="1F2937"/>
                <w:sz w:val="15"/>
              </w:rPr>
              <w:t>Circular patterns</w:t>
            </w:r>
          </w:p>
        </w:tc>
        <w:tc>
          <w:tcPr>
            <w:tcW w:type="dxa" w:w="3427"/>
            <w:tcMar>
              <w:top w:w="55" w:type="dxa"/>
              <w:start w:w="70" w:type="dxa"/>
              <w:bottom w:w="55" w:type="dxa"/>
              <w:end w:w="70" w:type="dxa"/>
            </w:tcMar>
          </w:tcPr>
          <w:p>
            <w:r>
              <w:rPr>
                <w:rFonts w:ascii="Arial" w:hAnsi="Arial"/>
                <w:color w:val="1F2937"/>
                <w:sz w:val="15"/>
              </w:rPr>
              <w:t>Each person’s behavior affects and is affected by others; identify interaction cycles rather than one villain.</w:t>
            </w:r>
          </w:p>
        </w:tc>
        <w:tc>
          <w:tcPr>
            <w:tcW w:type="dxa" w:w="3427"/>
            <w:tcMar>
              <w:top w:w="55" w:type="dxa"/>
              <w:start w:w="70" w:type="dxa"/>
              <w:bottom w:w="55" w:type="dxa"/>
              <w:end w:w="70" w:type="dxa"/>
            </w:tcMar>
          </w:tcPr>
          <w:p>
            <w:r>
              <w:rPr>
                <w:rFonts w:ascii="Arial" w:hAnsi="Arial"/>
                <w:color w:val="1F2937"/>
                <w:sz w:val="15"/>
              </w:rPr>
              <w:t>Using systemic language to minimize accountability or abuse.</w:t>
            </w:r>
          </w:p>
        </w:tc>
      </w:tr>
      <w:tr>
        <w:tc>
          <w:tcPr>
            <w:tcW w:type="dxa" w:w="3427"/>
            <w:tcMar>
              <w:top w:w="55" w:type="dxa"/>
              <w:start w:w="70" w:type="dxa"/>
              <w:bottom w:w="55" w:type="dxa"/>
              <w:end w:w="70" w:type="dxa"/>
            </w:tcMar>
            <w:shd w:fill="F8FAFC"/>
          </w:tcPr>
          <w:p>
            <w:r>
              <w:rPr>
                <w:rFonts w:ascii="Arial" w:hAnsi="Arial"/>
                <w:color w:val="1F2937"/>
                <w:sz w:val="15"/>
              </w:rPr>
              <w:t>Boundaries and roles</w:t>
            </w:r>
          </w:p>
        </w:tc>
        <w:tc>
          <w:tcPr>
            <w:tcW w:type="dxa" w:w="3427"/>
            <w:tcMar>
              <w:top w:w="55" w:type="dxa"/>
              <w:start w:w="70" w:type="dxa"/>
              <w:bottom w:w="55" w:type="dxa"/>
              <w:end w:w="70" w:type="dxa"/>
            </w:tcMar>
            <w:shd w:fill="F8FAFC"/>
          </w:tcPr>
          <w:p>
            <w:r>
              <w:rPr>
                <w:rFonts w:ascii="Arial" w:hAnsi="Arial"/>
                <w:color w:val="1F2937"/>
                <w:sz w:val="15"/>
              </w:rPr>
              <w:t>Examine closeness, distance, hierarchy, caregiving, parentification, and role expectations.</w:t>
            </w:r>
          </w:p>
        </w:tc>
        <w:tc>
          <w:tcPr>
            <w:tcW w:type="dxa" w:w="3427"/>
            <w:tcMar>
              <w:top w:w="55" w:type="dxa"/>
              <w:start w:w="70" w:type="dxa"/>
              <w:bottom w:w="55" w:type="dxa"/>
              <w:end w:w="70" w:type="dxa"/>
            </w:tcMar>
            <w:shd w:fill="F8FAFC"/>
          </w:tcPr>
          <w:p>
            <w:r>
              <w:rPr>
                <w:rFonts w:ascii="Arial" w:hAnsi="Arial"/>
                <w:color w:val="1F2937"/>
                <w:sz w:val="15"/>
              </w:rPr>
              <w:t>Imposing one culturally narrow family structure.</w:t>
            </w:r>
          </w:p>
        </w:tc>
      </w:tr>
      <w:tr>
        <w:tc>
          <w:tcPr>
            <w:tcW w:type="dxa" w:w="3427"/>
            <w:tcMar>
              <w:top w:w="55" w:type="dxa"/>
              <w:start w:w="70" w:type="dxa"/>
              <w:bottom w:w="55" w:type="dxa"/>
              <w:end w:w="70" w:type="dxa"/>
            </w:tcMar>
          </w:tcPr>
          <w:p>
            <w:r>
              <w:rPr>
                <w:rFonts w:ascii="Arial" w:hAnsi="Arial"/>
                <w:color w:val="1F2937"/>
                <w:sz w:val="15"/>
              </w:rPr>
              <w:t>Attachment and emotion</w:t>
            </w:r>
          </w:p>
        </w:tc>
        <w:tc>
          <w:tcPr>
            <w:tcW w:type="dxa" w:w="3427"/>
            <w:tcMar>
              <w:top w:w="55" w:type="dxa"/>
              <w:start w:w="70" w:type="dxa"/>
              <w:bottom w:w="55" w:type="dxa"/>
              <w:end w:w="70" w:type="dxa"/>
            </w:tcMar>
          </w:tcPr>
          <w:p>
            <w:r>
              <w:rPr>
                <w:rFonts w:ascii="Arial" w:hAnsi="Arial"/>
                <w:color w:val="1F2937"/>
                <w:sz w:val="15"/>
              </w:rPr>
              <w:t>Track protest, withdrawal, fear, accessibility, and bids for connection.</w:t>
            </w:r>
          </w:p>
        </w:tc>
        <w:tc>
          <w:tcPr>
            <w:tcW w:type="dxa" w:w="3427"/>
            <w:tcMar>
              <w:top w:w="55" w:type="dxa"/>
              <w:start w:w="70" w:type="dxa"/>
              <w:bottom w:w="55" w:type="dxa"/>
              <w:end w:w="70" w:type="dxa"/>
            </w:tcMar>
          </w:tcPr>
          <w:p>
            <w:r>
              <w:rPr>
                <w:rFonts w:ascii="Arial" w:hAnsi="Arial"/>
                <w:color w:val="1F2937"/>
                <w:sz w:val="15"/>
              </w:rPr>
              <w:t>Starting emotionally intense work before safety and readiness.</w:t>
            </w:r>
          </w:p>
        </w:tc>
      </w:tr>
      <w:tr>
        <w:tc>
          <w:tcPr>
            <w:tcW w:type="dxa" w:w="3427"/>
            <w:tcMar>
              <w:top w:w="55" w:type="dxa"/>
              <w:start w:w="70" w:type="dxa"/>
              <w:bottom w:w="55" w:type="dxa"/>
              <w:end w:w="70" w:type="dxa"/>
            </w:tcMar>
            <w:shd w:fill="F8FAFC"/>
          </w:tcPr>
          <w:p>
            <w:r>
              <w:rPr>
                <w:rFonts w:ascii="Arial" w:hAnsi="Arial"/>
                <w:color w:val="1F2937"/>
                <w:sz w:val="15"/>
              </w:rPr>
              <w:t>Multigenerational context</w:t>
            </w:r>
          </w:p>
        </w:tc>
        <w:tc>
          <w:tcPr>
            <w:tcW w:type="dxa" w:w="3427"/>
            <w:tcMar>
              <w:top w:w="55" w:type="dxa"/>
              <w:start w:w="70" w:type="dxa"/>
              <w:bottom w:w="55" w:type="dxa"/>
              <w:end w:w="70" w:type="dxa"/>
            </w:tcMar>
            <w:shd w:fill="F8FAFC"/>
          </w:tcPr>
          <w:p>
            <w:r>
              <w:rPr>
                <w:rFonts w:ascii="Arial" w:hAnsi="Arial"/>
                <w:color w:val="1F2937"/>
                <w:sz w:val="15"/>
              </w:rPr>
              <w:t>Explore learned patterns, losses, loyalties, culture, migration, trauma, and strengths.</w:t>
            </w:r>
          </w:p>
        </w:tc>
        <w:tc>
          <w:tcPr>
            <w:tcW w:type="dxa" w:w="3427"/>
            <w:tcMar>
              <w:top w:w="55" w:type="dxa"/>
              <w:start w:w="70" w:type="dxa"/>
              <w:bottom w:w="55" w:type="dxa"/>
              <w:end w:w="70" w:type="dxa"/>
            </w:tcMar>
            <w:shd w:fill="F8FAFC"/>
          </w:tcPr>
          <w:p>
            <w:r>
              <w:rPr>
                <w:rFonts w:ascii="Arial" w:hAnsi="Arial"/>
                <w:color w:val="1F2937"/>
                <w:sz w:val="15"/>
              </w:rPr>
              <w:t>Assuming a genogram proves causation.</w:t>
            </w:r>
          </w:p>
        </w:tc>
      </w:tr>
      <w:tr>
        <w:tc>
          <w:tcPr>
            <w:tcW w:type="dxa" w:w="3427"/>
            <w:tcMar>
              <w:top w:w="55" w:type="dxa"/>
              <w:start w:w="70" w:type="dxa"/>
              <w:bottom w:w="55" w:type="dxa"/>
              <w:end w:w="70" w:type="dxa"/>
            </w:tcMar>
          </w:tcPr>
          <w:p>
            <w:r>
              <w:rPr>
                <w:rFonts w:ascii="Arial" w:hAnsi="Arial"/>
                <w:color w:val="1F2937"/>
                <w:sz w:val="15"/>
              </w:rPr>
              <w:t>Skills and behavior change</w:t>
            </w:r>
          </w:p>
        </w:tc>
        <w:tc>
          <w:tcPr>
            <w:tcW w:type="dxa" w:w="3427"/>
            <w:tcMar>
              <w:top w:w="55" w:type="dxa"/>
              <w:start w:w="70" w:type="dxa"/>
              <w:bottom w:w="55" w:type="dxa"/>
              <w:end w:w="70" w:type="dxa"/>
            </w:tcMar>
          </w:tcPr>
          <w:p>
            <w:r>
              <w:rPr>
                <w:rFonts w:ascii="Arial" w:hAnsi="Arial"/>
                <w:color w:val="1F2937"/>
                <w:sz w:val="15"/>
              </w:rPr>
              <w:t>Teach communication, problem solving, repair, reinforcement, and shared routines.</w:t>
            </w:r>
          </w:p>
        </w:tc>
        <w:tc>
          <w:tcPr>
            <w:tcW w:type="dxa" w:w="3427"/>
            <w:tcMar>
              <w:top w:w="55" w:type="dxa"/>
              <w:start w:w="70" w:type="dxa"/>
              <w:bottom w:w="55" w:type="dxa"/>
              <w:end w:w="70" w:type="dxa"/>
            </w:tcMar>
          </w:tcPr>
          <w:p>
            <w:r>
              <w:rPr>
                <w:rFonts w:ascii="Arial" w:hAnsi="Arial"/>
                <w:color w:val="1F2937"/>
                <w:sz w:val="15"/>
              </w:rPr>
              <w:t>Treating skills as sufficient when coercion or danger is present.</w:t>
            </w:r>
          </w:p>
        </w:tc>
      </w:tr>
    </w:tbl>
    <w:p>
      <w:pPr>
        <w:spacing w:after="0"/>
      </w:pPr>
    </w:p>
    <w:p>
      <w:pPr>
        <w:pStyle w:val="Heading2"/>
        <w:keepNext/>
      </w:pPr>
      <w:r>
        <w:t>When Conjoint Work Is Not the First Step</w:t>
      </w:r>
    </w:p>
    <w:p>
      <w:pPr>
        <w:pStyle w:val="ListBullet"/>
        <w:spacing w:after="56"/>
      </w:pPr>
      <w:r>
        <w:t>There is current violence, credible retaliation risk, severe coercive control, or one participant cannot speak freely.</w:t>
      </w:r>
    </w:p>
    <w:p>
      <w:pPr>
        <w:pStyle w:val="ListBullet"/>
        <w:spacing w:after="56"/>
      </w:pPr>
      <w:r>
        <w:t>A participant is acutely suicidal, psychotic, manic, intoxicated, withdrawing, or medically unstable and requires stabilization or another level of care.</w:t>
      </w:r>
    </w:p>
    <w:p>
      <w:pPr>
        <w:pStyle w:val="ListBullet"/>
        <w:spacing w:after="56"/>
      </w:pPr>
      <w:r>
        <w:t>The counselor has not clarified informed consent, records, communications between sessions, individual contacts, or the treatment unit.</w:t>
      </w:r>
    </w:p>
    <w:p>
      <w:pPr>
        <w:pStyle w:val="ListBullet"/>
        <w:spacing w:after="56"/>
      </w:pPr>
      <w:r>
        <w:t>The presenting issue requires specialized competence the counselor does not possess.</w:t>
      </w:r>
    </w:p>
    <w:p>
      <w:pPr>
        <w:pStyle w:val="ListBullet"/>
        <w:spacing w:after="56"/>
      </w:pPr>
      <w:r>
        <w:t>Legal, custody, forensic, or evaluative demands conflict with the therapeutic role.</w:t>
      </w:r>
    </w:p>
    <w:p>
      <w:pPr>
        <w:pStyle w:val="Heading2"/>
        <w:keepNext/>
      </w:pPr>
      <w:r>
        <w:t>Relational Format Options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Format</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Potential Use</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Key Safeguard</w:t>
            </w:r>
          </w:p>
        </w:tc>
      </w:tr>
      <w:tr>
        <w:tc>
          <w:tcPr>
            <w:tcW w:type="dxa" w:w="3427"/>
            <w:tcMar>
              <w:top w:w="55" w:type="dxa"/>
              <w:start w:w="70" w:type="dxa"/>
              <w:bottom w:w="55" w:type="dxa"/>
              <w:end w:w="70" w:type="dxa"/>
            </w:tcMar>
          </w:tcPr>
          <w:p>
            <w:r>
              <w:rPr>
                <w:rFonts w:ascii="Arial" w:hAnsi="Arial"/>
                <w:color w:val="1F2937"/>
                <w:sz w:val="15"/>
              </w:rPr>
              <w:t>Individual work with relational focus</w:t>
            </w:r>
          </w:p>
        </w:tc>
        <w:tc>
          <w:tcPr>
            <w:tcW w:type="dxa" w:w="3427"/>
            <w:tcMar>
              <w:top w:w="55" w:type="dxa"/>
              <w:start w:w="70" w:type="dxa"/>
              <w:bottom w:w="55" w:type="dxa"/>
              <w:end w:w="70" w:type="dxa"/>
            </w:tcMar>
          </w:tcPr>
          <w:p>
            <w:r>
              <w:rPr>
                <w:rFonts w:ascii="Arial" w:hAnsi="Arial"/>
                <w:color w:val="1F2937"/>
                <w:sz w:val="15"/>
              </w:rPr>
              <w:t>Explore patterns, safety, boundaries, choices, and communication from one client’s perspective.</w:t>
            </w:r>
          </w:p>
        </w:tc>
        <w:tc>
          <w:tcPr>
            <w:tcW w:type="dxa" w:w="3427"/>
            <w:tcMar>
              <w:top w:w="55" w:type="dxa"/>
              <w:start w:w="70" w:type="dxa"/>
              <w:bottom w:w="55" w:type="dxa"/>
              <w:end w:w="70" w:type="dxa"/>
            </w:tcMar>
          </w:tcPr>
          <w:p>
            <w:r>
              <w:rPr>
                <w:rFonts w:ascii="Arial" w:hAnsi="Arial"/>
                <w:color w:val="1F2937"/>
                <w:sz w:val="15"/>
              </w:rPr>
              <w:t>Do not diagnose or treat an absent person.</w:t>
            </w:r>
          </w:p>
        </w:tc>
      </w:tr>
      <w:tr>
        <w:tc>
          <w:tcPr>
            <w:tcW w:type="dxa" w:w="3427"/>
            <w:tcMar>
              <w:top w:w="55" w:type="dxa"/>
              <w:start w:w="70" w:type="dxa"/>
              <w:bottom w:w="55" w:type="dxa"/>
              <w:end w:w="70" w:type="dxa"/>
            </w:tcMar>
            <w:shd w:fill="F8FAFC"/>
          </w:tcPr>
          <w:p>
            <w:r>
              <w:rPr>
                <w:rFonts w:ascii="Arial" w:hAnsi="Arial"/>
                <w:color w:val="1F2937"/>
                <w:sz w:val="15"/>
              </w:rPr>
              <w:t>Conjoint couple work</w:t>
            </w:r>
          </w:p>
        </w:tc>
        <w:tc>
          <w:tcPr>
            <w:tcW w:type="dxa" w:w="3427"/>
            <w:tcMar>
              <w:top w:w="55" w:type="dxa"/>
              <w:start w:w="70" w:type="dxa"/>
              <w:bottom w:w="55" w:type="dxa"/>
              <w:end w:w="70" w:type="dxa"/>
            </w:tcMar>
            <w:shd w:fill="F8FAFC"/>
          </w:tcPr>
          <w:p>
            <w:r>
              <w:rPr>
                <w:rFonts w:ascii="Arial" w:hAnsi="Arial"/>
                <w:color w:val="1F2937"/>
                <w:sz w:val="15"/>
              </w:rPr>
              <w:t>Treat agreed relationship goals when participation is safe and voluntary.</w:t>
            </w:r>
          </w:p>
        </w:tc>
        <w:tc>
          <w:tcPr>
            <w:tcW w:type="dxa" w:w="3427"/>
            <w:tcMar>
              <w:top w:w="55" w:type="dxa"/>
              <w:start w:w="70" w:type="dxa"/>
              <w:bottom w:w="55" w:type="dxa"/>
              <w:end w:w="70" w:type="dxa"/>
            </w:tcMar>
            <w:shd w:fill="F8FAFC"/>
          </w:tcPr>
          <w:p>
            <w:r>
              <w:rPr>
                <w:rFonts w:ascii="Arial" w:hAnsi="Arial"/>
                <w:color w:val="1F2937"/>
                <w:sz w:val="15"/>
              </w:rPr>
              <w:t>Clarify the treatment unit, secrets policy, records, and competence.</w:t>
            </w:r>
          </w:p>
        </w:tc>
      </w:tr>
      <w:tr>
        <w:tc>
          <w:tcPr>
            <w:tcW w:type="dxa" w:w="3427"/>
            <w:tcMar>
              <w:top w:w="55" w:type="dxa"/>
              <w:start w:w="70" w:type="dxa"/>
              <w:bottom w:w="55" w:type="dxa"/>
              <w:end w:w="70" w:type="dxa"/>
            </w:tcMar>
          </w:tcPr>
          <w:p>
            <w:r>
              <w:rPr>
                <w:rFonts w:ascii="Arial" w:hAnsi="Arial"/>
                <w:color w:val="1F2937"/>
                <w:sz w:val="15"/>
              </w:rPr>
              <w:t>Family session / family therapy</w:t>
            </w:r>
          </w:p>
        </w:tc>
        <w:tc>
          <w:tcPr>
            <w:tcW w:type="dxa" w:w="3427"/>
            <w:tcMar>
              <w:top w:w="55" w:type="dxa"/>
              <w:start w:w="70" w:type="dxa"/>
              <w:bottom w:w="55" w:type="dxa"/>
              <w:end w:w="70" w:type="dxa"/>
            </w:tcMar>
          </w:tcPr>
          <w:p>
            <w:r>
              <w:rPr>
                <w:rFonts w:ascii="Arial" w:hAnsi="Arial"/>
                <w:color w:val="1F2937"/>
                <w:sz w:val="15"/>
              </w:rPr>
              <w:t>Address interaction, support, caregiving, development, or family functioning.</w:t>
            </w:r>
          </w:p>
        </w:tc>
        <w:tc>
          <w:tcPr>
            <w:tcW w:type="dxa" w:w="3427"/>
            <w:tcMar>
              <w:top w:w="55" w:type="dxa"/>
              <w:start w:w="70" w:type="dxa"/>
              <w:bottom w:w="55" w:type="dxa"/>
              <w:end w:w="70" w:type="dxa"/>
            </w:tcMar>
          </w:tcPr>
          <w:p>
            <w:r>
              <w:rPr>
                <w:rFonts w:ascii="Arial" w:hAnsi="Arial"/>
                <w:color w:val="1F2937"/>
                <w:sz w:val="15"/>
              </w:rPr>
              <w:t>Attend to hierarchy, minors, consent, culture, safety, and specialized needs.</w:t>
            </w:r>
          </w:p>
        </w:tc>
      </w:tr>
      <w:tr>
        <w:tc>
          <w:tcPr>
            <w:tcW w:type="dxa" w:w="3427"/>
            <w:tcMar>
              <w:top w:w="55" w:type="dxa"/>
              <w:start w:w="70" w:type="dxa"/>
              <w:bottom w:w="55" w:type="dxa"/>
              <w:end w:w="70" w:type="dxa"/>
            </w:tcMar>
            <w:shd w:fill="F8FAFC"/>
          </w:tcPr>
          <w:p>
            <w:r>
              <w:rPr>
                <w:rFonts w:ascii="Arial" w:hAnsi="Arial"/>
                <w:color w:val="1F2937"/>
                <w:sz w:val="15"/>
              </w:rPr>
              <w:t>Collateral/support session</w:t>
            </w:r>
          </w:p>
        </w:tc>
        <w:tc>
          <w:tcPr>
            <w:tcW w:type="dxa" w:w="3427"/>
            <w:tcMar>
              <w:top w:w="55" w:type="dxa"/>
              <w:start w:w="70" w:type="dxa"/>
              <w:bottom w:w="55" w:type="dxa"/>
              <w:end w:w="70" w:type="dxa"/>
            </w:tcMar>
            <w:shd w:fill="F8FAFC"/>
          </w:tcPr>
          <w:p>
            <w:r>
              <w:rPr>
                <w:rFonts w:ascii="Arial" w:hAnsi="Arial"/>
                <w:color w:val="1F2937"/>
                <w:sz w:val="15"/>
              </w:rPr>
              <w:t>Gather information or strengthen support without making the collateral person a client.</w:t>
            </w:r>
          </w:p>
        </w:tc>
        <w:tc>
          <w:tcPr>
            <w:tcW w:type="dxa" w:w="3427"/>
            <w:tcMar>
              <w:top w:w="55" w:type="dxa"/>
              <w:start w:w="70" w:type="dxa"/>
              <w:bottom w:w="55" w:type="dxa"/>
              <w:end w:w="70" w:type="dxa"/>
            </w:tcMar>
            <w:shd w:fill="F8FAFC"/>
          </w:tcPr>
          <w:p>
            <w:r>
              <w:rPr>
                <w:rFonts w:ascii="Arial" w:hAnsi="Arial"/>
                <w:color w:val="1F2937"/>
                <w:sz w:val="15"/>
              </w:rPr>
              <w:t>Explain role, limits, and how information will be used.</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FFF4D6"/>
            <w:tcBorders>
              <w:top w:val="single" w:sz="8" w:color="C99500"/>
              <w:left w:val="single" w:sz="8" w:color="C99500"/>
              <w:bottom w:val="single" w:sz="8" w:color="C99500"/>
              <w:right w:val="single" w:sz="8" w:color="C99500"/>
            </w:tcBorders>
            <w:tcMar>
              <w:top w:w="90" w:type="dxa"/>
              <w:start w:w="120" w:type="dxa"/>
              <w:bottom w:w="90" w:type="dxa"/>
              <w:end w:w="120" w:type="dxa"/>
            </w:tcMar>
          </w:tcPr>
          <w:p>
            <w:pPr>
              <w:spacing w:after="40"/>
            </w:pPr>
            <w:r>
              <w:rPr>
                <w:rFonts w:ascii="Arial" w:hAnsi="Arial"/>
                <w:b/>
                <w:color w:val="17365D"/>
                <w:sz w:val="19"/>
              </w:rPr>
              <w:t>CALIFORNIA SCOPE PEARL</w:t>
            </w:r>
          </w:p>
          <w:p>
            <w:pPr>
              <w:spacing w:after="0"/>
            </w:pPr>
            <w:r>
              <w:rPr>
                <w:rFonts w:ascii="Arial" w:hAnsi="Arial"/>
                <w:color w:val="1F2937"/>
                <w:sz w:val="18"/>
              </w:rPr>
              <w:t>The current California statute requires referral when a client’s needs exceed the LPCC’s education, training, and experience. The exam-safe response is not “LPCCs never work with couples or families” and not “systemic strategies make every relational case appropriate.” The correct frame is competence, safety, role clarity, and referral when needed.</w:t>
            </w:r>
          </w:p>
        </w:tc>
      </w:tr>
    </w:tbl>
    <w:p>
      <w:pPr>
        <w:spacing w:after="0"/>
      </w:pPr>
    </w:p>
    <w:p>
      <w:pPr>
        <w:pStyle w:val="Heading2"/>
        <w:keepNext/>
      </w:pPr>
      <w:r>
        <w:t>Clinical Resource Toolkit: SYSTEM Relational Readiness Map</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17365D"/>
            <w:vAlign w:val="center"/>
            <w:tcMar>
              <w:top w:w="70" w:type="dxa"/>
              <w:start w:w="75" w:type="dxa"/>
              <w:bottom w:w="70" w:type="dxa"/>
              <w:end w:w="75" w:type="dxa"/>
            </w:tcMar>
          </w:tcPr>
          <w:p>
            <w:pPr>
              <w:jc w:val="center"/>
            </w:pPr>
            <w:r>
              <w:rPr>
                <w:rFonts w:ascii="Arial" w:hAnsi="Arial"/>
                <w:b/>
                <w:color w:val="FFFFFF"/>
                <w:sz w:val="15"/>
              </w:rPr>
              <w:t>Client / Treatment Unit</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Safety Findings</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Goals / Consent</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Competence / Model</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Decision / Safeguards</w:t>
            </w:r>
          </w:p>
        </w:tc>
      </w:tr>
      <w:tr>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r>
      <w:tr>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r>
    </w:tbl>
    <w:p>
      <w:pPr>
        <w:spacing w:after="0"/>
      </w:pPr>
    </w:p>
    <w:p>
      <w:pPr>
        <w:pStyle w:val="Heading2"/>
        <w:keepNext/>
      </w:pPr>
      <w:r>
        <w:t>Chapter Summary</w:t>
      </w:r>
    </w:p>
    <w:p>
      <w:pPr>
        <w:pStyle w:val="ListBullet"/>
        <w:spacing w:after="36"/>
      </w:pPr>
      <w:r>
        <w:t>Clarify the client and therapeutic role before beginning relational work.</w:t>
      </w:r>
    </w:p>
    <w:p>
      <w:pPr>
        <w:pStyle w:val="ListBullet"/>
        <w:spacing w:after="36"/>
      </w:pPr>
      <w:r>
        <w:t>Systemic formulation does not excuse harmful behavior or replace individual accountability.</w:t>
      </w:r>
    </w:p>
    <w:p>
      <w:pPr>
        <w:pStyle w:val="ListBullet"/>
        <w:spacing w:after="36"/>
      </w:pPr>
      <w:r>
        <w:t>Conjoint work requires informed consent tailored to multiple participants and relational records.</w:t>
      </w:r>
    </w:p>
    <w:p>
      <w:pPr>
        <w:pStyle w:val="ListBullet"/>
        <w:spacing w:after="36"/>
      </w:pPr>
      <w:r>
        <w:t>Safety, coercion, legal-role conflict, and severe instability may make conjoint treatment inappropriate or premature.</w:t>
      </w:r>
    </w:p>
    <w:p>
      <w:pPr>
        <w:pStyle w:val="ListBullet"/>
        <w:spacing w:after="36"/>
      </w:pPr>
      <w:r>
        <w:t>Consult or refer when the relational presentation exceeds competence or requires specialized services.</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4</w:t>
            </w:r>
          </w:p>
          <w:p>
            <w:pPr>
              <w:jc w:val="center"/>
            </w:pPr>
            <w:r>
              <w:rPr>
                <w:rFonts w:ascii="Arial" w:hAnsi="Arial"/>
                <w:b/>
                <w:color w:val="FFFFFF"/>
                <w:sz w:val="34"/>
              </w:rPr>
              <w:t>Referral, Warm Handoff, Resources, and Levels of Care</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A referral is complete only when the recommendation is clinically matched, understandable, accessible, and followed through.</w:t>
            </w:r>
          </w:p>
        </w:tc>
      </w:tr>
    </w:tbl>
    <w:p>
      <w:pPr>
        <w:spacing w:after="0"/>
      </w:pPr>
    </w:p>
    <w:p>
      <w:pPr>
        <w:spacing w:after="100"/>
      </w:pPr>
      <w:r>
        <w:rPr>
          <w:rFonts w:ascii="Arial" w:hAnsi="Arial"/>
          <w:b w:val="0"/>
          <w:i w:val="0"/>
          <w:color w:val="1F2937"/>
          <w:sz w:val="19"/>
        </w:rPr>
        <w:t>A list of phone numbers is not coordinated care. Referral reasoning begins with the clinical need and level of care, then addresses client choice, access barriers, urgency, information sharing, connection, and follow-up.</w:t>
      </w:r>
    </w:p>
    <w:p>
      <w:pPr>
        <w:pStyle w:val="Heading2"/>
        <w:keepNext/>
      </w:pPr>
      <w:r>
        <w:t>The HANDOFF Referral Sequence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Action</w:t>
            </w:r>
          </w:p>
        </w:tc>
      </w:tr>
      <w:tr>
        <w:tc>
          <w:tcPr>
            <w:tcW w:type="dxa" w:w="5141"/>
            <w:tcMar>
              <w:top w:w="55" w:type="dxa"/>
              <w:start w:w="70" w:type="dxa"/>
              <w:bottom w:w="55" w:type="dxa"/>
              <w:end w:w="70" w:type="dxa"/>
            </w:tcMar>
          </w:tcPr>
          <w:p>
            <w:r>
              <w:rPr>
                <w:rFonts w:ascii="Arial" w:hAnsi="Arial"/>
                <w:color w:val="1F2937"/>
                <w:sz w:val="15"/>
              </w:rPr>
              <w:t>H - Help define the unmet need</w:t>
            </w:r>
          </w:p>
        </w:tc>
        <w:tc>
          <w:tcPr>
            <w:tcW w:type="dxa" w:w="5141"/>
            <w:tcMar>
              <w:top w:w="55" w:type="dxa"/>
              <w:start w:w="70" w:type="dxa"/>
              <w:bottom w:w="55" w:type="dxa"/>
              <w:end w:w="70" w:type="dxa"/>
            </w:tcMar>
          </w:tcPr>
          <w:p>
            <w:r>
              <w:rPr>
                <w:rFonts w:ascii="Arial" w:hAnsi="Arial"/>
                <w:color w:val="1F2937"/>
                <w:sz w:val="15"/>
              </w:rPr>
              <w:t>State the clinical reason for referral or added service in clear, nonshaming language.</w:t>
            </w:r>
          </w:p>
        </w:tc>
      </w:tr>
      <w:tr>
        <w:tc>
          <w:tcPr>
            <w:tcW w:type="dxa" w:w="5141"/>
            <w:tcMar>
              <w:top w:w="55" w:type="dxa"/>
              <w:start w:w="70" w:type="dxa"/>
              <w:bottom w:w="55" w:type="dxa"/>
              <w:end w:w="70" w:type="dxa"/>
            </w:tcMar>
            <w:shd w:fill="F8FAFC"/>
          </w:tcPr>
          <w:p>
            <w:r>
              <w:rPr>
                <w:rFonts w:ascii="Arial" w:hAnsi="Arial"/>
                <w:color w:val="1F2937"/>
                <w:sz w:val="15"/>
              </w:rPr>
              <w:t>A - Ask permission and preferences</w:t>
            </w:r>
          </w:p>
        </w:tc>
        <w:tc>
          <w:tcPr>
            <w:tcW w:type="dxa" w:w="5141"/>
            <w:tcMar>
              <w:top w:w="55" w:type="dxa"/>
              <w:start w:w="70" w:type="dxa"/>
              <w:bottom w:w="55" w:type="dxa"/>
              <w:end w:w="70" w:type="dxa"/>
            </w:tcMar>
            <w:shd w:fill="F8FAFC"/>
          </w:tcPr>
          <w:p>
            <w:r>
              <w:rPr>
                <w:rFonts w:ascii="Arial" w:hAnsi="Arial"/>
                <w:color w:val="1F2937"/>
                <w:sz w:val="15"/>
              </w:rPr>
              <w:t>Discuss options, obtain appropriate authorization, and incorporate culture, language, disability, location, cost, and client choice.</w:t>
            </w:r>
          </w:p>
        </w:tc>
      </w:tr>
      <w:tr>
        <w:tc>
          <w:tcPr>
            <w:tcW w:type="dxa" w:w="5141"/>
            <w:tcMar>
              <w:top w:w="55" w:type="dxa"/>
              <w:start w:w="70" w:type="dxa"/>
              <w:bottom w:w="55" w:type="dxa"/>
              <w:end w:w="70" w:type="dxa"/>
            </w:tcMar>
          </w:tcPr>
          <w:p>
            <w:r>
              <w:rPr>
                <w:rFonts w:ascii="Arial" w:hAnsi="Arial"/>
                <w:color w:val="1F2937"/>
                <w:sz w:val="15"/>
              </w:rPr>
              <w:t>N - Name qualified options</w:t>
            </w:r>
          </w:p>
        </w:tc>
        <w:tc>
          <w:tcPr>
            <w:tcW w:type="dxa" w:w="5141"/>
            <w:tcMar>
              <w:top w:w="55" w:type="dxa"/>
              <w:start w:w="70" w:type="dxa"/>
              <w:bottom w:w="55" w:type="dxa"/>
              <w:end w:w="70" w:type="dxa"/>
            </w:tcMar>
          </w:tcPr>
          <w:p>
            <w:r>
              <w:rPr>
                <w:rFonts w:ascii="Arial" w:hAnsi="Arial"/>
                <w:color w:val="1F2937"/>
                <w:sz w:val="15"/>
              </w:rPr>
              <w:t>Identify providers or resources that match specialty, level of care, availability, and practical constraints.</w:t>
            </w:r>
          </w:p>
        </w:tc>
      </w:tr>
      <w:tr>
        <w:tc>
          <w:tcPr>
            <w:tcW w:type="dxa" w:w="5141"/>
            <w:tcMar>
              <w:top w:w="55" w:type="dxa"/>
              <w:start w:w="70" w:type="dxa"/>
              <w:bottom w:w="55" w:type="dxa"/>
              <w:end w:w="70" w:type="dxa"/>
            </w:tcMar>
            <w:shd w:fill="F8FAFC"/>
          </w:tcPr>
          <w:p>
            <w:r>
              <w:rPr>
                <w:rFonts w:ascii="Arial" w:hAnsi="Arial"/>
                <w:color w:val="1F2937"/>
                <w:sz w:val="15"/>
              </w:rPr>
              <w:t>D - Decide urgency and bridge safety</w:t>
            </w:r>
          </w:p>
        </w:tc>
        <w:tc>
          <w:tcPr>
            <w:tcW w:type="dxa" w:w="5141"/>
            <w:tcMar>
              <w:top w:w="55" w:type="dxa"/>
              <w:start w:w="70" w:type="dxa"/>
              <w:bottom w:w="55" w:type="dxa"/>
              <w:end w:w="70" w:type="dxa"/>
            </w:tcMar>
            <w:shd w:fill="F8FAFC"/>
          </w:tcPr>
          <w:p>
            <w:r>
              <w:rPr>
                <w:rFonts w:ascii="Arial" w:hAnsi="Arial"/>
                <w:color w:val="1F2937"/>
                <w:sz w:val="15"/>
              </w:rPr>
              <w:t>Determine whether the client can wait, needs interim support, or requires immediate crisis, medical, or emergency action.</w:t>
            </w:r>
          </w:p>
        </w:tc>
      </w:tr>
      <w:tr>
        <w:tc>
          <w:tcPr>
            <w:tcW w:type="dxa" w:w="5141"/>
            <w:tcMar>
              <w:top w:w="55" w:type="dxa"/>
              <w:start w:w="70" w:type="dxa"/>
              <w:bottom w:w="55" w:type="dxa"/>
              <w:end w:w="70" w:type="dxa"/>
            </w:tcMar>
          </w:tcPr>
          <w:p>
            <w:r>
              <w:rPr>
                <w:rFonts w:ascii="Arial" w:hAnsi="Arial"/>
                <w:color w:val="1F2937"/>
                <w:sz w:val="15"/>
              </w:rPr>
              <w:t>O - Offer an active connection</w:t>
            </w:r>
          </w:p>
        </w:tc>
        <w:tc>
          <w:tcPr>
            <w:tcW w:type="dxa" w:w="5141"/>
            <w:tcMar>
              <w:top w:w="55" w:type="dxa"/>
              <w:start w:w="70" w:type="dxa"/>
              <w:bottom w:w="55" w:type="dxa"/>
              <w:end w:w="70" w:type="dxa"/>
            </w:tcMar>
          </w:tcPr>
          <w:p>
            <w:r>
              <w:rPr>
                <w:rFonts w:ascii="Arial" w:hAnsi="Arial"/>
                <w:color w:val="1F2937"/>
                <w:sz w:val="15"/>
              </w:rPr>
              <w:t>With consent, call, message, schedule, transmit necessary information, or help the client complete the first step.</w:t>
            </w:r>
          </w:p>
        </w:tc>
      </w:tr>
      <w:tr>
        <w:tc>
          <w:tcPr>
            <w:tcW w:type="dxa" w:w="5141"/>
            <w:tcMar>
              <w:top w:w="55" w:type="dxa"/>
              <w:start w:w="70" w:type="dxa"/>
              <w:bottom w:w="55" w:type="dxa"/>
              <w:end w:w="70" w:type="dxa"/>
            </w:tcMar>
            <w:shd w:fill="F8FAFC"/>
          </w:tcPr>
          <w:p>
            <w:r>
              <w:rPr>
                <w:rFonts w:ascii="Arial" w:hAnsi="Arial"/>
                <w:color w:val="1F2937"/>
                <w:sz w:val="15"/>
              </w:rPr>
              <w:t>F - Follow up</w:t>
            </w:r>
          </w:p>
        </w:tc>
        <w:tc>
          <w:tcPr>
            <w:tcW w:type="dxa" w:w="5141"/>
            <w:tcMar>
              <w:top w:w="55" w:type="dxa"/>
              <w:start w:w="70" w:type="dxa"/>
              <w:bottom w:w="55" w:type="dxa"/>
              <w:end w:w="70" w:type="dxa"/>
            </w:tcMar>
            <w:shd w:fill="F8FAFC"/>
          </w:tcPr>
          <w:p>
            <w:r>
              <w:rPr>
                <w:rFonts w:ascii="Arial" w:hAnsi="Arial"/>
                <w:color w:val="1F2937"/>
                <w:sz w:val="15"/>
              </w:rPr>
              <w:t>Confirm whether contact occurred, address barriers, update risk and functioning, and revise the plan.</w:t>
            </w:r>
          </w:p>
        </w:tc>
      </w:tr>
      <w:tr>
        <w:tc>
          <w:tcPr>
            <w:tcW w:type="dxa" w:w="5141"/>
            <w:tcMar>
              <w:top w:w="55" w:type="dxa"/>
              <w:start w:w="70" w:type="dxa"/>
              <w:bottom w:w="55" w:type="dxa"/>
              <w:end w:w="70" w:type="dxa"/>
            </w:tcMar>
          </w:tcPr>
          <w:p>
            <w:r>
              <w:rPr>
                <w:rFonts w:ascii="Arial" w:hAnsi="Arial"/>
                <w:color w:val="1F2937"/>
                <w:sz w:val="15"/>
              </w:rPr>
              <w:t>F - Feed back and document</w:t>
            </w:r>
          </w:p>
        </w:tc>
        <w:tc>
          <w:tcPr>
            <w:tcW w:type="dxa" w:w="5141"/>
            <w:tcMar>
              <w:top w:w="55" w:type="dxa"/>
              <w:start w:w="70" w:type="dxa"/>
              <w:bottom w:w="55" w:type="dxa"/>
              <w:end w:w="70" w:type="dxa"/>
            </w:tcMar>
          </w:tcPr>
          <w:p>
            <w:r>
              <w:rPr>
                <w:rFonts w:ascii="Arial" w:hAnsi="Arial"/>
                <w:color w:val="1F2937"/>
                <w:sz w:val="15"/>
              </w:rPr>
              <w:t>Record rationale, options, consent, information shared, barriers, response, and continuity plan.</w:t>
            </w:r>
          </w:p>
        </w:tc>
      </w:tr>
    </w:tbl>
    <w:p>
      <w:pPr>
        <w:spacing w:after="0"/>
      </w:pPr>
    </w:p>
    <w:p>
      <w:pPr>
        <w:pStyle w:val="Heading2"/>
        <w:keepNext/>
      </w:pPr>
      <w:r>
        <w:t>Matching Need to Service Intensity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Need Pattern</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Possible Direction</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Exam Priority</w:t>
            </w:r>
          </w:p>
        </w:tc>
      </w:tr>
      <w:tr>
        <w:tc>
          <w:tcPr>
            <w:tcW w:type="dxa" w:w="3427"/>
            <w:tcMar>
              <w:top w:w="55" w:type="dxa"/>
              <w:start w:w="70" w:type="dxa"/>
              <w:bottom w:w="55" w:type="dxa"/>
              <w:end w:w="70" w:type="dxa"/>
            </w:tcMar>
          </w:tcPr>
          <w:p>
            <w:r>
              <w:rPr>
                <w:rFonts w:ascii="Arial" w:hAnsi="Arial"/>
                <w:color w:val="1F2937"/>
                <w:sz w:val="15"/>
              </w:rPr>
              <w:t>Stable outpatient concern</w:t>
            </w:r>
          </w:p>
        </w:tc>
        <w:tc>
          <w:tcPr>
            <w:tcW w:type="dxa" w:w="3427"/>
            <w:tcMar>
              <w:top w:w="55" w:type="dxa"/>
              <w:start w:w="70" w:type="dxa"/>
              <w:bottom w:w="55" w:type="dxa"/>
              <w:end w:w="70" w:type="dxa"/>
            </w:tcMar>
          </w:tcPr>
          <w:p>
            <w:r>
              <w:rPr>
                <w:rFonts w:ascii="Arial" w:hAnsi="Arial"/>
                <w:color w:val="1F2937"/>
                <w:sz w:val="15"/>
              </w:rPr>
              <w:t>Routine specialty referral, adjunctive group, medical/prescriber consultation, or community support.</w:t>
            </w:r>
          </w:p>
        </w:tc>
        <w:tc>
          <w:tcPr>
            <w:tcW w:type="dxa" w:w="3427"/>
            <w:tcMar>
              <w:top w:w="55" w:type="dxa"/>
              <w:start w:w="70" w:type="dxa"/>
              <w:bottom w:w="55" w:type="dxa"/>
              <w:end w:w="70" w:type="dxa"/>
            </w:tcMar>
          </w:tcPr>
          <w:p>
            <w:r>
              <w:rPr>
                <w:rFonts w:ascii="Arial" w:hAnsi="Arial"/>
                <w:color w:val="1F2937"/>
                <w:sz w:val="15"/>
              </w:rPr>
              <w:t>Preserve continuity while adding the needed service.</w:t>
            </w:r>
          </w:p>
        </w:tc>
      </w:tr>
      <w:tr>
        <w:tc>
          <w:tcPr>
            <w:tcW w:type="dxa" w:w="3427"/>
            <w:tcMar>
              <w:top w:w="55" w:type="dxa"/>
              <w:start w:w="70" w:type="dxa"/>
              <w:bottom w:w="55" w:type="dxa"/>
              <w:end w:w="70" w:type="dxa"/>
            </w:tcMar>
            <w:shd w:fill="F8FAFC"/>
          </w:tcPr>
          <w:p>
            <w:r>
              <w:rPr>
                <w:rFonts w:ascii="Arial" w:hAnsi="Arial"/>
                <w:color w:val="1F2937"/>
                <w:sz w:val="15"/>
              </w:rPr>
              <w:t>Rapid decline or repeated outpatient failure</w:t>
            </w:r>
          </w:p>
        </w:tc>
        <w:tc>
          <w:tcPr>
            <w:tcW w:type="dxa" w:w="3427"/>
            <w:tcMar>
              <w:top w:w="55" w:type="dxa"/>
              <w:start w:w="70" w:type="dxa"/>
              <w:bottom w:w="55" w:type="dxa"/>
              <w:end w:w="70" w:type="dxa"/>
            </w:tcMar>
            <w:shd w:fill="F8FAFC"/>
          </w:tcPr>
          <w:p>
            <w:r>
              <w:rPr>
                <w:rFonts w:ascii="Arial" w:hAnsi="Arial"/>
                <w:color w:val="1F2937"/>
                <w:sz w:val="15"/>
              </w:rPr>
              <w:t>Urgent reassessment, consultation, intensive outpatient, partial hospitalization, specialized program, or coordinated medical evaluation.</w:t>
            </w:r>
          </w:p>
        </w:tc>
        <w:tc>
          <w:tcPr>
            <w:tcW w:type="dxa" w:w="3427"/>
            <w:tcMar>
              <w:top w:w="55" w:type="dxa"/>
              <w:start w:w="70" w:type="dxa"/>
              <w:bottom w:w="55" w:type="dxa"/>
              <w:end w:w="70" w:type="dxa"/>
            </w:tcMar>
            <w:shd w:fill="F8FAFC"/>
          </w:tcPr>
          <w:p>
            <w:r>
              <w:rPr>
                <w:rFonts w:ascii="Arial" w:hAnsi="Arial"/>
                <w:color w:val="1F2937"/>
                <w:sz w:val="15"/>
              </w:rPr>
              <w:t>Reassess risk, functioning, barriers, and appropriateness of current plan.</w:t>
            </w:r>
          </w:p>
        </w:tc>
      </w:tr>
      <w:tr>
        <w:tc>
          <w:tcPr>
            <w:tcW w:type="dxa" w:w="3427"/>
            <w:tcMar>
              <w:top w:w="55" w:type="dxa"/>
              <w:start w:w="70" w:type="dxa"/>
              <w:bottom w:w="55" w:type="dxa"/>
              <w:end w:w="70" w:type="dxa"/>
            </w:tcMar>
          </w:tcPr>
          <w:p>
            <w:r>
              <w:rPr>
                <w:rFonts w:ascii="Arial" w:hAnsi="Arial"/>
                <w:color w:val="1F2937"/>
                <w:sz w:val="15"/>
              </w:rPr>
              <w:t>Acute danger or medical instability</w:t>
            </w:r>
          </w:p>
        </w:tc>
        <w:tc>
          <w:tcPr>
            <w:tcW w:type="dxa" w:w="3427"/>
            <w:tcMar>
              <w:top w:w="55" w:type="dxa"/>
              <w:start w:w="70" w:type="dxa"/>
              <w:bottom w:w="55" w:type="dxa"/>
              <w:end w:w="70" w:type="dxa"/>
            </w:tcMar>
          </w:tcPr>
          <w:p>
            <w:r>
              <w:rPr>
                <w:rFonts w:ascii="Arial" w:hAnsi="Arial"/>
                <w:color w:val="1F2937"/>
                <w:sz w:val="15"/>
              </w:rPr>
              <w:t>Emergency evaluation, crisis service, emergency department, or other authorized urgent pathway.</w:t>
            </w:r>
          </w:p>
        </w:tc>
        <w:tc>
          <w:tcPr>
            <w:tcW w:type="dxa" w:w="3427"/>
            <w:tcMar>
              <w:top w:w="55" w:type="dxa"/>
              <w:start w:w="70" w:type="dxa"/>
              <w:bottom w:w="55" w:type="dxa"/>
              <w:end w:w="70" w:type="dxa"/>
            </w:tcMar>
          </w:tcPr>
          <w:p>
            <w:r>
              <w:rPr>
                <w:rFonts w:ascii="Arial" w:hAnsi="Arial"/>
                <w:color w:val="1F2937"/>
                <w:sz w:val="15"/>
              </w:rPr>
              <w:t>Safety and transfer take precedence over routine referral steps.</w:t>
            </w:r>
          </w:p>
        </w:tc>
      </w:tr>
      <w:tr>
        <w:tc>
          <w:tcPr>
            <w:tcW w:type="dxa" w:w="3427"/>
            <w:tcMar>
              <w:top w:w="55" w:type="dxa"/>
              <w:start w:w="70" w:type="dxa"/>
              <w:bottom w:w="55" w:type="dxa"/>
              <w:end w:w="70" w:type="dxa"/>
            </w:tcMar>
            <w:shd w:fill="F8FAFC"/>
          </w:tcPr>
          <w:p>
            <w:r>
              <w:rPr>
                <w:rFonts w:ascii="Arial" w:hAnsi="Arial"/>
                <w:color w:val="1F2937"/>
                <w:sz w:val="15"/>
              </w:rPr>
              <w:t>Social or practical barrier</w:t>
            </w:r>
          </w:p>
        </w:tc>
        <w:tc>
          <w:tcPr>
            <w:tcW w:type="dxa" w:w="3427"/>
            <w:tcMar>
              <w:top w:w="55" w:type="dxa"/>
              <w:start w:w="70" w:type="dxa"/>
              <w:bottom w:w="55" w:type="dxa"/>
              <w:end w:w="70" w:type="dxa"/>
            </w:tcMar>
            <w:shd w:fill="F8FAFC"/>
          </w:tcPr>
          <w:p>
            <w:r>
              <w:rPr>
                <w:rFonts w:ascii="Arial" w:hAnsi="Arial"/>
                <w:color w:val="1F2937"/>
                <w:sz w:val="15"/>
              </w:rPr>
              <w:t>Benefits, housing, food, transportation, legal, school, vocational, disability, language, or community-resource linkage.</w:t>
            </w:r>
          </w:p>
        </w:tc>
        <w:tc>
          <w:tcPr>
            <w:tcW w:type="dxa" w:w="3427"/>
            <w:tcMar>
              <w:top w:w="55" w:type="dxa"/>
              <w:start w:w="70" w:type="dxa"/>
              <w:bottom w:w="55" w:type="dxa"/>
              <w:end w:w="70" w:type="dxa"/>
            </w:tcMar>
            <w:shd w:fill="F8FAFC"/>
          </w:tcPr>
          <w:p>
            <w:r>
              <w:rPr>
                <w:rFonts w:ascii="Arial" w:hAnsi="Arial"/>
                <w:color w:val="1F2937"/>
                <w:sz w:val="15"/>
              </w:rPr>
              <w:t>Connect the resource to the treatment goal and client consent.</w:t>
            </w:r>
          </w:p>
        </w:tc>
      </w:tr>
    </w:tbl>
    <w:p>
      <w:pPr>
        <w:spacing w:after="0"/>
      </w:pPr>
    </w:p>
    <w:p>
      <w:pPr>
        <w:pStyle w:val="Heading2"/>
        <w:keepNext/>
      </w:pPr>
      <w:r>
        <w:t>Referral Failures the Exam May Target</w:t>
      </w:r>
    </w:p>
    <w:p>
      <w:pPr>
        <w:pStyle w:val="ListBullet"/>
        <w:spacing w:after="56"/>
      </w:pPr>
      <w:r>
        <w:t>Referring too early to avoid counselor discomfort rather than because the client needs different expertise or intensity.</w:t>
      </w:r>
    </w:p>
    <w:p>
      <w:pPr>
        <w:pStyle w:val="ListBullet"/>
        <w:spacing w:after="56"/>
      </w:pPr>
      <w:r>
        <w:t>Waiting too long despite repeated nonresponse, worsening risk, or a need outside competence.</w:t>
      </w:r>
    </w:p>
    <w:p>
      <w:pPr>
        <w:pStyle w:val="ListBullet"/>
        <w:spacing w:after="56"/>
      </w:pPr>
      <w:r>
        <w:t>Providing one inaccessible option without checking insurance, cost, language, transportation, disability access, location, or wait time.</w:t>
      </w:r>
    </w:p>
    <w:p>
      <w:pPr>
        <w:pStyle w:val="ListBullet"/>
        <w:spacing w:after="56"/>
      </w:pPr>
      <w:r>
        <w:t>Ending current care before a safe transition is established when continuity remains clinically necessary.</w:t>
      </w:r>
    </w:p>
    <w:p>
      <w:pPr>
        <w:pStyle w:val="ListBullet"/>
        <w:spacing w:after="56"/>
      </w:pPr>
      <w:r>
        <w:t>Sharing more information than needed or failing to obtain required authorization.</w:t>
      </w:r>
    </w:p>
    <w:p>
      <w:pPr>
        <w:pStyle w:val="ListBullet"/>
        <w:spacing w:after="56"/>
      </w:pPr>
      <w:r>
        <w:t>Failing to follow up after a high-priority referral or failed connection.</w:t>
      </w:r>
    </w:p>
    <w:p>
      <w:pPr>
        <w:pStyle w:val="Heading2"/>
        <w:keepNext/>
      </w:pPr>
      <w:r>
        <w:t>Warm-Handoff Language</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SAMPLE COUNSELOR LANGUAGE</w:t>
            </w:r>
          </w:p>
          <w:p>
            <w:pPr>
              <w:spacing w:after="0"/>
            </w:pPr>
            <w:r>
              <w:rPr>
                <w:rFonts w:ascii="Arial" w:hAnsi="Arial"/>
                <w:color w:val="1F2937"/>
                <w:sz w:val="18"/>
              </w:rPr>
              <w:t>“This service can address the medical and nutritional risks that are outside what our counseling sessions can provide. With your permission, we can contact the program together, confirm what they need, and make a plan for support while you connect.”</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RESOURCE NAVIGATION</w:t>
            </w:r>
          </w:p>
          <w:p>
            <w:pPr>
              <w:spacing w:after="0"/>
            </w:pPr>
            <w:r>
              <w:rPr>
                <w:rFonts w:ascii="Arial" w:hAnsi="Arial"/>
                <w:color w:val="1F2937"/>
                <w:sz w:val="18"/>
              </w:rPr>
              <w:t>A community information line, crisis line, benefits office, specialty clinic, prescriber, primary-care provider, school team, disability service, or peer program can be clinically relevant when it addresses a barrier or treatment need. The counselor still must evaluate quality, fit, urgency, and follow-through.</w:t>
            </w:r>
          </w:p>
        </w:tc>
      </w:tr>
    </w:tbl>
    <w:p>
      <w:pPr>
        <w:spacing w:after="0"/>
      </w:pPr>
    </w:p>
    <w:p>
      <w:pPr>
        <w:pStyle w:val="Heading2"/>
        <w:keepNext/>
      </w:pPr>
      <w:r>
        <w:t>Clinical Resource Toolkit: HANDOFF Referral Tracker</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17365D"/>
            <w:vAlign w:val="center"/>
            <w:tcMar>
              <w:top w:w="70" w:type="dxa"/>
              <w:start w:w="75" w:type="dxa"/>
              <w:bottom w:w="70" w:type="dxa"/>
              <w:end w:w="75" w:type="dxa"/>
            </w:tcMar>
          </w:tcPr>
          <w:p>
            <w:pPr>
              <w:jc w:val="center"/>
            </w:pPr>
            <w:r>
              <w:rPr>
                <w:rFonts w:ascii="Arial" w:hAnsi="Arial"/>
                <w:b/>
                <w:color w:val="FFFFFF"/>
                <w:sz w:val="15"/>
              </w:rPr>
              <w:t>Need / Level</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Client Preference</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Resource / Fit</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Authorization / Information</w:t>
            </w:r>
          </w:p>
        </w:tc>
        <w:tc>
          <w:tcPr>
            <w:tcW w:type="dxa" w:w="2056"/>
            <w:shd w:fill="17365D"/>
            <w:vAlign w:val="center"/>
            <w:tcMar>
              <w:top w:w="70" w:type="dxa"/>
              <w:start w:w="75" w:type="dxa"/>
              <w:bottom w:w="70" w:type="dxa"/>
              <w:end w:w="75" w:type="dxa"/>
            </w:tcMar>
          </w:tcPr>
          <w:p>
            <w:pPr>
              <w:jc w:val="center"/>
            </w:pPr>
            <w:r>
              <w:rPr>
                <w:rFonts w:ascii="Arial" w:hAnsi="Arial"/>
                <w:b/>
                <w:color w:val="FFFFFF"/>
                <w:sz w:val="15"/>
              </w:rPr>
              <w:t>Connection / Follow-Up</w:t>
            </w:r>
          </w:p>
        </w:tc>
      </w:tr>
      <w:tr>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c>
          <w:tcPr>
            <w:tcW w:type="dxa" w:w="2056"/>
            <w:tcMar>
              <w:top w:w="55" w:type="dxa"/>
              <w:start w:w="70" w:type="dxa"/>
              <w:bottom w:w="55" w:type="dxa"/>
              <w:end w:w="70" w:type="dxa"/>
            </w:tcMar>
          </w:tcPr>
          <w:p>
            <w:r>
              <w:rPr>
                <w:rFonts w:ascii="Arial" w:hAnsi="Arial"/>
                <w:color w:val="1F2937"/>
                <w:sz w:val="15"/>
              </w:rPr>
              <w:t>____________</w:t>
            </w:r>
          </w:p>
        </w:tc>
      </w:tr>
      <w:tr>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c>
          <w:tcPr>
            <w:tcW w:type="dxa" w:w="2056"/>
            <w:tcMar>
              <w:top w:w="55" w:type="dxa"/>
              <w:start w:w="70" w:type="dxa"/>
              <w:bottom w:w="55" w:type="dxa"/>
              <w:end w:w="70" w:type="dxa"/>
            </w:tcMar>
            <w:shd w:fill="F8FAFC"/>
          </w:tcPr>
          <w:p>
            <w:r>
              <w:rPr>
                <w:rFonts w:ascii="Arial" w:hAnsi="Arial"/>
                <w:color w:val="1F2937"/>
                <w:sz w:val="15"/>
              </w:rPr>
              <w:t>____________</w:t>
            </w:r>
          </w:p>
        </w:tc>
      </w:tr>
    </w:tbl>
    <w:p>
      <w:pPr>
        <w:spacing w:after="0"/>
      </w:pPr>
    </w:p>
    <w:p>
      <w:pPr>
        <w:pStyle w:val="Heading2"/>
        <w:keepNext/>
      </w:pPr>
      <w:r>
        <w:t>Chapter Summary</w:t>
      </w:r>
    </w:p>
    <w:p>
      <w:pPr>
        <w:pStyle w:val="ListBullet"/>
        <w:spacing w:after="36"/>
      </w:pPr>
      <w:r>
        <w:t>Referral is a clinical intervention, not an administrative afterthought.</w:t>
      </w:r>
    </w:p>
    <w:p>
      <w:pPr>
        <w:pStyle w:val="ListBullet"/>
        <w:spacing w:after="36"/>
      </w:pPr>
      <w:r>
        <w:t>Match the service to the unmet need, urgency, level of care, competence, and client context.</w:t>
      </w:r>
    </w:p>
    <w:p>
      <w:pPr>
        <w:pStyle w:val="ListBullet"/>
        <w:spacing w:after="36"/>
      </w:pPr>
      <w:r>
        <w:t>Warm handoffs reduce the gap between recommendation and actual care.</w:t>
      </w:r>
    </w:p>
    <w:p>
      <w:pPr>
        <w:pStyle w:val="ListBullet"/>
        <w:spacing w:after="36"/>
      </w:pPr>
      <w:r>
        <w:t>Continue appropriate support during transition unless safety, role conflict, or another clinical reason requires a different plan.</w:t>
      </w:r>
    </w:p>
    <w:p>
      <w:pPr>
        <w:pStyle w:val="ListBullet"/>
        <w:spacing w:after="36"/>
      </w:pPr>
      <w:r>
        <w:t>Document rationale, consent, barriers, connection attempts, outcome, and follow-up.</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5</w:t>
            </w:r>
          </w:p>
          <w:p>
            <w:pPr>
              <w:jc w:val="center"/>
            </w:pPr>
            <w:r>
              <w:rPr>
                <w:rFonts w:ascii="Arial" w:hAnsi="Arial"/>
                <w:b/>
                <w:color w:val="FFFFFF"/>
                <w:sz w:val="34"/>
              </w:rPr>
              <w:t>Collateral Work, Medication Coordination, Documentation, and Interdisciplinary Teams</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Collaboration is effective when roles are clear, information is purposeful, and the plan remains centered on the client.</w:t>
            </w:r>
          </w:p>
        </w:tc>
      </w:tr>
    </w:tbl>
    <w:p>
      <w:pPr>
        <w:spacing w:after="0"/>
      </w:pPr>
    </w:p>
    <w:p>
      <w:pPr>
        <w:spacing w:after="100"/>
      </w:pPr>
      <w:r>
        <w:rPr>
          <w:rFonts w:ascii="Arial" w:hAnsi="Arial"/>
          <w:b w:val="0"/>
          <w:i w:val="0"/>
          <w:color w:val="1F2937"/>
          <w:sz w:val="19"/>
        </w:rPr>
        <w:t>Interdisciplinary care can improve assessment, safety, medication monitoring, access, and continuity. It can also create confusion, duplication, privacy risk, and fragmented responsibility when team members do not know the purpose of communication or who is accountable for each task.</w:t>
      </w:r>
    </w:p>
    <w:p>
      <w:pPr>
        <w:pStyle w:val="Heading2"/>
        <w:keepNext/>
      </w:pPr>
      <w:r>
        <w:t>The TEAM Collaboration Tool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Collaboration Question</w:t>
            </w:r>
          </w:p>
        </w:tc>
      </w:tr>
      <w:tr>
        <w:tc>
          <w:tcPr>
            <w:tcW w:type="dxa" w:w="5141"/>
            <w:tcMar>
              <w:top w:w="55" w:type="dxa"/>
              <w:start w:w="70" w:type="dxa"/>
              <w:bottom w:w="55" w:type="dxa"/>
              <w:end w:w="70" w:type="dxa"/>
            </w:tcMar>
          </w:tcPr>
          <w:p>
            <w:r>
              <w:rPr>
                <w:rFonts w:ascii="Arial" w:hAnsi="Arial"/>
                <w:color w:val="1F2937"/>
                <w:sz w:val="15"/>
              </w:rPr>
              <w:t>T - Target and purpose</w:t>
            </w:r>
          </w:p>
        </w:tc>
        <w:tc>
          <w:tcPr>
            <w:tcW w:type="dxa" w:w="5141"/>
            <w:tcMar>
              <w:top w:w="55" w:type="dxa"/>
              <w:start w:w="70" w:type="dxa"/>
              <w:bottom w:w="55" w:type="dxa"/>
              <w:end w:w="70" w:type="dxa"/>
            </w:tcMar>
          </w:tcPr>
          <w:p>
            <w:r>
              <w:rPr>
                <w:rFonts w:ascii="Arial" w:hAnsi="Arial"/>
                <w:color w:val="1F2937"/>
                <w:sz w:val="15"/>
              </w:rPr>
              <w:t>What clinical decision, safety issue, transition, or barrier requires collaboration?</w:t>
            </w:r>
          </w:p>
        </w:tc>
      </w:tr>
      <w:tr>
        <w:tc>
          <w:tcPr>
            <w:tcW w:type="dxa" w:w="5141"/>
            <w:tcMar>
              <w:top w:w="55" w:type="dxa"/>
              <w:start w:w="70" w:type="dxa"/>
              <w:bottom w:w="55" w:type="dxa"/>
              <w:end w:w="70" w:type="dxa"/>
            </w:tcMar>
            <w:shd w:fill="F8FAFC"/>
          </w:tcPr>
          <w:p>
            <w:r>
              <w:rPr>
                <w:rFonts w:ascii="Arial" w:hAnsi="Arial"/>
                <w:color w:val="1F2937"/>
                <w:sz w:val="15"/>
              </w:rPr>
              <w:t>E - Explain roles and obtain authority</w:t>
            </w:r>
          </w:p>
        </w:tc>
        <w:tc>
          <w:tcPr>
            <w:tcW w:type="dxa" w:w="5141"/>
            <w:tcMar>
              <w:top w:w="55" w:type="dxa"/>
              <w:start w:w="70" w:type="dxa"/>
              <w:bottom w:w="55" w:type="dxa"/>
              <w:end w:w="70" w:type="dxa"/>
            </w:tcMar>
            <w:shd w:fill="F8FAFC"/>
          </w:tcPr>
          <w:p>
            <w:r>
              <w:rPr>
                <w:rFonts w:ascii="Arial" w:hAnsi="Arial"/>
                <w:color w:val="1F2937"/>
                <w:sz w:val="15"/>
              </w:rPr>
              <w:t>Who is the client, who is on the team, what is each person’s role, and what consent or legal authority applies?</w:t>
            </w:r>
          </w:p>
        </w:tc>
      </w:tr>
      <w:tr>
        <w:tc>
          <w:tcPr>
            <w:tcW w:type="dxa" w:w="5141"/>
            <w:tcMar>
              <w:top w:w="55" w:type="dxa"/>
              <w:start w:w="70" w:type="dxa"/>
              <w:bottom w:w="55" w:type="dxa"/>
              <w:end w:w="70" w:type="dxa"/>
            </w:tcMar>
          </w:tcPr>
          <w:p>
            <w:r>
              <w:rPr>
                <w:rFonts w:ascii="Arial" w:hAnsi="Arial"/>
                <w:color w:val="1F2937"/>
                <w:sz w:val="15"/>
              </w:rPr>
              <w:t>A - Ask and exchange purposefully</w:t>
            </w:r>
          </w:p>
        </w:tc>
        <w:tc>
          <w:tcPr>
            <w:tcW w:type="dxa" w:w="5141"/>
            <w:tcMar>
              <w:top w:w="55" w:type="dxa"/>
              <w:start w:w="70" w:type="dxa"/>
              <w:bottom w:w="55" w:type="dxa"/>
              <w:end w:w="70" w:type="dxa"/>
            </w:tcMar>
          </w:tcPr>
          <w:p>
            <w:r>
              <w:rPr>
                <w:rFonts w:ascii="Arial" w:hAnsi="Arial"/>
                <w:color w:val="1F2937"/>
                <w:sz w:val="15"/>
              </w:rPr>
              <w:t>What information is necessary, accurate, timely, and proportionate to the stated purpose?</w:t>
            </w:r>
          </w:p>
        </w:tc>
      </w:tr>
      <w:tr>
        <w:tc>
          <w:tcPr>
            <w:tcW w:type="dxa" w:w="5141"/>
            <w:tcMar>
              <w:top w:w="55" w:type="dxa"/>
              <w:start w:w="70" w:type="dxa"/>
              <w:bottom w:w="55" w:type="dxa"/>
              <w:end w:w="70" w:type="dxa"/>
            </w:tcMar>
            <w:shd w:fill="F8FAFC"/>
          </w:tcPr>
          <w:p>
            <w:r>
              <w:rPr>
                <w:rFonts w:ascii="Arial" w:hAnsi="Arial"/>
                <w:color w:val="1F2937"/>
                <w:sz w:val="15"/>
              </w:rPr>
              <w:t>M - Make an integrated plan</w:t>
            </w:r>
          </w:p>
        </w:tc>
        <w:tc>
          <w:tcPr>
            <w:tcW w:type="dxa" w:w="5141"/>
            <w:tcMar>
              <w:top w:w="55" w:type="dxa"/>
              <w:start w:w="70" w:type="dxa"/>
              <w:bottom w:w="55" w:type="dxa"/>
              <w:end w:w="70" w:type="dxa"/>
            </w:tcMar>
            <w:shd w:fill="F8FAFC"/>
          </w:tcPr>
          <w:p>
            <w:r>
              <w:rPr>
                <w:rFonts w:ascii="Arial" w:hAnsi="Arial"/>
                <w:color w:val="1F2937"/>
                <w:sz w:val="15"/>
              </w:rPr>
              <w:t>Who will do what, by when, how will conflicting recommendations be resolved, and how will the client participate?</w:t>
            </w:r>
          </w:p>
        </w:tc>
      </w:tr>
      <w:tr>
        <w:tc>
          <w:tcPr>
            <w:tcW w:type="dxa" w:w="5141"/>
            <w:tcMar>
              <w:top w:w="55" w:type="dxa"/>
              <w:start w:w="70" w:type="dxa"/>
              <w:bottom w:w="55" w:type="dxa"/>
              <w:end w:w="70" w:type="dxa"/>
            </w:tcMar>
          </w:tcPr>
          <w:p>
            <w:r>
              <w:rPr>
                <w:rFonts w:ascii="Arial" w:hAnsi="Arial"/>
                <w:color w:val="1F2937"/>
                <w:sz w:val="15"/>
              </w:rPr>
              <w:t>M - Monitor and document</w:t>
            </w:r>
          </w:p>
        </w:tc>
        <w:tc>
          <w:tcPr>
            <w:tcW w:type="dxa" w:w="5141"/>
            <w:tcMar>
              <w:top w:w="55" w:type="dxa"/>
              <w:start w:w="70" w:type="dxa"/>
              <w:bottom w:w="55" w:type="dxa"/>
              <w:end w:w="70" w:type="dxa"/>
            </w:tcMar>
          </w:tcPr>
          <w:p>
            <w:r>
              <w:rPr>
                <w:rFonts w:ascii="Arial" w:hAnsi="Arial"/>
                <w:color w:val="1F2937"/>
                <w:sz w:val="15"/>
              </w:rPr>
              <w:t>What changed, what was communicated, what remains unresolved, and what follow-up is required?</w:t>
            </w:r>
          </w:p>
        </w:tc>
      </w:tr>
    </w:tbl>
    <w:p>
      <w:pPr>
        <w:spacing w:after="0"/>
      </w:pPr>
    </w:p>
    <w:p>
      <w:pPr>
        <w:pStyle w:val="Heading2"/>
        <w:keepNext/>
      </w:pPr>
      <w:r>
        <w:t>Collateral Contacts and Multiple Sources</w:t>
      </w:r>
    </w:p>
    <w:p>
      <w:pPr>
        <w:pStyle w:val="ListBullet"/>
        <w:spacing w:after="56"/>
      </w:pPr>
      <w:r>
        <w:t>Clarify whether the collateral person is a participant in treatment, an information source, a support person, a legally authorized representative, or a separate client.</w:t>
      </w:r>
    </w:p>
    <w:p>
      <w:pPr>
        <w:pStyle w:val="ListBullet"/>
        <w:spacing w:after="56"/>
      </w:pPr>
      <w:r>
        <w:t>Explain the purpose and limits of the contact. Obtain authorization when required and avoid promising that all collateral information will remain secret from the client.</w:t>
      </w:r>
    </w:p>
    <w:p>
      <w:pPr>
        <w:pStyle w:val="ListBullet"/>
        <w:spacing w:after="56"/>
      </w:pPr>
      <w:r>
        <w:t>Distinguish observed facts, collateral reports, client reports, clinical interpretations, and unresolved discrepancies in documentation.</w:t>
      </w:r>
    </w:p>
    <w:p>
      <w:pPr>
        <w:pStyle w:val="ListBullet"/>
        <w:spacing w:after="56"/>
      </w:pPr>
      <w:r>
        <w:t>Use collateral information to improve assessment and planning; do not allow one source to replace direct assessment of the client.</w:t>
      </w:r>
    </w:p>
    <w:p>
      <w:pPr>
        <w:pStyle w:val="Heading2"/>
        <w:keepNext/>
      </w:pPr>
      <w:r>
        <w:t>Medication and Medical Coordination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Counselor Role</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Appropriate Action</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Outside Role / Common Trap</w:t>
            </w:r>
          </w:p>
        </w:tc>
      </w:tr>
      <w:tr>
        <w:tc>
          <w:tcPr>
            <w:tcW w:type="dxa" w:w="3427"/>
            <w:tcMar>
              <w:top w:w="55" w:type="dxa"/>
              <w:start w:w="70" w:type="dxa"/>
              <w:bottom w:w="55" w:type="dxa"/>
              <w:end w:w="70" w:type="dxa"/>
            </w:tcMar>
          </w:tcPr>
          <w:p>
            <w:r>
              <w:rPr>
                <w:rFonts w:ascii="Arial" w:hAnsi="Arial"/>
                <w:color w:val="1F2937"/>
                <w:sz w:val="15"/>
              </w:rPr>
              <w:t>Observe and assess</w:t>
            </w:r>
          </w:p>
        </w:tc>
        <w:tc>
          <w:tcPr>
            <w:tcW w:type="dxa" w:w="3427"/>
            <w:tcMar>
              <w:top w:w="55" w:type="dxa"/>
              <w:start w:w="70" w:type="dxa"/>
              <w:bottom w:w="55" w:type="dxa"/>
              <w:end w:w="70" w:type="dxa"/>
            </w:tcMar>
          </w:tcPr>
          <w:p>
            <w:r>
              <w:rPr>
                <w:rFonts w:ascii="Arial" w:hAnsi="Arial"/>
                <w:color w:val="1F2937"/>
                <w:sz w:val="15"/>
              </w:rPr>
              <w:t>Track symptoms, functioning, adherence barriers, side effects reported by the client, risk changes, and treatment response.</w:t>
            </w:r>
          </w:p>
        </w:tc>
        <w:tc>
          <w:tcPr>
            <w:tcW w:type="dxa" w:w="3427"/>
            <w:tcMar>
              <w:top w:w="55" w:type="dxa"/>
              <w:start w:w="70" w:type="dxa"/>
              <w:bottom w:w="55" w:type="dxa"/>
              <w:end w:w="70" w:type="dxa"/>
            </w:tcMar>
          </w:tcPr>
          <w:p>
            <w:r>
              <w:rPr>
                <w:rFonts w:ascii="Arial" w:hAnsi="Arial"/>
                <w:color w:val="1F2937"/>
                <w:sz w:val="15"/>
              </w:rPr>
              <w:t>Diagnosing a medication reaction without appropriate medical evaluation.</w:t>
            </w:r>
          </w:p>
        </w:tc>
      </w:tr>
      <w:tr>
        <w:tc>
          <w:tcPr>
            <w:tcW w:type="dxa" w:w="3427"/>
            <w:tcMar>
              <w:top w:w="55" w:type="dxa"/>
              <w:start w:w="70" w:type="dxa"/>
              <w:bottom w:w="55" w:type="dxa"/>
              <w:end w:w="70" w:type="dxa"/>
            </w:tcMar>
            <w:shd w:fill="F8FAFC"/>
          </w:tcPr>
          <w:p>
            <w:r>
              <w:rPr>
                <w:rFonts w:ascii="Arial" w:hAnsi="Arial"/>
                <w:color w:val="1F2937"/>
                <w:sz w:val="15"/>
              </w:rPr>
              <w:t>Educate and support</w:t>
            </w:r>
          </w:p>
        </w:tc>
        <w:tc>
          <w:tcPr>
            <w:tcW w:type="dxa" w:w="3427"/>
            <w:tcMar>
              <w:top w:w="55" w:type="dxa"/>
              <w:start w:w="70" w:type="dxa"/>
              <w:bottom w:w="55" w:type="dxa"/>
              <w:end w:w="70" w:type="dxa"/>
            </w:tcMar>
            <w:shd w:fill="F8FAFC"/>
          </w:tcPr>
          <w:p>
            <w:r>
              <w:rPr>
                <w:rFonts w:ascii="Arial" w:hAnsi="Arial"/>
                <w:color w:val="1F2937"/>
                <w:sz w:val="15"/>
              </w:rPr>
              <w:t>Encourage questions, shared decision making, accurate reporting, routine, and communication with the prescriber.</w:t>
            </w:r>
          </w:p>
        </w:tc>
        <w:tc>
          <w:tcPr>
            <w:tcW w:type="dxa" w:w="3427"/>
            <w:tcMar>
              <w:top w:w="55" w:type="dxa"/>
              <w:start w:w="70" w:type="dxa"/>
              <w:bottom w:w="55" w:type="dxa"/>
              <w:end w:w="70" w:type="dxa"/>
            </w:tcMar>
            <w:shd w:fill="F8FAFC"/>
          </w:tcPr>
          <w:p>
            <w:r>
              <w:rPr>
                <w:rFonts w:ascii="Arial" w:hAnsi="Arial"/>
                <w:color w:val="1F2937"/>
                <w:sz w:val="15"/>
              </w:rPr>
              <w:t>Telling the client to start, stop, or change a prescription.</w:t>
            </w:r>
          </w:p>
        </w:tc>
      </w:tr>
      <w:tr>
        <w:tc>
          <w:tcPr>
            <w:tcW w:type="dxa" w:w="3427"/>
            <w:tcMar>
              <w:top w:w="55" w:type="dxa"/>
              <w:start w:w="70" w:type="dxa"/>
              <w:bottom w:w="55" w:type="dxa"/>
              <w:end w:w="70" w:type="dxa"/>
            </w:tcMar>
          </w:tcPr>
          <w:p>
            <w:r>
              <w:rPr>
                <w:rFonts w:ascii="Arial" w:hAnsi="Arial"/>
                <w:color w:val="1F2937"/>
                <w:sz w:val="15"/>
              </w:rPr>
              <w:t>Coordinate</w:t>
            </w:r>
          </w:p>
        </w:tc>
        <w:tc>
          <w:tcPr>
            <w:tcW w:type="dxa" w:w="3427"/>
            <w:tcMar>
              <w:top w:w="55" w:type="dxa"/>
              <w:start w:w="70" w:type="dxa"/>
              <w:bottom w:w="55" w:type="dxa"/>
              <w:end w:w="70" w:type="dxa"/>
            </w:tcMar>
          </w:tcPr>
          <w:p>
            <w:r>
              <w:rPr>
                <w:rFonts w:ascii="Arial" w:hAnsi="Arial"/>
                <w:color w:val="1F2937"/>
                <w:sz w:val="15"/>
              </w:rPr>
              <w:t>With appropriate authority, share relevant observations and receive recommendations needed for the counseling plan.</w:t>
            </w:r>
          </w:p>
        </w:tc>
        <w:tc>
          <w:tcPr>
            <w:tcW w:type="dxa" w:w="3427"/>
            <w:tcMar>
              <w:top w:w="55" w:type="dxa"/>
              <w:start w:w="70" w:type="dxa"/>
              <w:bottom w:w="55" w:type="dxa"/>
              <w:end w:w="70" w:type="dxa"/>
            </w:tcMar>
          </w:tcPr>
          <w:p>
            <w:r>
              <w:rPr>
                <w:rFonts w:ascii="Arial" w:hAnsi="Arial"/>
                <w:color w:val="1F2937"/>
                <w:sz w:val="15"/>
              </w:rPr>
              <w:t>Sending the entire record when a focused summary would meet the purpose.</w:t>
            </w:r>
          </w:p>
        </w:tc>
      </w:tr>
      <w:tr>
        <w:tc>
          <w:tcPr>
            <w:tcW w:type="dxa" w:w="3427"/>
            <w:tcMar>
              <w:top w:w="55" w:type="dxa"/>
              <w:start w:w="70" w:type="dxa"/>
              <w:bottom w:w="55" w:type="dxa"/>
              <w:end w:w="70" w:type="dxa"/>
            </w:tcMar>
            <w:shd w:fill="F8FAFC"/>
          </w:tcPr>
          <w:p>
            <w:r>
              <w:rPr>
                <w:rFonts w:ascii="Arial" w:hAnsi="Arial"/>
                <w:color w:val="1F2937"/>
                <w:sz w:val="15"/>
              </w:rPr>
              <w:t>Escalate</w:t>
            </w:r>
          </w:p>
        </w:tc>
        <w:tc>
          <w:tcPr>
            <w:tcW w:type="dxa" w:w="3427"/>
            <w:tcMar>
              <w:top w:w="55" w:type="dxa"/>
              <w:start w:w="70" w:type="dxa"/>
              <w:bottom w:w="55" w:type="dxa"/>
              <w:end w:w="70" w:type="dxa"/>
            </w:tcMar>
            <w:shd w:fill="F8FAFC"/>
          </w:tcPr>
          <w:p>
            <w:r>
              <w:rPr>
                <w:rFonts w:ascii="Arial" w:hAnsi="Arial"/>
                <w:color w:val="1F2937"/>
                <w:sz w:val="15"/>
              </w:rPr>
              <w:t>Act promptly when symptoms suggest serious adverse effects, intoxication, withdrawal, delirium, or other medical urgency.</w:t>
            </w:r>
          </w:p>
        </w:tc>
        <w:tc>
          <w:tcPr>
            <w:tcW w:type="dxa" w:w="3427"/>
            <w:tcMar>
              <w:top w:w="55" w:type="dxa"/>
              <w:start w:w="70" w:type="dxa"/>
              <w:bottom w:w="55" w:type="dxa"/>
              <w:end w:w="70" w:type="dxa"/>
            </w:tcMar>
            <w:shd w:fill="F8FAFC"/>
          </w:tcPr>
          <w:p>
            <w:r>
              <w:rPr>
                <w:rFonts w:ascii="Arial" w:hAnsi="Arial"/>
                <w:color w:val="1F2937"/>
                <w:sz w:val="15"/>
              </w:rPr>
              <w:t>Waiting for the next routine appointment despite acute warning signs.</w:t>
            </w:r>
          </w:p>
        </w:tc>
      </w:tr>
    </w:tbl>
    <w:p>
      <w:pPr>
        <w:spacing w:after="0"/>
      </w:pPr>
    </w:p>
    <w:p>
      <w:pPr>
        <w:pStyle w:val="Heading2"/>
        <w:keepNext/>
      </w:pPr>
      <w:r>
        <w:t>Interdisciplinary Team Challenges</w:t>
      </w:r>
    </w:p>
    <w:p>
      <w:pPr>
        <w:pStyle w:val="ListBullet"/>
        <w:spacing w:after="56"/>
      </w:pPr>
      <w:r>
        <w:t>Conflicting recommendations: clarify each discipline’s reasoning, return to the client’s goals and safety, identify decision authority, and develop a coordinated plan.</w:t>
      </w:r>
    </w:p>
    <w:p>
      <w:pPr>
        <w:pStyle w:val="ListBullet"/>
        <w:spacing w:after="56"/>
      </w:pPr>
      <w:r>
        <w:t>Role diffusion: assign tasks, deadlines, follow-up responsibility, and escalation pathways rather than assuming “the team” will handle it.</w:t>
      </w:r>
    </w:p>
    <w:p>
      <w:pPr>
        <w:pStyle w:val="ListBullet"/>
        <w:spacing w:after="56"/>
      </w:pPr>
      <w:r>
        <w:t>Client exclusion: prepare the client for meetings, invite preferences and questions, explain decisions, and document disagreement or refusal without coercion.</w:t>
      </w:r>
    </w:p>
    <w:p>
      <w:pPr>
        <w:pStyle w:val="ListBullet"/>
        <w:spacing w:after="56"/>
      </w:pPr>
      <w:r>
        <w:t>Fragmented documentation: record the purpose, participants, relevant information exchanged, decisions, assigned actions, and follow-up—not a vague note that “team consulted.”</w:t>
      </w:r>
    </w:p>
    <w:p>
      <w:pPr>
        <w:pStyle w:val="Heading2"/>
        <w:keepNext/>
      </w:pPr>
      <w:r>
        <w:t>Five-Minute Team Coordination Agenda</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17365D"/>
            <w:vAlign w:val="center"/>
            <w:tcMar>
              <w:top w:w="70" w:type="dxa"/>
              <w:start w:w="75" w:type="dxa"/>
              <w:bottom w:w="70" w:type="dxa"/>
              <w:end w:w="75" w:type="dxa"/>
            </w:tcMar>
          </w:tcPr>
          <w:p>
            <w:pPr>
              <w:jc w:val="center"/>
            </w:pPr>
            <w:r>
              <w:rPr>
                <w:rFonts w:ascii="Arial" w:hAnsi="Arial"/>
                <w:b/>
                <w:color w:val="FFFFFF"/>
                <w:sz w:val="14"/>
              </w:rPr>
              <w:t>1</w:t>
            </w:r>
          </w:p>
        </w:tc>
        <w:tc>
          <w:tcPr>
            <w:tcW w:type="dxa" w:w="2056"/>
            <w:shd w:fill="17365D"/>
            <w:vAlign w:val="center"/>
            <w:tcMar>
              <w:top w:w="70" w:type="dxa"/>
              <w:start w:w="75" w:type="dxa"/>
              <w:bottom w:w="70" w:type="dxa"/>
              <w:end w:w="75" w:type="dxa"/>
            </w:tcMar>
          </w:tcPr>
          <w:p>
            <w:pPr>
              <w:jc w:val="center"/>
            </w:pPr>
            <w:r>
              <w:rPr>
                <w:rFonts w:ascii="Arial" w:hAnsi="Arial"/>
                <w:b/>
                <w:color w:val="FFFFFF"/>
                <w:sz w:val="14"/>
              </w:rPr>
              <w:t>2</w:t>
            </w:r>
          </w:p>
        </w:tc>
        <w:tc>
          <w:tcPr>
            <w:tcW w:type="dxa" w:w="2056"/>
            <w:shd w:fill="17365D"/>
            <w:vAlign w:val="center"/>
            <w:tcMar>
              <w:top w:w="70" w:type="dxa"/>
              <w:start w:w="75" w:type="dxa"/>
              <w:bottom w:w="70" w:type="dxa"/>
              <w:end w:w="75" w:type="dxa"/>
            </w:tcMar>
          </w:tcPr>
          <w:p>
            <w:pPr>
              <w:jc w:val="center"/>
            </w:pPr>
            <w:r>
              <w:rPr>
                <w:rFonts w:ascii="Arial" w:hAnsi="Arial"/>
                <w:b/>
                <w:color w:val="FFFFFF"/>
                <w:sz w:val="14"/>
              </w:rPr>
              <w:t>3</w:t>
            </w:r>
          </w:p>
        </w:tc>
        <w:tc>
          <w:tcPr>
            <w:tcW w:type="dxa" w:w="2056"/>
            <w:shd w:fill="17365D"/>
            <w:vAlign w:val="center"/>
            <w:tcMar>
              <w:top w:w="70" w:type="dxa"/>
              <w:start w:w="75" w:type="dxa"/>
              <w:bottom w:w="70" w:type="dxa"/>
              <w:end w:w="75" w:type="dxa"/>
            </w:tcMar>
          </w:tcPr>
          <w:p>
            <w:pPr>
              <w:jc w:val="center"/>
            </w:pPr>
            <w:r>
              <w:rPr>
                <w:rFonts w:ascii="Arial" w:hAnsi="Arial"/>
                <w:b/>
                <w:color w:val="FFFFFF"/>
                <w:sz w:val="14"/>
              </w:rPr>
              <w:t>4</w:t>
            </w:r>
          </w:p>
        </w:tc>
        <w:tc>
          <w:tcPr>
            <w:tcW w:type="dxa" w:w="2056"/>
            <w:shd w:fill="17365D"/>
            <w:vAlign w:val="center"/>
            <w:tcMar>
              <w:top w:w="70" w:type="dxa"/>
              <w:start w:w="75" w:type="dxa"/>
              <w:bottom w:w="70" w:type="dxa"/>
              <w:end w:w="75" w:type="dxa"/>
            </w:tcMar>
          </w:tcPr>
          <w:p>
            <w:pPr>
              <w:jc w:val="center"/>
            </w:pPr>
            <w:r>
              <w:rPr>
                <w:rFonts w:ascii="Arial" w:hAnsi="Arial"/>
                <w:b/>
                <w:color w:val="FFFFFF"/>
                <w:sz w:val="14"/>
              </w:rPr>
              <w:t>5</w:t>
            </w:r>
          </w:p>
        </w:tc>
      </w:tr>
      <w:tr>
        <w:tc>
          <w:tcPr>
            <w:tcW w:type="dxa" w:w="2056"/>
            <w:tcMar>
              <w:top w:w="55" w:type="dxa"/>
              <w:start w:w="70" w:type="dxa"/>
              <w:bottom w:w="55" w:type="dxa"/>
              <w:end w:w="70" w:type="dxa"/>
            </w:tcMar>
          </w:tcPr>
          <w:p>
            <w:r>
              <w:rPr>
                <w:rFonts w:ascii="Arial" w:hAnsi="Arial"/>
                <w:color w:val="1F2937"/>
                <w:sz w:val="14"/>
              </w:rPr>
              <w:t>State purpose and current concern</w:t>
            </w:r>
          </w:p>
        </w:tc>
        <w:tc>
          <w:tcPr>
            <w:tcW w:type="dxa" w:w="2056"/>
            <w:tcMar>
              <w:top w:w="55" w:type="dxa"/>
              <w:start w:w="70" w:type="dxa"/>
              <w:bottom w:w="55" w:type="dxa"/>
              <w:end w:w="70" w:type="dxa"/>
            </w:tcMar>
          </w:tcPr>
          <w:p>
            <w:r>
              <w:rPr>
                <w:rFonts w:ascii="Arial" w:hAnsi="Arial"/>
                <w:color w:val="1F2937"/>
                <w:sz w:val="14"/>
              </w:rPr>
              <w:t>Hear client priorities and each role’s key data</w:t>
            </w:r>
          </w:p>
        </w:tc>
        <w:tc>
          <w:tcPr>
            <w:tcW w:type="dxa" w:w="2056"/>
            <w:tcMar>
              <w:top w:w="55" w:type="dxa"/>
              <w:start w:w="70" w:type="dxa"/>
              <w:bottom w:w="55" w:type="dxa"/>
              <w:end w:w="70" w:type="dxa"/>
            </w:tcMar>
          </w:tcPr>
          <w:p>
            <w:r>
              <w:rPr>
                <w:rFonts w:ascii="Arial" w:hAnsi="Arial"/>
                <w:color w:val="1F2937"/>
                <w:sz w:val="14"/>
              </w:rPr>
              <w:t>Resolve conflicting recommendations or gaps</w:t>
            </w:r>
          </w:p>
        </w:tc>
        <w:tc>
          <w:tcPr>
            <w:tcW w:type="dxa" w:w="2056"/>
            <w:tcMar>
              <w:top w:w="55" w:type="dxa"/>
              <w:start w:w="70" w:type="dxa"/>
              <w:bottom w:w="55" w:type="dxa"/>
              <w:end w:w="70" w:type="dxa"/>
            </w:tcMar>
          </w:tcPr>
          <w:p>
            <w:r>
              <w:rPr>
                <w:rFonts w:ascii="Arial" w:hAnsi="Arial"/>
                <w:color w:val="1F2937"/>
                <w:sz w:val="14"/>
              </w:rPr>
              <w:t>Assign action, owner, and deadline</w:t>
            </w:r>
          </w:p>
        </w:tc>
        <w:tc>
          <w:tcPr>
            <w:tcW w:type="dxa" w:w="2056"/>
            <w:tcMar>
              <w:top w:w="55" w:type="dxa"/>
              <w:start w:w="70" w:type="dxa"/>
              <w:bottom w:w="55" w:type="dxa"/>
              <w:end w:w="70" w:type="dxa"/>
            </w:tcMar>
          </w:tcPr>
          <w:p>
            <w:r>
              <w:rPr>
                <w:rFonts w:ascii="Arial" w:hAnsi="Arial"/>
                <w:color w:val="1F2937"/>
                <w:sz w:val="14"/>
              </w:rPr>
              <w:t>Confirm follow-up and documentation</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INDIRECT CLIENT CARE</w:t>
            </w:r>
          </w:p>
          <w:p>
            <w:pPr>
              <w:spacing w:after="0"/>
            </w:pPr>
            <w:r>
              <w:rPr>
                <w:rFonts w:ascii="Arial" w:hAnsi="Arial"/>
                <w:color w:val="1F2937"/>
                <w:sz w:val="18"/>
              </w:rPr>
              <w:t>The 2027 NCMHCE explicitly elevates indirect client care. Strong answers show that consultation, referral, collateral communication, advocacy, coordination, and documentation are clinical tasks when they improve access, safety, continuity, and treatment effectiveness.</w:t>
            </w:r>
          </w:p>
        </w:tc>
      </w:tr>
    </w:tbl>
    <w:p>
      <w:pPr>
        <w:spacing w:after="0"/>
      </w:pPr>
    </w:p>
    <w:p>
      <w:pPr>
        <w:pStyle w:val="Heading2"/>
        <w:keepNext/>
      </w:pPr>
      <w:r>
        <w:t>Clinical Resource Toolkit: TEAM Coordination Record</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65D"/>
            <w:vAlign w:val="center"/>
            <w:tcMar>
              <w:top w:w="70" w:type="dxa"/>
              <w:start w:w="75" w:type="dxa"/>
              <w:bottom w:w="70" w:type="dxa"/>
              <w:end w:w="75" w:type="dxa"/>
            </w:tcMar>
          </w:tcPr>
          <w:p>
            <w:pPr>
              <w:jc w:val="center"/>
            </w:pPr>
            <w:r>
              <w:rPr>
                <w:rFonts w:ascii="Arial" w:hAnsi="Arial"/>
                <w:b/>
                <w:color w:val="FFFFFF"/>
                <w:sz w:val="14"/>
              </w:rPr>
              <w:t>Purpose</w:t>
            </w:r>
          </w:p>
        </w:tc>
        <w:tc>
          <w:tcPr>
            <w:tcW w:type="dxa" w:w="1714"/>
            <w:shd w:fill="17365D"/>
            <w:vAlign w:val="center"/>
            <w:tcMar>
              <w:top w:w="70" w:type="dxa"/>
              <w:start w:w="75" w:type="dxa"/>
              <w:bottom w:w="70" w:type="dxa"/>
              <w:end w:w="75" w:type="dxa"/>
            </w:tcMar>
          </w:tcPr>
          <w:p>
            <w:pPr>
              <w:jc w:val="center"/>
            </w:pPr>
            <w:r>
              <w:rPr>
                <w:rFonts w:ascii="Arial" w:hAnsi="Arial"/>
                <w:b/>
                <w:color w:val="FFFFFF"/>
                <w:sz w:val="14"/>
              </w:rPr>
              <w:t>Participants / Roles</w:t>
            </w:r>
          </w:p>
        </w:tc>
        <w:tc>
          <w:tcPr>
            <w:tcW w:type="dxa" w:w="1714"/>
            <w:shd w:fill="17365D"/>
            <w:vAlign w:val="center"/>
            <w:tcMar>
              <w:top w:w="70" w:type="dxa"/>
              <w:start w:w="75" w:type="dxa"/>
              <w:bottom w:w="70" w:type="dxa"/>
              <w:end w:w="75" w:type="dxa"/>
            </w:tcMar>
          </w:tcPr>
          <w:p>
            <w:pPr>
              <w:jc w:val="center"/>
            </w:pPr>
            <w:r>
              <w:rPr>
                <w:rFonts w:ascii="Arial" w:hAnsi="Arial"/>
                <w:b/>
                <w:color w:val="FFFFFF"/>
                <w:sz w:val="14"/>
              </w:rPr>
              <w:t>Authorization</w:t>
            </w:r>
          </w:p>
        </w:tc>
        <w:tc>
          <w:tcPr>
            <w:tcW w:type="dxa" w:w="1714"/>
            <w:shd w:fill="17365D"/>
            <w:vAlign w:val="center"/>
            <w:tcMar>
              <w:top w:w="70" w:type="dxa"/>
              <w:start w:w="75" w:type="dxa"/>
              <w:bottom w:w="70" w:type="dxa"/>
              <w:end w:w="75" w:type="dxa"/>
            </w:tcMar>
          </w:tcPr>
          <w:p>
            <w:pPr>
              <w:jc w:val="center"/>
            </w:pPr>
            <w:r>
              <w:rPr>
                <w:rFonts w:ascii="Arial" w:hAnsi="Arial"/>
                <w:b/>
                <w:color w:val="FFFFFF"/>
                <w:sz w:val="14"/>
              </w:rPr>
              <w:t>Information Exchanged</w:t>
            </w:r>
          </w:p>
        </w:tc>
        <w:tc>
          <w:tcPr>
            <w:tcW w:type="dxa" w:w="1714"/>
            <w:shd w:fill="17365D"/>
            <w:vAlign w:val="center"/>
            <w:tcMar>
              <w:top w:w="70" w:type="dxa"/>
              <w:start w:w="75" w:type="dxa"/>
              <w:bottom w:w="70" w:type="dxa"/>
              <w:end w:w="75" w:type="dxa"/>
            </w:tcMar>
          </w:tcPr>
          <w:p>
            <w:pPr>
              <w:jc w:val="center"/>
            </w:pPr>
            <w:r>
              <w:rPr>
                <w:rFonts w:ascii="Arial" w:hAnsi="Arial"/>
                <w:b/>
                <w:color w:val="FFFFFF"/>
                <w:sz w:val="14"/>
              </w:rPr>
              <w:t>Actions / Owner / Deadline</w:t>
            </w:r>
          </w:p>
        </w:tc>
        <w:tc>
          <w:tcPr>
            <w:tcW w:type="dxa" w:w="1714"/>
            <w:shd w:fill="17365D"/>
            <w:vAlign w:val="center"/>
            <w:tcMar>
              <w:top w:w="70" w:type="dxa"/>
              <w:start w:w="75" w:type="dxa"/>
              <w:bottom w:w="70" w:type="dxa"/>
              <w:end w:w="75" w:type="dxa"/>
            </w:tcMar>
          </w:tcPr>
          <w:p>
            <w:pPr>
              <w:jc w:val="center"/>
            </w:pPr>
            <w:r>
              <w:rPr>
                <w:rFonts w:ascii="Arial" w:hAnsi="Arial"/>
                <w:b/>
                <w:color w:val="FFFFFF"/>
                <w:sz w:val="14"/>
              </w:rPr>
              <w:t>Follow-Up</w:t>
            </w:r>
          </w:p>
        </w:tc>
      </w:tr>
      <w:tr>
        <w:tc>
          <w:tcPr>
            <w:tcW w:type="dxa" w:w="1714"/>
            <w:tcMar>
              <w:top w:w="55" w:type="dxa"/>
              <w:start w:w="70" w:type="dxa"/>
              <w:bottom w:w="55" w:type="dxa"/>
              <w:end w:w="70" w:type="dxa"/>
            </w:tcMar>
          </w:tcPr>
          <w:p>
            <w:r>
              <w:rPr>
                <w:rFonts w:ascii="Arial" w:hAnsi="Arial"/>
                <w:color w:val="1F2937"/>
                <w:sz w:val="14"/>
              </w:rPr>
              <w:t>________</w:t>
            </w:r>
          </w:p>
        </w:tc>
        <w:tc>
          <w:tcPr>
            <w:tcW w:type="dxa" w:w="1714"/>
            <w:tcMar>
              <w:top w:w="55" w:type="dxa"/>
              <w:start w:w="70" w:type="dxa"/>
              <w:bottom w:w="55" w:type="dxa"/>
              <w:end w:w="70" w:type="dxa"/>
            </w:tcMar>
          </w:tcPr>
          <w:p>
            <w:r>
              <w:rPr>
                <w:rFonts w:ascii="Arial" w:hAnsi="Arial"/>
                <w:color w:val="1F2937"/>
                <w:sz w:val="14"/>
              </w:rPr>
              <w:t>________</w:t>
            </w:r>
          </w:p>
        </w:tc>
        <w:tc>
          <w:tcPr>
            <w:tcW w:type="dxa" w:w="1714"/>
            <w:tcMar>
              <w:top w:w="55" w:type="dxa"/>
              <w:start w:w="70" w:type="dxa"/>
              <w:bottom w:w="55" w:type="dxa"/>
              <w:end w:w="70" w:type="dxa"/>
            </w:tcMar>
          </w:tcPr>
          <w:p>
            <w:r>
              <w:rPr>
                <w:rFonts w:ascii="Arial" w:hAnsi="Arial"/>
                <w:color w:val="1F2937"/>
                <w:sz w:val="14"/>
              </w:rPr>
              <w:t>________</w:t>
            </w:r>
          </w:p>
        </w:tc>
        <w:tc>
          <w:tcPr>
            <w:tcW w:type="dxa" w:w="1714"/>
            <w:tcMar>
              <w:top w:w="55" w:type="dxa"/>
              <w:start w:w="70" w:type="dxa"/>
              <w:bottom w:w="55" w:type="dxa"/>
              <w:end w:w="70" w:type="dxa"/>
            </w:tcMar>
          </w:tcPr>
          <w:p>
            <w:r>
              <w:rPr>
                <w:rFonts w:ascii="Arial" w:hAnsi="Arial"/>
                <w:color w:val="1F2937"/>
                <w:sz w:val="14"/>
              </w:rPr>
              <w:t>________</w:t>
            </w:r>
          </w:p>
        </w:tc>
        <w:tc>
          <w:tcPr>
            <w:tcW w:type="dxa" w:w="1714"/>
            <w:tcMar>
              <w:top w:w="55" w:type="dxa"/>
              <w:start w:w="70" w:type="dxa"/>
              <w:bottom w:w="55" w:type="dxa"/>
              <w:end w:w="70" w:type="dxa"/>
            </w:tcMar>
          </w:tcPr>
          <w:p>
            <w:r>
              <w:rPr>
                <w:rFonts w:ascii="Arial" w:hAnsi="Arial"/>
                <w:color w:val="1F2937"/>
                <w:sz w:val="14"/>
              </w:rPr>
              <w:t>________</w:t>
            </w:r>
          </w:p>
        </w:tc>
        <w:tc>
          <w:tcPr>
            <w:tcW w:type="dxa" w:w="1714"/>
            <w:tcMar>
              <w:top w:w="55" w:type="dxa"/>
              <w:start w:w="70" w:type="dxa"/>
              <w:bottom w:w="55" w:type="dxa"/>
              <w:end w:w="70" w:type="dxa"/>
            </w:tcMar>
          </w:tcPr>
          <w:p>
            <w:r>
              <w:rPr>
                <w:rFonts w:ascii="Arial" w:hAnsi="Arial"/>
                <w:color w:val="1F2937"/>
                <w:sz w:val="14"/>
              </w:rPr>
              <w:t>________</w:t>
            </w:r>
          </w:p>
        </w:tc>
      </w:tr>
      <w:tr>
        <w:tc>
          <w:tcPr>
            <w:tcW w:type="dxa" w:w="1714"/>
            <w:tcMar>
              <w:top w:w="55" w:type="dxa"/>
              <w:start w:w="70" w:type="dxa"/>
              <w:bottom w:w="55" w:type="dxa"/>
              <w:end w:w="70" w:type="dxa"/>
            </w:tcMar>
            <w:shd w:fill="F8FAFC"/>
          </w:tcPr>
          <w:p>
            <w:r>
              <w:rPr>
                <w:rFonts w:ascii="Arial" w:hAnsi="Arial"/>
                <w:color w:val="1F2937"/>
                <w:sz w:val="14"/>
              </w:rPr>
              <w:t>________</w:t>
            </w:r>
          </w:p>
        </w:tc>
        <w:tc>
          <w:tcPr>
            <w:tcW w:type="dxa" w:w="1714"/>
            <w:tcMar>
              <w:top w:w="55" w:type="dxa"/>
              <w:start w:w="70" w:type="dxa"/>
              <w:bottom w:w="55" w:type="dxa"/>
              <w:end w:w="70" w:type="dxa"/>
            </w:tcMar>
            <w:shd w:fill="F8FAFC"/>
          </w:tcPr>
          <w:p>
            <w:r>
              <w:rPr>
                <w:rFonts w:ascii="Arial" w:hAnsi="Arial"/>
                <w:color w:val="1F2937"/>
                <w:sz w:val="14"/>
              </w:rPr>
              <w:t>________</w:t>
            </w:r>
          </w:p>
        </w:tc>
        <w:tc>
          <w:tcPr>
            <w:tcW w:type="dxa" w:w="1714"/>
            <w:tcMar>
              <w:top w:w="55" w:type="dxa"/>
              <w:start w:w="70" w:type="dxa"/>
              <w:bottom w:w="55" w:type="dxa"/>
              <w:end w:w="70" w:type="dxa"/>
            </w:tcMar>
            <w:shd w:fill="F8FAFC"/>
          </w:tcPr>
          <w:p>
            <w:r>
              <w:rPr>
                <w:rFonts w:ascii="Arial" w:hAnsi="Arial"/>
                <w:color w:val="1F2937"/>
                <w:sz w:val="14"/>
              </w:rPr>
              <w:t>________</w:t>
            </w:r>
          </w:p>
        </w:tc>
        <w:tc>
          <w:tcPr>
            <w:tcW w:type="dxa" w:w="1714"/>
            <w:tcMar>
              <w:top w:w="55" w:type="dxa"/>
              <w:start w:w="70" w:type="dxa"/>
              <w:bottom w:w="55" w:type="dxa"/>
              <w:end w:w="70" w:type="dxa"/>
            </w:tcMar>
            <w:shd w:fill="F8FAFC"/>
          </w:tcPr>
          <w:p>
            <w:r>
              <w:rPr>
                <w:rFonts w:ascii="Arial" w:hAnsi="Arial"/>
                <w:color w:val="1F2937"/>
                <w:sz w:val="14"/>
              </w:rPr>
              <w:t>________</w:t>
            </w:r>
          </w:p>
        </w:tc>
        <w:tc>
          <w:tcPr>
            <w:tcW w:type="dxa" w:w="1714"/>
            <w:tcMar>
              <w:top w:w="55" w:type="dxa"/>
              <w:start w:w="70" w:type="dxa"/>
              <w:bottom w:w="55" w:type="dxa"/>
              <w:end w:w="70" w:type="dxa"/>
            </w:tcMar>
            <w:shd w:fill="F8FAFC"/>
          </w:tcPr>
          <w:p>
            <w:r>
              <w:rPr>
                <w:rFonts w:ascii="Arial" w:hAnsi="Arial"/>
                <w:color w:val="1F2937"/>
                <w:sz w:val="14"/>
              </w:rPr>
              <w:t>________</w:t>
            </w:r>
          </w:p>
        </w:tc>
        <w:tc>
          <w:tcPr>
            <w:tcW w:type="dxa" w:w="1714"/>
            <w:tcMar>
              <w:top w:w="55" w:type="dxa"/>
              <w:start w:w="70" w:type="dxa"/>
              <w:bottom w:w="55" w:type="dxa"/>
              <w:end w:w="70" w:type="dxa"/>
            </w:tcMar>
            <w:shd w:fill="F8FAFC"/>
          </w:tcPr>
          <w:p>
            <w:r>
              <w:rPr>
                <w:rFonts w:ascii="Arial" w:hAnsi="Arial"/>
                <w:color w:val="1F2937"/>
                <w:sz w:val="14"/>
              </w:rPr>
              <w:t>________</w:t>
            </w:r>
          </w:p>
        </w:tc>
      </w:tr>
    </w:tbl>
    <w:p>
      <w:pPr>
        <w:spacing w:after="0"/>
      </w:pPr>
    </w:p>
    <w:p>
      <w:pPr>
        <w:pStyle w:val="Heading2"/>
        <w:keepNext/>
      </w:pPr>
      <w:r>
        <w:t>Chapter Summary</w:t>
      </w:r>
    </w:p>
    <w:p>
      <w:pPr>
        <w:pStyle w:val="ListBullet"/>
        <w:spacing w:after="36"/>
      </w:pPr>
      <w:r>
        <w:t>Collaboration requires a defined clinical purpose and clear roles.</w:t>
      </w:r>
    </w:p>
    <w:p>
      <w:pPr>
        <w:pStyle w:val="ListBullet"/>
        <w:spacing w:after="36"/>
      </w:pPr>
      <w:r>
        <w:t>Use the least information necessary for the purpose and follow applicable consent, confidentiality, and legal requirements.</w:t>
      </w:r>
    </w:p>
    <w:p>
      <w:pPr>
        <w:pStyle w:val="ListBullet"/>
        <w:spacing w:after="36"/>
      </w:pPr>
      <w:r>
        <w:t>Counselors monitor and coordinate medication-related care without prescribing or directing medication changes.</w:t>
      </w:r>
    </w:p>
    <w:p>
      <w:pPr>
        <w:pStyle w:val="ListBullet"/>
        <w:spacing w:after="36"/>
      </w:pPr>
      <w:r>
        <w:t>A team plan should identify actions, owners, timeframes, and follow-up.</w:t>
      </w:r>
    </w:p>
    <w:p>
      <w:pPr>
        <w:pStyle w:val="ListBullet"/>
        <w:spacing w:after="36"/>
      </w:pPr>
      <w:r>
        <w:t>Document what was needed, communicated, decided, assigned, and reviewed.</w:t>
      </w:r>
    </w:p>
    <w:p>
      <w:r>
        <w:br w:type="page"/>
      </w:r>
    </w:p>
    <w:p>
      <w:pPr>
        <w:pStyle w:val="Heading1"/>
        <w:keepNext/>
      </w:pPr>
      <w:r>
        <w:t>Cumulative Three-Part Case Lab</w:t>
      </w:r>
    </w:p>
    <w:tbl>
      <w:tblPr>
        <w:tblW w:type="auto" w:w="0"/>
        <w:jc w:val="center"/>
        <w:tblLayout w:type="autofit"/>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INSTRUCTIONS</w:t>
            </w:r>
          </w:p>
          <w:p>
            <w:pPr>
              <w:spacing w:after="0"/>
            </w:pPr>
            <w:r>
              <w:rPr>
                <w:rFonts w:ascii="Arial" w:hAnsi="Arial"/>
                <w:color w:val="1F2937"/>
                <w:sz w:val="18"/>
              </w:rPr>
              <w:t>Read only the current part before answering its questions. Treat every new section as additional evidence. Do not rewrite earlier facts to fit a preferred answer.</w:t>
            </w:r>
          </w:p>
        </w:tc>
      </w:tr>
    </w:tbl>
    <w:p>
      <w:pPr>
        <w:spacing w:after="0"/>
      </w:pPr>
    </w:p>
    <w:p>
      <w:pPr>
        <w:pStyle w:val="Heading2"/>
        <w:keepNext/>
      </w:pPr>
      <w:r>
        <w:t>Case: Maya R.</w:t>
      </w:r>
    </w:p>
    <w:p>
      <w:pPr>
        <w:spacing w:after="100"/>
      </w:pPr>
      <w:r>
        <w:rPr>
          <w:rFonts w:ascii="Arial" w:hAnsi="Arial"/>
          <w:b w:val="0"/>
          <w:i w:val="0"/>
          <w:color w:val="1F2937"/>
          <w:sz w:val="18"/>
        </w:rPr>
        <w:t>Maya is a 34-year-old bilingual parent referred by her individual counselor after improvement in panic symptoms. She now wants help with repeated conflict with her spouse, Jordan, and increasing isolation. Maya reports that arguments escalate when finances and parenting are discussed. She denies physical violence but says Jordan sometimes blocks the doorway and takes her phone during arguments. Maya asks whether Jordan can join the next session. The counselor has general training in relational counseling but limited supervised couple-treatment experience.</w:t>
      </w:r>
    </w:p>
    <w:p>
      <w:pPr>
        <w:pStyle w:val="Heading2"/>
        <w:keepNext/>
      </w:pPr>
      <w:r>
        <w:t>Part 1: Choosing the Initial Format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Evidence</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Clinical Meaning</w:t>
            </w:r>
          </w:p>
        </w:tc>
      </w:tr>
      <w:tr>
        <w:tc>
          <w:tcPr>
            <w:tcW w:type="dxa" w:w="5141"/>
            <w:tcMar>
              <w:top w:w="55" w:type="dxa"/>
              <w:start w:w="70" w:type="dxa"/>
              <w:bottom w:w="55" w:type="dxa"/>
              <w:end w:w="70" w:type="dxa"/>
            </w:tcMar>
          </w:tcPr>
          <w:p>
            <w:r>
              <w:rPr>
                <w:rFonts w:ascii="Arial" w:hAnsi="Arial"/>
                <w:color w:val="1F2937"/>
                <w:sz w:val="16"/>
              </w:rPr>
              <w:t>Maya requests a conjoint session.</w:t>
            </w:r>
          </w:p>
        </w:tc>
        <w:tc>
          <w:tcPr>
            <w:tcW w:type="dxa" w:w="5141"/>
            <w:tcMar>
              <w:top w:w="55" w:type="dxa"/>
              <w:start w:w="70" w:type="dxa"/>
              <w:bottom w:w="55" w:type="dxa"/>
              <w:end w:w="70" w:type="dxa"/>
            </w:tcMar>
          </w:tcPr>
          <w:p>
            <w:r>
              <w:rPr>
                <w:rFonts w:ascii="Arial" w:hAnsi="Arial"/>
                <w:color w:val="1F2937"/>
                <w:sz w:val="16"/>
              </w:rPr>
              <w:t>Client preference matters but does not replace safety and suitability assessment.</w:t>
            </w:r>
          </w:p>
        </w:tc>
      </w:tr>
      <w:tr>
        <w:tc>
          <w:tcPr>
            <w:tcW w:type="dxa" w:w="5141"/>
            <w:tcMar>
              <w:top w:w="55" w:type="dxa"/>
              <w:start w:w="70" w:type="dxa"/>
              <w:bottom w:w="55" w:type="dxa"/>
              <w:end w:w="70" w:type="dxa"/>
            </w:tcMar>
            <w:shd w:fill="F8FAFC"/>
          </w:tcPr>
          <w:p>
            <w:r>
              <w:rPr>
                <w:rFonts w:ascii="Arial" w:hAnsi="Arial"/>
                <w:color w:val="1F2937"/>
                <w:sz w:val="16"/>
              </w:rPr>
              <w:t>Door blocking and phone removal occur during conflict.</w:t>
            </w:r>
          </w:p>
        </w:tc>
        <w:tc>
          <w:tcPr>
            <w:tcW w:type="dxa" w:w="5141"/>
            <w:tcMar>
              <w:top w:w="55" w:type="dxa"/>
              <w:start w:w="70" w:type="dxa"/>
              <w:bottom w:w="55" w:type="dxa"/>
              <w:end w:w="70" w:type="dxa"/>
            </w:tcMar>
            <w:shd w:fill="F8FAFC"/>
          </w:tcPr>
          <w:p>
            <w:r>
              <w:rPr>
                <w:rFonts w:ascii="Arial" w:hAnsi="Arial"/>
                <w:color w:val="1F2937"/>
                <w:sz w:val="16"/>
              </w:rPr>
              <w:t>Possible coercive control or escalation risk requires private assessment before conjoint work.</w:t>
            </w:r>
          </w:p>
        </w:tc>
      </w:tr>
      <w:tr>
        <w:tc>
          <w:tcPr>
            <w:tcW w:type="dxa" w:w="5141"/>
            <w:tcMar>
              <w:top w:w="55" w:type="dxa"/>
              <w:start w:w="70" w:type="dxa"/>
              <w:bottom w:w="55" w:type="dxa"/>
              <w:end w:w="70" w:type="dxa"/>
            </w:tcMar>
          </w:tcPr>
          <w:p>
            <w:r>
              <w:rPr>
                <w:rFonts w:ascii="Arial" w:hAnsi="Arial"/>
                <w:color w:val="1F2937"/>
                <w:sz w:val="16"/>
              </w:rPr>
              <w:t>Counselor has limited supervised couple-treatment experience.</w:t>
            </w:r>
          </w:p>
        </w:tc>
        <w:tc>
          <w:tcPr>
            <w:tcW w:type="dxa" w:w="5141"/>
            <w:tcMar>
              <w:top w:w="55" w:type="dxa"/>
              <w:start w:w="70" w:type="dxa"/>
              <w:bottom w:w="55" w:type="dxa"/>
              <w:end w:w="70" w:type="dxa"/>
            </w:tcMar>
          </w:tcPr>
          <w:p>
            <w:r>
              <w:rPr>
                <w:rFonts w:ascii="Arial" w:hAnsi="Arial"/>
                <w:color w:val="1F2937"/>
                <w:sz w:val="16"/>
              </w:rPr>
              <w:t>Competence and consultation/referral must be evaluated.</w:t>
            </w:r>
          </w:p>
        </w:tc>
      </w:tr>
    </w:tbl>
    <w:p>
      <w:pPr>
        <w:spacing w:after="0"/>
      </w:pPr>
    </w:p>
    <w:p>
      <w:pPr>
        <w:pStyle w:val="ListBullet"/>
        <w:spacing w:after="56"/>
      </w:pPr>
      <w:r>
        <w:rPr>
          <w:b/>
        </w:rPr>
        <w:t xml:space="preserve">Best next step: </w:t>
      </w:r>
      <w:r>
        <w:t>Meet with Maya individually to assess safety, coercion, retaliation risk, goals, and whether conjoint participation would be safe and clinically appropriate; obtain consultation regarding competence and referral options.</w:t>
      </w:r>
    </w:p>
    <w:p>
      <w:pPr>
        <w:pStyle w:val="ListBullet"/>
        <w:spacing w:after="56"/>
      </w:pPr>
      <w:r>
        <w:rPr>
          <w:b/>
        </w:rPr>
        <w:t xml:space="preserve">Not yet: </w:t>
      </w:r>
      <w:r>
        <w:t>Invite Jordan immediately, begin communication-skills training, or assume that absence of reported physical assault makes conjoint work safe.</w:t>
      </w:r>
    </w:p>
    <w:p>
      <w:pPr>
        <w:pStyle w:val="Heading2"/>
        <w:keepNext/>
      </w:pPr>
      <w:r>
        <w:t>Part 2: Group and Referral Options</w:t>
      </w:r>
    </w:p>
    <w:p>
      <w:pPr>
        <w:spacing w:after="100"/>
      </w:pPr>
      <w:r>
        <w:rPr>
          <w:rFonts w:ascii="Arial" w:hAnsi="Arial"/>
          <w:b w:val="0"/>
          <w:i w:val="0"/>
          <w:color w:val="1F2937"/>
          <w:sz w:val="18"/>
        </w:rPr>
        <w:t>Maya states that Jordan has never hit her but has threatened to disclose private information if she leaves. She is unsure whether she wants to remain in the relationship. She also wants peer support and asks about a local relationship-skills group. The group is mixed-gender, process-oriented, and requires members to discuss current conflicts. Maya worries that Jordan may learn what she says through mutual acquaintances.</w:t>
      </w:r>
    </w:p>
    <w:p>
      <w:pPr>
        <w:pStyle w:val="ListBullet"/>
        <w:spacing w:after="56"/>
      </w:pPr>
      <w:r>
        <w:rPr>
          <w:b/>
        </w:rPr>
        <w:t xml:space="preserve">Best direction: </w:t>
      </w:r>
      <w:r>
        <w:t>Complete a focused safety assessment, discuss specialized intimate-partner-violence resources, evaluate whether the proposed group is safe and confidential enough for Maya’s situation, and offer alternatives that match her preferences and risk.</w:t>
      </w:r>
    </w:p>
    <w:p>
      <w:pPr>
        <w:pStyle w:val="ListBullet"/>
        <w:spacing w:after="56"/>
      </w:pPr>
      <w:r>
        <w:rPr>
          <w:b/>
        </w:rPr>
        <w:t xml:space="preserve">Warm handoff: </w:t>
      </w:r>
      <w:r>
        <w:t>With Maya’s consent, connect her to a qualified support or advocacy resource, confirm accessibility, and plan follow-up while continuing appropriate counseling.</w:t>
      </w:r>
    </w:p>
    <w:p>
      <w:r>
        <w:br w:type="page"/>
      </w:r>
    </w:p>
    <w:p>
      <w:pPr>
        <w:pStyle w:val="Heading2"/>
        <w:keepNext/>
      </w:pPr>
      <w:r>
        <w:t>Part 3: Interdisciplinary Coordination</w:t>
      </w:r>
    </w:p>
    <w:p>
      <w:pPr>
        <w:spacing w:after="100"/>
      </w:pPr>
      <w:r>
        <w:rPr>
          <w:rFonts w:ascii="Arial" w:hAnsi="Arial"/>
          <w:b w:val="0"/>
          <w:i w:val="0"/>
          <w:color w:val="1F2937"/>
          <w:sz w:val="18"/>
        </w:rPr>
        <w:t>Two weeks later, Maya reports insomnia, weight loss, and dizziness. Her primary-care clinician has ordered laboratory tests and asks for a brief counseling summary. Maya signs an authorization limited to symptoms, functioning, risk, current treatment, and the purpose of coordination. Maya also wants the counselor to speak with a bilingual advocate but does not want Jordan contacted.</w:t>
      </w:r>
    </w:p>
    <w:p>
      <w:pPr>
        <w:pStyle w:val="ListBullet"/>
        <w:spacing w:after="56"/>
      </w:pPr>
      <w:r>
        <w:rPr>
          <w:b/>
        </w:rPr>
        <w:t xml:space="preserve">Best coordination: </w:t>
      </w:r>
      <w:r>
        <w:t>Share only the authorized, clinically relevant information with the primary-care clinician; document the purpose and content; help Maya connect with the advocate; do not contact Jordan without appropriate authorization or another lawful basis.</w:t>
      </w:r>
    </w:p>
    <w:p>
      <w:pPr>
        <w:pStyle w:val="ListBullet"/>
        <w:spacing w:after="56"/>
      </w:pPr>
      <w:r>
        <w:rPr>
          <w:b/>
        </w:rPr>
        <w:t xml:space="preserve">Continuity: </w:t>
      </w:r>
      <w:r>
        <w:t>Monitor symptoms and safety, integrate medical findings when available, and revise the counseling/referral plan with Maya.</w:t>
      </w:r>
    </w:p>
    <w:p>
      <w:pPr>
        <w:pStyle w:val="Heading2"/>
        <w:keepNext/>
      </w:pPr>
      <w:r>
        <w:t>Case Integration Questions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Tool</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Application to Maya</w:t>
            </w:r>
          </w:p>
        </w:tc>
      </w:tr>
      <w:tr>
        <w:tc>
          <w:tcPr>
            <w:tcW w:type="dxa" w:w="5141"/>
            <w:tcMar>
              <w:top w:w="55" w:type="dxa"/>
              <w:start w:w="70" w:type="dxa"/>
              <w:bottom w:w="55" w:type="dxa"/>
              <w:end w:w="70" w:type="dxa"/>
            </w:tcMar>
          </w:tcPr>
          <w:p>
            <w:r>
              <w:rPr>
                <w:rFonts w:ascii="Arial" w:hAnsi="Arial"/>
                <w:color w:val="1F2937"/>
                <w:sz w:val="15"/>
              </w:rPr>
              <w:t>MODE</w:t>
            </w:r>
          </w:p>
        </w:tc>
        <w:tc>
          <w:tcPr>
            <w:tcW w:type="dxa" w:w="5141"/>
            <w:tcMar>
              <w:top w:w="55" w:type="dxa"/>
              <w:start w:w="70" w:type="dxa"/>
              <w:bottom w:w="55" w:type="dxa"/>
              <w:end w:w="70" w:type="dxa"/>
            </w:tcMar>
          </w:tcPr>
          <w:p>
            <w:r>
              <w:rPr>
                <w:rFonts w:ascii="Arial" w:hAnsi="Arial"/>
                <w:color w:val="1F2937"/>
                <w:sz w:val="15"/>
              </w:rPr>
              <w:t>Individual support remains appropriate while relational safety and competence are clarified.</w:t>
            </w:r>
          </w:p>
        </w:tc>
      </w:tr>
      <w:tr>
        <w:tc>
          <w:tcPr>
            <w:tcW w:type="dxa" w:w="5141"/>
            <w:tcMar>
              <w:top w:w="55" w:type="dxa"/>
              <w:start w:w="70" w:type="dxa"/>
              <w:bottom w:w="55" w:type="dxa"/>
              <w:end w:w="70" w:type="dxa"/>
            </w:tcMar>
            <w:shd w:fill="F8FAFC"/>
          </w:tcPr>
          <w:p>
            <w:r>
              <w:rPr>
                <w:rFonts w:ascii="Arial" w:hAnsi="Arial"/>
                <w:color w:val="1F2937"/>
                <w:sz w:val="15"/>
              </w:rPr>
              <w:t>GROUP</w:t>
            </w:r>
          </w:p>
        </w:tc>
        <w:tc>
          <w:tcPr>
            <w:tcW w:type="dxa" w:w="5141"/>
            <w:tcMar>
              <w:top w:w="55" w:type="dxa"/>
              <w:start w:w="70" w:type="dxa"/>
              <w:bottom w:w="55" w:type="dxa"/>
              <w:end w:w="70" w:type="dxa"/>
            </w:tcMar>
            <w:shd w:fill="F8FAFC"/>
          </w:tcPr>
          <w:p>
            <w:r>
              <w:rPr>
                <w:rFonts w:ascii="Arial" w:hAnsi="Arial"/>
                <w:color w:val="1F2937"/>
                <w:sz w:val="15"/>
              </w:rPr>
              <w:t>The proposed group requires a fit, privacy, and retaliation-risk review.</w:t>
            </w:r>
          </w:p>
        </w:tc>
      </w:tr>
      <w:tr>
        <w:tc>
          <w:tcPr>
            <w:tcW w:type="dxa" w:w="5141"/>
            <w:tcMar>
              <w:top w:w="55" w:type="dxa"/>
              <w:start w:w="70" w:type="dxa"/>
              <w:bottom w:w="55" w:type="dxa"/>
              <w:end w:w="70" w:type="dxa"/>
            </w:tcMar>
          </w:tcPr>
          <w:p>
            <w:r>
              <w:rPr>
                <w:rFonts w:ascii="Arial" w:hAnsi="Arial"/>
                <w:color w:val="1F2937"/>
                <w:sz w:val="15"/>
              </w:rPr>
              <w:t>SYSTEM</w:t>
            </w:r>
          </w:p>
        </w:tc>
        <w:tc>
          <w:tcPr>
            <w:tcW w:type="dxa" w:w="5141"/>
            <w:tcMar>
              <w:top w:w="55" w:type="dxa"/>
              <w:start w:w="70" w:type="dxa"/>
              <w:bottom w:w="55" w:type="dxa"/>
              <w:end w:w="70" w:type="dxa"/>
            </w:tcMar>
          </w:tcPr>
          <w:p>
            <w:r>
              <w:rPr>
                <w:rFonts w:ascii="Arial" w:hAnsi="Arial"/>
                <w:color w:val="1F2937"/>
                <w:sz w:val="15"/>
              </w:rPr>
              <w:t>Safety, client definition, consent, competence, and treatment format must be clarified before conjoint work.</w:t>
            </w:r>
          </w:p>
        </w:tc>
      </w:tr>
      <w:tr>
        <w:tc>
          <w:tcPr>
            <w:tcW w:type="dxa" w:w="5141"/>
            <w:tcMar>
              <w:top w:w="55" w:type="dxa"/>
              <w:start w:w="70" w:type="dxa"/>
              <w:bottom w:w="55" w:type="dxa"/>
              <w:end w:w="70" w:type="dxa"/>
            </w:tcMar>
            <w:shd w:fill="F8FAFC"/>
          </w:tcPr>
          <w:p>
            <w:r>
              <w:rPr>
                <w:rFonts w:ascii="Arial" w:hAnsi="Arial"/>
                <w:color w:val="1F2937"/>
                <w:sz w:val="15"/>
              </w:rPr>
              <w:t>HANDOFF</w:t>
            </w:r>
          </w:p>
        </w:tc>
        <w:tc>
          <w:tcPr>
            <w:tcW w:type="dxa" w:w="5141"/>
            <w:tcMar>
              <w:top w:w="55" w:type="dxa"/>
              <w:start w:w="70" w:type="dxa"/>
              <w:bottom w:w="55" w:type="dxa"/>
              <w:end w:w="70" w:type="dxa"/>
            </w:tcMar>
            <w:shd w:fill="F8FAFC"/>
          </w:tcPr>
          <w:p>
            <w:r>
              <w:rPr>
                <w:rFonts w:ascii="Arial" w:hAnsi="Arial"/>
                <w:color w:val="1F2937"/>
                <w:sz w:val="15"/>
              </w:rPr>
              <w:t>An active, consent-based connection to advocacy and specialty resources is stronger than a list alone.</w:t>
            </w:r>
          </w:p>
        </w:tc>
      </w:tr>
      <w:tr>
        <w:tc>
          <w:tcPr>
            <w:tcW w:type="dxa" w:w="5141"/>
            <w:tcMar>
              <w:top w:w="55" w:type="dxa"/>
              <w:start w:w="70" w:type="dxa"/>
              <w:bottom w:w="55" w:type="dxa"/>
              <w:end w:w="70" w:type="dxa"/>
            </w:tcMar>
          </w:tcPr>
          <w:p>
            <w:r>
              <w:rPr>
                <w:rFonts w:ascii="Arial" w:hAnsi="Arial"/>
                <w:color w:val="1F2937"/>
                <w:sz w:val="15"/>
              </w:rPr>
              <w:t>TEAM</w:t>
            </w:r>
          </w:p>
        </w:tc>
        <w:tc>
          <w:tcPr>
            <w:tcW w:type="dxa" w:w="5141"/>
            <w:tcMar>
              <w:top w:w="55" w:type="dxa"/>
              <w:start w:w="70" w:type="dxa"/>
              <w:bottom w:w="55" w:type="dxa"/>
              <w:end w:w="70" w:type="dxa"/>
            </w:tcMar>
          </w:tcPr>
          <w:p>
            <w:r>
              <w:rPr>
                <w:rFonts w:ascii="Arial" w:hAnsi="Arial"/>
                <w:color w:val="1F2937"/>
                <w:sz w:val="15"/>
              </w:rPr>
              <w:t>Medical and advocacy coordination should be purpose-limited, authorized, role-clear, and documented.</w:t>
            </w:r>
          </w:p>
        </w:tc>
      </w:tr>
    </w:tbl>
    <w:p>
      <w:pPr>
        <w:spacing w:after="0"/>
      </w:pPr>
    </w:p>
    <w:p>
      <w:pPr>
        <w:pStyle w:val="Heading2"/>
        <w:keepNext/>
      </w:pPr>
      <w:r>
        <w:t>My Case Reasoning Notes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65D"/>
            <w:vAlign w:val="center"/>
            <w:tcMar>
              <w:top w:w="70" w:type="dxa"/>
              <w:start w:w="75" w:type="dxa"/>
              <w:bottom w:w="70" w:type="dxa"/>
              <w:end w:w="75" w:type="dxa"/>
            </w:tcMar>
          </w:tcPr>
          <w:p>
            <w:pPr>
              <w:jc w:val="center"/>
            </w:pPr>
            <w:r>
              <w:rPr>
                <w:rFonts w:ascii="Arial" w:hAnsi="Arial"/>
                <w:b/>
                <w:color w:val="FFFFFF"/>
                <w:sz w:val="15"/>
              </w:rPr>
              <w:t>Most Important Safety Fact</w:t>
            </w:r>
          </w:p>
        </w:tc>
        <w:tc>
          <w:tcPr>
            <w:tcW w:type="dxa" w:w="2570"/>
            <w:shd w:fill="17365D"/>
            <w:vAlign w:val="center"/>
            <w:tcMar>
              <w:top w:w="70" w:type="dxa"/>
              <w:start w:w="75" w:type="dxa"/>
              <w:bottom w:w="70" w:type="dxa"/>
              <w:end w:w="75" w:type="dxa"/>
            </w:tcMar>
          </w:tcPr>
          <w:p>
            <w:pPr>
              <w:jc w:val="center"/>
            </w:pPr>
            <w:r>
              <w:rPr>
                <w:rFonts w:ascii="Arial" w:hAnsi="Arial"/>
                <w:b/>
                <w:color w:val="FFFFFF"/>
                <w:sz w:val="15"/>
              </w:rPr>
              <w:t>Scope / Competence Issue</w:t>
            </w:r>
          </w:p>
        </w:tc>
        <w:tc>
          <w:tcPr>
            <w:tcW w:type="dxa" w:w="2570"/>
            <w:shd w:fill="17365D"/>
            <w:vAlign w:val="center"/>
            <w:tcMar>
              <w:top w:w="70" w:type="dxa"/>
              <w:start w:w="75" w:type="dxa"/>
              <w:bottom w:w="70" w:type="dxa"/>
              <w:end w:w="75" w:type="dxa"/>
            </w:tcMar>
          </w:tcPr>
          <w:p>
            <w:pPr>
              <w:jc w:val="center"/>
            </w:pPr>
            <w:r>
              <w:rPr>
                <w:rFonts w:ascii="Arial" w:hAnsi="Arial"/>
                <w:b/>
                <w:color w:val="FFFFFF"/>
                <w:sz w:val="15"/>
              </w:rPr>
              <w:t>Best Handoff Step</w:t>
            </w:r>
          </w:p>
        </w:tc>
        <w:tc>
          <w:tcPr>
            <w:tcW w:type="dxa" w:w="2570"/>
            <w:shd w:fill="17365D"/>
            <w:vAlign w:val="center"/>
            <w:tcMar>
              <w:top w:w="70" w:type="dxa"/>
              <w:start w:w="75" w:type="dxa"/>
              <w:bottom w:w="70" w:type="dxa"/>
              <w:end w:w="75" w:type="dxa"/>
            </w:tcMar>
          </w:tcPr>
          <w:p>
            <w:pPr>
              <w:jc w:val="center"/>
            </w:pPr>
            <w:r>
              <w:rPr>
                <w:rFonts w:ascii="Arial" w:hAnsi="Arial"/>
                <w:b/>
                <w:color w:val="FFFFFF"/>
                <w:sz w:val="15"/>
              </w:rPr>
              <w:t>Team Follow-Up</w:t>
            </w:r>
          </w:p>
        </w:tc>
      </w:tr>
      <w:tr>
        <w:tc>
          <w:tcPr>
            <w:tcW w:type="dxa" w:w="2570"/>
            <w:tcMar>
              <w:top w:w="55" w:type="dxa"/>
              <w:start w:w="70" w:type="dxa"/>
              <w:bottom w:w="55" w:type="dxa"/>
              <w:end w:w="70" w:type="dxa"/>
            </w:tcMar>
          </w:tcPr>
          <w:p>
            <w:r>
              <w:rPr>
                <w:rFonts w:ascii="Arial" w:hAnsi="Arial"/>
                <w:color w:val="1F2937"/>
                <w:sz w:val="15"/>
              </w:rPr>
              <w:t>________________</w:t>
            </w:r>
          </w:p>
        </w:tc>
        <w:tc>
          <w:tcPr>
            <w:tcW w:type="dxa" w:w="2570"/>
            <w:tcMar>
              <w:top w:w="55" w:type="dxa"/>
              <w:start w:w="70" w:type="dxa"/>
              <w:bottom w:w="55" w:type="dxa"/>
              <w:end w:w="70" w:type="dxa"/>
            </w:tcMar>
          </w:tcPr>
          <w:p>
            <w:r>
              <w:rPr>
                <w:rFonts w:ascii="Arial" w:hAnsi="Arial"/>
                <w:color w:val="1F2937"/>
                <w:sz w:val="15"/>
              </w:rPr>
              <w:t>________________</w:t>
            </w:r>
          </w:p>
        </w:tc>
        <w:tc>
          <w:tcPr>
            <w:tcW w:type="dxa" w:w="2570"/>
            <w:tcMar>
              <w:top w:w="55" w:type="dxa"/>
              <w:start w:w="70" w:type="dxa"/>
              <w:bottom w:w="55" w:type="dxa"/>
              <w:end w:w="70" w:type="dxa"/>
            </w:tcMar>
          </w:tcPr>
          <w:p>
            <w:r>
              <w:rPr>
                <w:rFonts w:ascii="Arial" w:hAnsi="Arial"/>
                <w:color w:val="1F2937"/>
                <w:sz w:val="15"/>
              </w:rPr>
              <w:t>________________</w:t>
            </w:r>
          </w:p>
        </w:tc>
        <w:tc>
          <w:tcPr>
            <w:tcW w:type="dxa" w:w="2570"/>
            <w:tcMar>
              <w:top w:w="55" w:type="dxa"/>
              <w:start w:w="70" w:type="dxa"/>
              <w:bottom w:w="55" w:type="dxa"/>
              <w:end w:w="70" w:type="dxa"/>
            </w:tcMar>
          </w:tcPr>
          <w:p>
            <w:r>
              <w:rPr>
                <w:rFonts w:ascii="Arial" w:hAnsi="Arial"/>
                <w:color w:val="1F2937"/>
                <w:sz w:val="15"/>
              </w:rPr>
              <w:t>________________</w:t>
            </w:r>
          </w:p>
        </w:tc>
      </w:tr>
    </w:tbl>
    <w:p>
      <w:pPr>
        <w:spacing w:after="0"/>
      </w:pPr>
    </w:p>
    <w:p>
      <w:r>
        <w:br w:type="page"/>
      </w:r>
    </w:p>
    <w:p>
      <w:pPr>
        <w:pStyle w:val="Heading1"/>
        <w:keepNext/>
      </w:pPr>
      <w:r>
        <w:t>Knowledge Check</w:t>
      </w:r>
    </w:p>
    <w:p>
      <w:pPr>
        <w:spacing w:after="100"/>
      </w:pPr>
      <w:r>
        <w:rPr>
          <w:rFonts w:ascii="Arial" w:hAnsi="Arial"/>
          <w:b w:val="0"/>
          <w:i w:val="0"/>
          <w:color w:val="1F2937"/>
          <w:sz w:val="18"/>
        </w:rPr>
        <w:t>Choose the one best answer. Mark your confidence as High, Medium, or Low before reviewing the rationales.</w:t>
      </w:r>
    </w:p>
    <w:p>
      <w:pPr>
        <w:spacing w:before="80" w:after="40"/>
      </w:pPr>
      <w:r>
        <w:rPr>
          <w:rFonts w:ascii="Arial" w:hAnsi="Arial"/>
          <w:b/>
          <w:color w:val="17365D"/>
          <w:sz w:val="18"/>
        </w:rPr>
        <w:t>1. A client with improving depression asks whether group counseling would help with social isolation. What should the counselor do FIRST?</w:t>
      </w:r>
    </w:p>
    <w:p>
      <w:pPr>
        <w:spacing w:after="20"/>
        <w:ind w:left="259" w:hanging="259"/>
      </w:pPr>
      <w:r>
        <w:rPr>
          <w:rFonts w:ascii="Arial" w:hAnsi="Arial"/>
          <w:b/>
          <w:sz w:val="18"/>
        </w:rPr>
        <w:t xml:space="preserve">A. </w:t>
      </w:r>
      <w:r>
        <w:rPr>
          <w:rFonts w:ascii="Arial" w:hAnsi="Arial"/>
          <w:sz w:val="18"/>
        </w:rPr>
        <w:t>Enroll the client in the first available group because groups are efficient.</w:t>
      </w:r>
    </w:p>
    <w:p>
      <w:pPr>
        <w:spacing w:after="20"/>
        <w:ind w:left="259" w:hanging="259"/>
      </w:pPr>
      <w:r>
        <w:rPr>
          <w:rFonts w:ascii="Arial" w:hAnsi="Arial"/>
          <w:b/>
          <w:sz w:val="18"/>
        </w:rPr>
        <w:t xml:space="preserve">B. </w:t>
      </w:r>
      <w:r>
        <w:rPr>
          <w:rFonts w:ascii="Arial" w:hAnsi="Arial"/>
          <w:sz w:val="18"/>
        </w:rPr>
        <w:t>Assess the group’s purpose, the client’s goals, readiness, risks, preferences, and access needs.</w:t>
      </w:r>
    </w:p>
    <w:p>
      <w:pPr>
        <w:spacing w:after="20"/>
        <w:ind w:left="259" w:hanging="259"/>
      </w:pPr>
      <w:r>
        <w:rPr>
          <w:rFonts w:ascii="Arial" w:hAnsi="Arial"/>
          <w:b/>
          <w:sz w:val="18"/>
        </w:rPr>
        <w:t xml:space="preserve">C. </w:t>
      </w:r>
      <w:r>
        <w:rPr>
          <w:rFonts w:ascii="Arial" w:hAnsi="Arial"/>
          <w:sz w:val="18"/>
        </w:rPr>
        <w:t>Recommend individual counseling only because the client already has a diagnosis.</w:t>
      </w:r>
    </w:p>
    <w:p>
      <w:pPr>
        <w:spacing w:after="20"/>
        <w:ind w:left="259" w:hanging="259"/>
      </w:pPr>
      <w:r>
        <w:rPr>
          <w:rFonts w:ascii="Arial" w:hAnsi="Arial"/>
          <w:b/>
          <w:sz w:val="18"/>
        </w:rPr>
        <w:t xml:space="preserve">D. </w:t>
      </w:r>
      <w:r>
        <w:rPr>
          <w:rFonts w:ascii="Arial" w:hAnsi="Arial"/>
          <w:sz w:val="18"/>
        </w:rPr>
        <w:t>Ask the client to choose without discussing differences among options.</w:t>
      </w:r>
    </w:p>
    <w:p>
      <w:pPr>
        <w:spacing w:before="80" w:after="40"/>
      </w:pPr>
      <w:r>
        <w:rPr>
          <w:rFonts w:ascii="Arial" w:hAnsi="Arial"/>
          <w:b/>
          <w:color w:val="17365D"/>
          <w:sz w:val="18"/>
        </w:rPr>
        <w:t>2. During a process group, one member repeatedly interrupts and other members withdraw. What is the BEST initial response?</w:t>
      </w:r>
    </w:p>
    <w:p>
      <w:pPr>
        <w:spacing w:after="20"/>
        <w:ind w:left="259" w:hanging="259"/>
      </w:pPr>
      <w:r>
        <w:rPr>
          <w:rFonts w:ascii="Arial" w:hAnsi="Arial"/>
          <w:b/>
          <w:sz w:val="18"/>
        </w:rPr>
        <w:t xml:space="preserve">A. </w:t>
      </w:r>
      <w:r>
        <w:rPr>
          <w:rFonts w:ascii="Arial" w:hAnsi="Arial"/>
          <w:sz w:val="18"/>
        </w:rPr>
        <w:t>Ignore the behavior so the group can correct itself.</w:t>
      </w:r>
    </w:p>
    <w:p>
      <w:pPr>
        <w:spacing w:after="20"/>
        <w:ind w:left="259" w:hanging="259"/>
      </w:pPr>
      <w:r>
        <w:rPr>
          <w:rFonts w:ascii="Arial" w:hAnsi="Arial"/>
          <w:b/>
          <w:sz w:val="18"/>
        </w:rPr>
        <w:t xml:space="preserve">B. </w:t>
      </w:r>
      <w:r>
        <w:rPr>
          <w:rFonts w:ascii="Arial" w:hAnsi="Arial"/>
          <w:sz w:val="18"/>
        </w:rPr>
        <w:t>Remove the member immediately.</w:t>
      </w:r>
    </w:p>
    <w:p>
      <w:pPr>
        <w:spacing w:after="20"/>
        <w:ind w:left="259" w:hanging="259"/>
      </w:pPr>
      <w:r>
        <w:rPr>
          <w:rFonts w:ascii="Arial" w:hAnsi="Arial"/>
          <w:b/>
          <w:sz w:val="18"/>
        </w:rPr>
        <w:t xml:space="preserve">C. </w:t>
      </w:r>
      <w:r>
        <w:rPr>
          <w:rFonts w:ascii="Arial" w:hAnsi="Arial"/>
          <w:sz w:val="18"/>
        </w:rPr>
        <w:t>Name the interaction pattern respectfully, protect airtime, and invite reflection on its impact.</w:t>
      </w:r>
    </w:p>
    <w:p>
      <w:pPr>
        <w:spacing w:after="20"/>
        <w:ind w:left="259" w:hanging="259"/>
      </w:pPr>
      <w:r>
        <w:rPr>
          <w:rFonts w:ascii="Arial" w:hAnsi="Arial"/>
          <w:b/>
          <w:sz w:val="18"/>
        </w:rPr>
        <w:t xml:space="preserve">D. </w:t>
      </w:r>
      <w:r>
        <w:rPr>
          <w:rFonts w:ascii="Arial" w:hAnsi="Arial"/>
          <w:sz w:val="18"/>
        </w:rPr>
        <w:t>End the session early and address the matter next week.</w:t>
      </w:r>
    </w:p>
    <w:p>
      <w:pPr>
        <w:spacing w:before="80" w:after="40"/>
      </w:pPr>
      <w:r>
        <w:rPr>
          <w:rFonts w:ascii="Arial" w:hAnsi="Arial"/>
          <w:b/>
          <w:color w:val="17365D"/>
          <w:sz w:val="18"/>
        </w:rPr>
        <w:t>3. A client asks to bring a partner to the next session. Which action is MOST appropriate before agreeing?</w:t>
      </w:r>
    </w:p>
    <w:p>
      <w:pPr>
        <w:spacing w:after="20"/>
        <w:ind w:left="259" w:hanging="259"/>
      </w:pPr>
      <w:r>
        <w:rPr>
          <w:rFonts w:ascii="Arial" w:hAnsi="Arial"/>
          <w:b/>
          <w:sz w:val="18"/>
        </w:rPr>
        <w:t xml:space="preserve">A. </w:t>
      </w:r>
      <w:r>
        <w:rPr>
          <w:rFonts w:ascii="Arial" w:hAnsi="Arial"/>
          <w:sz w:val="18"/>
        </w:rPr>
        <w:t>Clarify goals, safety, client identity, consent, records, confidentiality, and counselor competence.</w:t>
      </w:r>
    </w:p>
    <w:p>
      <w:pPr>
        <w:spacing w:after="20"/>
        <w:ind w:left="259" w:hanging="259"/>
      </w:pPr>
      <w:r>
        <w:rPr>
          <w:rFonts w:ascii="Arial" w:hAnsi="Arial"/>
          <w:b/>
          <w:sz w:val="18"/>
        </w:rPr>
        <w:t xml:space="preserve">B. </w:t>
      </w:r>
      <w:r>
        <w:rPr>
          <w:rFonts w:ascii="Arial" w:hAnsi="Arial"/>
          <w:sz w:val="18"/>
        </w:rPr>
        <w:t>Agree because client preference controls modality selection.</w:t>
      </w:r>
    </w:p>
    <w:p>
      <w:pPr>
        <w:spacing w:after="20"/>
        <w:ind w:left="259" w:hanging="259"/>
      </w:pPr>
      <w:r>
        <w:rPr>
          <w:rFonts w:ascii="Arial" w:hAnsi="Arial"/>
          <w:b/>
          <w:sz w:val="18"/>
        </w:rPr>
        <w:t xml:space="preserve">C. </w:t>
      </w:r>
      <w:r>
        <w:rPr>
          <w:rFonts w:ascii="Arial" w:hAnsi="Arial"/>
          <w:sz w:val="18"/>
        </w:rPr>
        <w:t>Decline because LPCCs may never meet with couples.</w:t>
      </w:r>
    </w:p>
    <w:p>
      <w:pPr>
        <w:spacing w:after="20"/>
        <w:ind w:left="259" w:hanging="259"/>
      </w:pPr>
      <w:r>
        <w:rPr>
          <w:rFonts w:ascii="Arial" w:hAnsi="Arial"/>
          <w:b/>
          <w:sz w:val="18"/>
        </w:rPr>
        <w:t xml:space="preserve">D. </w:t>
      </w:r>
      <w:r>
        <w:rPr>
          <w:rFonts w:ascii="Arial" w:hAnsi="Arial"/>
          <w:sz w:val="18"/>
        </w:rPr>
        <w:t>Ask the partner to sign a generic release and begin treatment.</w:t>
      </w:r>
    </w:p>
    <w:p>
      <w:pPr>
        <w:spacing w:before="80" w:after="40"/>
      </w:pPr>
      <w:r>
        <w:rPr>
          <w:rFonts w:ascii="Arial" w:hAnsi="Arial"/>
          <w:b/>
          <w:color w:val="17365D"/>
          <w:sz w:val="18"/>
        </w:rPr>
        <w:t>4. A counselor identifies a need for specialized eating-disorder treatment. Which referral action is BEST?</w:t>
      </w:r>
    </w:p>
    <w:p>
      <w:pPr>
        <w:spacing w:after="20"/>
        <w:ind w:left="259" w:hanging="259"/>
      </w:pPr>
      <w:r>
        <w:rPr>
          <w:rFonts w:ascii="Arial" w:hAnsi="Arial"/>
          <w:b/>
          <w:sz w:val="18"/>
        </w:rPr>
        <w:t xml:space="preserve">A. </w:t>
      </w:r>
      <w:r>
        <w:rPr>
          <w:rFonts w:ascii="Arial" w:hAnsi="Arial"/>
          <w:sz w:val="18"/>
        </w:rPr>
        <w:t>Give the client a national directory and close the case.</w:t>
      </w:r>
    </w:p>
    <w:p>
      <w:pPr>
        <w:spacing w:after="20"/>
        <w:ind w:left="259" w:hanging="259"/>
      </w:pPr>
      <w:r>
        <w:rPr>
          <w:rFonts w:ascii="Arial" w:hAnsi="Arial"/>
          <w:b/>
          <w:sz w:val="18"/>
        </w:rPr>
        <w:t xml:space="preserve">B. </w:t>
      </w:r>
      <w:r>
        <w:rPr>
          <w:rFonts w:ascii="Arial" w:hAnsi="Arial"/>
          <w:sz w:val="18"/>
        </w:rPr>
        <w:t>Tell the client to search for a specialist independently.</w:t>
      </w:r>
    </w:p>
    <w:p>
      <w:pPr>
        <w:spacing w:after="20"/>
        <w:ind w:left="259" w:hanging="259"/>
      </w:pPr>
      <w:r>
        <w:rPr>
          <w:rFonts w:ascii="Arial" w:hAnsi="Arial"/>
          <w:b/>
          <w:sz w:val="18"/>
        </w:rPr>
        <w:t xml:space="preserve">C. </w:t>
      </w:r>
      <w:r>
        <w:rPr>
          <w:rFonts w:ascii="Arial" w:hAnsi="Arial"/>
          <w:sz w:val="18"/>
        </w:rPr>
        <w:t>Continue current treatment without discussing specialty care to preserve rapport.</w:t>
      </w:r>
    </w:p>
    <w:p>
      <w:pPr>
        <w:spacing w:after="20"/>
        <w:ind w:left="259" w:hanging="259"/>
      </w:pPr>
      <w:r>
        <w:rPr>
          <w:rFonts w:ascii="Arial" w:hAnsi="Arial"/>
          <w:b/>
          <w:sz w:val="18"/>
        </w:rPr>
        <w:t xml:space="preserve">D. </w:t>
      </w:r>
      <w:r>
        <w:rPr>
          <w:rFonts w:ascii="Arial" w:hAnsi="Arial"/>
          <w:sz w:val="18"/>
        </w:rPr>
        <w:t>Explain the need, identify qualified and accessible options, offer a warm handoff, and follow up.</w:t>
      </w:r>
    </w:p>
    <w:p>
      <w:pPr>
        <w:spacing w:before="80" w:after="40"/>
      </w:pPr>
      <w:r>
        <w:rPr>
          <w:rFonts w:ascii="Arial" w:hAnsi="Arial"/>
          <w:b/>
          <w:color w:val="17365D"/>
          <w:sz w:val="18"/>
        </w:rPr>
        <w:t>5. A prescriber asks the counselor whether the client should increase an antidepressant dose. What should the counselor do?</w:t>
      </w:r>
    </w:p>
    <w:p>
      <w:pPr>
        <w:spacing w:after="20"/>
        <w:ind w:left="259" w:hanging="259"/>
      </w:pPr>
      <w:r>
        <w:rPr>
          <w:rFonts w:ascii="Arial" w:hAnsi="Arial"/>
          <w:b/>
          <w:sz w:val="18"/>
        </w:rPr>
        <w:t xml:space="preserve">A. </w:t>
      </w:r>
      <w:r>
        <w:rPr>
          <w:rFonts w:ascii="Arial" w:hAnsi="Arial"/>
          <w:sz w:val="18"/>
        </w:rPr>
        <w:t>Recommend the increase based on observed symptoms.</w:t>
      </w:r>
    </w:p>
    <w:p>
      <w:pPr>
        <w:spacing w:after="20"/>
        <w:ind w:left="259" w:hanging="259"/>
      </w:pPr>
      <w:r>
        <w:rPr>
          <w:rFonts w:ascii="Arial" w:hAnsi="Arial"/>
          <w:b/>
          <w:sz w:val="18"/>
        </w:rPr>
        <w:t xml:space="preserve">B. </w:t>
      </w:r>
      <w:r>
        <w:rPr>
          <w:rFonts w:ascii="Arial" w:hAnsi="Arial"/>
          <w:sz w:val="18"/>
        </w:rPr>
        <w:t>Share relevant clinical observations within authorization and defer medication decisions to the prescriber.</w:t>
      </w:r>
    </w:p>
    <w:p>
      <w:pPr>
        <w:spacing w:after="20"/>
        <w:ind w:left="259" w:hanging="259"/>
      </w:pPr>
      <w:r>
        <w:rPr>
          <w:rFonts w:ascii="Arial" w:hAnsi="Arial"/>
          <w:b/>
          <w:sz w:val="18"/>
        </w:rPr>
        <w:t xml:space="preserve">C. </w:t>
      </w:r>
      <w:r>
        <w:rPr>
          <w:rFonts w:ascii="Arial" w:hAnsi="Arial"/>
          <w:sz w:val="18"/>
        </w:rPr>
        <w:t>Refuse all communication because medication is outside LPCC scope.</w:t>
      </w:r>
    </w:p>
    <w:p>
      <w:pPr>
        <w:spacing w:after="20"/>
        <w:ind w:left="259" w:hanging="259"/>
      </w:pPr>
      <w:r>
        <w:rPr>
          <w:rFonts w:ascii="Arial" w:hAnsi="Arial"/>
          <w:b/>
          <w:sz w:val="18"/>
        </w:rPr>
        <w:t xml:space="preserve">D. </w:t>
      </w:r>
      <w:r>
        <w:rPr>
          <w:rFonts w:ascii="Arial" w:hAnsi="Arial"/>
          <w:sz w:val="18"/>
        </w:rPr>
        <w:t>Ask the client to change the dose and report back.</w:t>
      </w:r>
    </w:p>
    <w:p>
      <w:r>
        <w:br w:type="page"/>
      </w:r>
    </w:p>
    <w:p>
      <w:pPr>
        <w:spacing w:before="80" w:after="40"/>
      </w:pPr>
      <w:r>
        <w:rPr>
          <w:rFonts w:ascii="Arial" w:hAnsi="Arial"/>
          <w:b/>
          <w:color w:val="17365D"/>
          <w:sz w:val="18"/>
        </w:rPr>
        <w:t>6. A member discloses suicidal intent during a virtual group. What is the group leader’s priority?</w:t>
      </w:r>
    </w:p>
    <w:p>
      <w:pPr>
        <w:spacing w:after="20"/>
        <w:ind w:left="259" w:hanging="259"/>
      </w:pPr>
      <w:r>
        <w:rPr>
          <w:rFonts w:ascii="Arial" w:hAnsi="Arial"/>
          <w:b/>
          <w:sz w:val="18"/>
        </w:rPr>
        <w:t xml:space="preserve">A. </w:t>
      </w:r>
      <w:r>
        <w:rPr>
          <w:rFonts w:ascii="Arial" w:hAnsi="Arial"/>
          <w:sz w:val="18"/>
        </w:rPr>
        <w:t>Continue the group so other members are not disrupted.</w:t>
      </w:r>
    </w:p>
    <w:p>
      <w:pPr>
        <w:spacing w:after="20"/>
        <w:ind w:left="259" w:hanging="259"/>
      </w:pPr>
      <w:r>
        <w:rPr>
          <w:rFonts w:ascii="Arial" w:hAnsi="Arial"/>
          <w:b/>
          <w:sz w:val="18"/>
        </w:rPr>
        <w:t xml:space="preserve">B. </w:t>
      </w:r>
      <w:r>
        <w:rPr>
          <w:rFonts w:ascii="Arial" w:hAnsi="Arial"/>
          <w:sz w:val="18"/>
        </w:rPr>
        <w:t>Ask another member to monitor the person after group.</w:t>
      </w:r>
    </w:p>
    <w:p>
      <w:pPr>
        <w:spacing w:after="20"/>
        <w:ind w:left="259" w:hanging="259"/>
      </w:pPr>
      <w:r>
        <w:rPr>
          <w:rFonts w:ascii="Arial" w:hAnsi="Arial"/>
          <w:b/>
          <w:sz w:val="18"/>
        </w:rPr>
        <w:t xml:space="preserve">C. </w:t>
      </w:r>
      <w:r>
        <w:rPr>
          <w:rFonts w:ascii="Arial" w:hAnsi="Arial"/>
          <w:sz w:val="18"/>
        </w:rPr>
        <w:t>Initiate the established emergency protocol, assess immediate risk and location, and arrange appropriate help.</w:t>
      </w:r>
    </w:p>
    <w:p>
      <w:pPr>
        <w:spacing w:after="20"/>
        <w:ind w:left="259" w:hanging="259"/>
      </w:pPr>
      <w:r>
        <w:rPr>
          <w:rFonts w:ascii="Arial" w:hAnsi="Arial"/>
          <w:b/>
          <w:sz w:val="18"/>
        </w:rPr>
        <w:t xml:space="preserve">D. </w:t>
      </w:r>
      <w:r>
        <w:rPr>
          <w:rFonts w:ascii="Arial" w:hAnsi="Arial"/>
          <w:sz w:val="18"/>
        </w:rPr>
        <w:t>Promise confidentiality and discuss the issue privately next week.</w:t>
      </w:r>
    </w:p>
    <w:p>
      <w:pPr>
        <w:spacing w:before="80" w:after="40"/>
      </w:pPr>
      <w:r>
        <w:rPr>
          <w:rFonts w:ascii="Arial" w:hAnsi="Arial"/>
          <w:b/>
          <w:color w:val="17365D"/>
          <w:sz w:val="18"/>
        </w:rPr>
        <w:t>7. Which statement about group confidentiality is MOST accurate?</w:t>
      </w:r>
    </w:p>
    <w:p>
      <w:pPr>
        <w:spacing w:after="20"/>
        <w:ind w:left="259" w:hanging="259"/>
      </w:pPr>
      <w:r>
        <w:rPr>
          <w:rFonts w:ascii="Arial" w:hAnsi="Arial"/>
          <w:b/>
          <w:sz w:val="18"/>
        </w:rPr>
        <w:t xml:space="preserve">A. </w:t>
      </w:r>
      <w:r>
        <w:rPr>
          <w:rFonts w:ascii="Arial" w:hAnsi="Arial"/>
          <w:sz w:val="18"/>
        </w:rPr>
        <w:t>The counselor can guarantee that members will not repeat information.</w:t>
      </w:r>
    </w:p>
    <w:p>
      <w:pPr>
        <w:spacing w:after="20"/>
        <w:ind w:left="259" w:hanging="259"/>
      </w:pPr>
      <w:r>
        <w:rPr>
          <w:rFonts w:ascii="Arial" w:hAnsi="Arial"/>
          <w:b/>
          <w:sz w:val="18"/>
        </w:rPr>
        <w:t xml:space="preserve">B. </w:t>
      </w:r>
      <w:r>
        <w:rPr>
          <w:rFonts w:ascii="Arial" w:hAnsi="Arial"/>
          <w:sz w:val="18"/>
        </w:rPr>
        <w:t>Confidentiality does not apply in group counseling.</w:t>
      </w:r>
    </w:p>
    <w:p>
      <w:pPr>
        <w:spacing w:after="20"/>
        <w:ind w:left="259" w:hanging="259"/>
      </w:pPr>
      <w:r>
        <w:rPr>
          <w:rFonts w:ascii="Arial" w:hAnsi="Arial"/>
          <w:b/>
          <w:sz w:val="18"/>
        </w:rPr>
        <w:t xml:space="preserve">C. </w:t>
      </w:r>
      <w:r>
        <w:rPr>
          <w:rFonts w:ascii="Arial" w:hAnsi="Arial"/>
          <w:sz w:val="18"/>
        </w:rPr>
        <w:t>Only written disclosures by members create a confidentiality concern.</w:t>
      </w:r>
    </w:p>
    <w:p>
      <w:pPr>
        <w:spacing w:after="20"/>
        <w:ind w:left="259" w:hanging="259"/>
      </w:pPr>
      <w:r>
        <w:rPr>
          <w:rFonts w:ascii="Arial" w:hAnsi="Arial"/>
          <w:b/>
          <w:sz w:val="18"/>
        </w:rPr>
        <w:t xml:space="preserve">D. </w:t>
      </w:r>
      <w:r>
        <w:rPr>
          <w:rFonts w:ascii="Arial" w:hAnsi="Arial"/>
          <w:sz w:val="18"/>
        </w:rPr>
        <w:t>The counselor protects information within professional control and explains that member behavior creates additional limits.</w:t>
      </w:r>
    </w:p>
    <w:p>
      <w:pPr>
        <w:spacing w:before="80" w:after="40"/>
      </w:pPr>
      <w:r>
        <w:rPr>
          <w:rFonts w:ascii="Arial" w:hAnsi="Arial"/>
          <w:b/>
          <w:color w:val="17365D"/>
          <w:sz w:val="18"/>
        </w:rPr>
        <w:t>8. An LPCC has minimal training in high-conflict couple treatment. A couple presents with escalating verbal aggression but no immediate danger. What is the BEST response?</w:t>
      </w:r>
    </w:p>
    <w:p>
      <w:pPr>
        <w:spacing w:after="20"/>
        <w:ind w:left="259" w:hanging="259"/>
      </w:pPr>
      <w:r>
        <w:rPr>
          <w:rFonts w:ascii="Arial" w:hAnsi="Arial"/>
          <w:b/>
          <w:sz w:val="18"/>
        </w:rPr>
        <w:t xml:space="preserve">A. </w:t>
      </w:r>
      <w:r>
        <w:rPr>
          <w:rFonts w:ascii="Arial" w:hAnsi="Arial"/>
          <w:sz w:val="18"/>
        </w:rPr>
        <w:t>Begin conjoint treatment and learn the model while practicing.</w:t>
      </w:r>
    </w:p>
    <w:p>
      <w:pPr>
        <w:spacing w:after="20"/>
        <w:ind w:left="259" w:hanging="259"/>
      </w:pPr>
      <w:r>
        <w:rPr>
          <w:rFonts w:ascii="Arial" w:hAnsi="Arial"/>
          <w:b/>
          <w:sz w:val="18"/>
        </w:rPr>
        <w:t xml:space="preserve">B. </w:t>
      </w:r>
      <w:r>
        <w:rPr>
          <w:rFonts w:ascii="Arial" w:hAnsi="Arial"/>
          <w:sz w:val="18"/>
        </w:rPr>
        <w:t>Assess safety and needs, obtain consultation, and refer or co-manage if competence is insufficient.</w:t>
      </w:r>
    </w:p>
    <w:p>
      <w:pPr>
        <w:spacing w:after="20"/>
        <w:ind w:left="259" w:hanging="259"/>
      </w:pPr>
      <w:r>
        <w:rPr>
          <w:rFonts w:ascii="Arial" w:hAnsi="Arial"/>
          <w:b/>
          <w:sz w:val="18"/>
        </w:rPr>
        <w:t xml:space="preserve">C. </w:t>
      </w:r>
      <w:r>
        <w:rPr>
          <w:rFonts w:ascii="Arial" w:hAnsi="Arial"/>
          <w:sz w:val="18"/>
        </w:rPr>
        <w:t>Provide only individual treatment to both partners separately.</w:t>
      </w:r>
    </w:p>
    <w:p>
      <w:pPr>
        <w:spacing w:after="20"/>
        <w:ind w:left="259" w:hanging="259"/>
      </w:pPr>
      <w:r>
        <w:rPr>
          <w:rFonts w:ascii="Arial" w:hAnsi="Arial"/>
          <w:b/>
          <w:sz w:val="18"/>
        </w:rPr>
        <w:t xml:space="preserve">D. </w:t>
      </w:r>
      <w:r>
        <w:rPr>
          <w:rFonts w:ascii="Arial" w:hAnsi="Arial"/>
          <w:sz w:val="18"/>
        </w:rPr>
        <w:t>Avoid discussing competence because it may reduce confidence.</w:t>
      </w:r>
    </w:p>
    <w:p>
      <w:pPr>
        <w:spacing w:before="80" w:after="40"/>
      </w:pPr>
      <w:r>
        <w:rPr>
          <w:rFonts w:ascii="Arial" w:hAnsi="Arial"/>
          <w:b/>
          <w:color w:val="17365D"/>
          <w:sz w:val="18"/>
        </w:rPr>
        <w:t>9. A hospital discharge planner sends a vague note stating that a client “needs therapy” after hospitalization. What should the outpatient counselor do FIRST?</w:t>
      </w:r>
    </w:p>
    <w:p>
      <w:pPr>
        <w:spacing w:after="20"/>
        <w:ind w:left="259" w:hanging="259"/>
      </w:pPr>
      <w:r>
        <w:rPr>
          <w:rFonts w:ascii="Arial" w:hAnsi="Arial"/>
          <w:b/>
          <w:sz w:val="18"/>
        </w:rPr>
        <w:t xml:space="preserve">A. </w:t>
      </w:r>
      <w:r>
        <w:rPr>
          <w:rFonts w:ascii="Arial" w:hAnsi="Arial"/>
          <w:sz w:val="18"/>
        </w:rPr>
        <w:t>Clarify current risk, diagnosis, medications, discharge recommendations, follow-up needs, and the client’s consent for coordination.</w:t>
      </w:r>
    </w:p>
    <w:p>
      <w:pPr>
        <w:spacing w:after="20"/>
        <w:ind w:left="259" w:hanging="259"/>
      </w:pPr>
      <w:r>
        <w:rPr>
          <w:rFonts w:ascii="Arial" w:hAnsi="Arial"/>
          <w:b/>
          <w:sz w:val="18"/>
        </w:rPr>
        <w:t xml:space="preserve">B. </w:t>
      </w:r>
      <w:r>
        <w:rPr>
          <w:rFonts w:ascii="Arial" w:hAnsi="Arial"/>
          <w:sz w:val="18"/>
        </w:rPr>
        <w:t>Schedule monthly counseling without further information.</w:t>
      </w:r>
    </w:p>
    <w:p>
      <w:pPr>
        <w:spacing w:after="20"/>
        <w:ind w:left="259" w:hanging="259"/>
      </w:pPr>
      <w:r>
        <w:rPr>
          <w:rFonts w:ascii="Arial" w:hAnsi="Arial"/>
          <w:b/>
          <w:sz w:val="18"/>
        </w:rPr>
        <w:t xml:space="preserve">C. </w:t>
      </w:r>
      <w:r>
        <w:rPr>
          <w:rFonts w:ascii="Arial" w:hAnsi="Arial"/>
          <w:sz w:val="18"/>
        </w:rPr>
        <w:t>Request the entire hospital record automatically.</w:t>
      </w:r>
    </w:p>
    <w:p>
      <w:pPr>
        <w:spacing w:after="20"/>
        <w:ind w:left="259" w:hanging="259"/>
      </w:pPr>
      <w:r>
        <w:rPr>
          <w:rFonts w:ascii="Arial" w:hAnsi="Arial"/>
          <w:b/>
          <w:sz w:val="18"/>
        </w:rPr>
        <w:t xml:space="preserve">D. </w:t>
      </w:r>
      <w:r>
        <w:rPr>
          <w:rFonts w:ascii="Arial" w:hAnsi="Arial"/>
          <w:sz w:val="18"/>
        </w:rPr>
        <w:t>Decline the referral because the note is incomplete.</w:t>
      </w:r>
    </w:p>
    <w:p>
      <w:pPr>
        <w:spacing w:before="80" w:after="40"/>
      </w:pPr>
      <w:r>
        <w:rPr>
          <w:rFonts w:ascii="Arial" w:hAnsi="Arial"/>
          <w:b/>
          <w:color w:val="17365D"/>
          <w:sz w:val="18"/>
        </w:rPr>
        <w:t>10. Two team members give conflicting recommendations and the client feels excluded. What is the BEST counselor response?</w:t>
      </w:r>
    </w:p>
    <w:p>
      <w:pPr>
        <w:spacing w:after="20"/>
        <w:ind w:left="259" w:hanging="259"/>
      </w:pPr>
      <w:r>
        <w:rPr>
          <w:rFonts w:ascii="Arial" w:hAnsi="Arial"/>
          <w:b/>
          <w:sz w:val="18"/>
        </w:rPr>
        <w:t xml:space="preserve">A. </w:t>
      </w:r>
      <w:r>
        <w:rPr>
          <w:rFonts w:ascii="Arial" w:hAnsi="Arial"/>
          <w:sz w:val="18"/>
        </w:rPr>
        <w:t>Choose the recommendation from the highest-ranking professional.</w:t>
      </w:r>
    </w:p>
    <w:p>
      <w:pPr>
        <w:spacing w:after="20"/>
        <w:ind w:left="259" w:hanging="259"/>
      </w:pPr>
      <w:r>
        <w:rPr>
          <w:rFonts w:ascii="Arial" w:hAnsi="Arial"/>
          <w:b/>
          <w:sz w:val="18"/>
        </w:rPr>
        <w:t xml:space="preserve">B. </w:t>
      </w:r>
      <w:r>
        <w:rPr>
          <w:rFonts w:ascii="Arial" w:hAnsi="Arial"/>
          <w:sz w:val="18"/>
        </w:rPr>
        <w:t>Ask the client to decide without further explanation.</w:t>
      </w:r>
    </w:p>
    <w:p>
      <w:pPr>
        <w:spacing w:after="20"/>
        <w:ind w:left="259" w:hanging="259"/>
      </w:pPr>
      <w:r>
        <w:rPr>
          <w:rFonts w:ascii="Arial" w:hAnsi="Arial"/>
          <w:b/>
          <w:sz w:val="18"/>
        </w:rPr>
        <w:t xml:space="preserve">C. </w:t>
      </w:r>
      <w:r>
        <w:rPr>
          <w:rFonts w:ascii="Arial" w:hAnsi="Arial"/>
          <w:sz w:val="18"/>
        </w:rPr>
        <w:t>Clarify each rationale, center the client’s goals and safety, define decision roles, and develop an integrated plan.</w:t>
      </w:r>
    </w:p>
    <w:p>
      <w:pPr>
        <w:spacing w:after="20"/>
        <w:ind w:left="259" w:hanging="259"/>
      </w:pPr>
      <w:r>
        <w:rPr>
          <w:rFonts w:ascii="Arial" w:hAnsi="Arial"/>
          <w:b/>
          <w:sz w:val="18"/>
        </w:rPr>
        <w:t xml:space="preserve">D. </w:t>
      </w:r>
      <w:r>
        <w:rPr>
          <w:rFonts w:ascii="Arial" w:hAnsi="Arial"/>
          <w:sz w:val="18"/>
        </w:rPr>
        <w:t>Document the disagreement and take no further action.</w:t>
      </w:r>
    </w:p>
    <w:tbl>
      <w:tblPr>
        <w:tblW w:type="auto" w:w="0"/>
        <w:jc w:val="center"/>
        <w:tblLayout w:type="autofit"/>
        <w:tblLook w:firstColumn="1" w:firstRow="1" w:lastColumn="0" w:lastRow="0" w:noHBand="0" w:noVBand="1" w:val="04A0"/>
      </w:tblPr>
      <w:tblGrid>
        <w:gridCol w:w="10282"/>
      </w:tblGrid>
      <w:tr>
        <w:tc>
          <w:tcPr>
            <w:tcW w:type="dxa" w:w="10282"/>
            <w:shd w:fill="F2F4F6"/>
            <w:tcBorders>
              <w:top w:val="single" w:sz="8" w:color="9CA3AF"/>
              <w:left w:val="single" w:sz="8" w:color="9CA3AF"/>
              <w:bottom w:val="single" w:sz="8" w:color="9CA3AF"/>
              <w:right w:val="single" w:sz="8" w:color="9CA3AF"/>
            </w:tcBorders>
            <w:tcMar>
              <w:top w:w="90" w:type="dxa"/>
              <w:start w:w="120" w:type="dxa"/>
              <w:bottom w:w="90" w:type="dxa"/>
              <w:end w:w="120" w:type="dxa"/>
            </w:tcMar>
          </w:tcPr>
          <w:p>
            <w:pPr>
              <w:spacing w:after="40"/>
            </w:pPr>
            <w:r>
              <w:rPr>
                <w:rFonts w:ascii="Arial" w:hAnsi="Arial"/>
                <w:b/>
                <w:color w:val="17365D"/>
                <w:sz w:val="19"/>
              </w:rPr>
              <w:t>SCORE REFLECTION</w:t>
            </w:r>
          </w:p>
          <w:p>
            <w:pPr>
              <w:spacing w:after="0"/>
            </w:pPr>
            <w:r>
              <w:rPr>
                <w:rFonts w:ascii="Arial" w:hAnsi="Arial"/>
                <w:color w:val="1F2937"/>
                <w:sz w:val="18"/>
              </w:rPr>
              <w:t>Raw score: ____ / 10    High-confidence misses: ____    Primary error code: ____    One rule I will apply next time: ____________________________________________</w:t>
            </w:r>
          </w:p>
        </w:tc>
      </w:tr>
    </w:tbl>
    <w:p>
      <w:pPr>
        <w:spacing w:after="0"/>
      </w:pPr>
    </w:p>
    <w:p>
      <w:r>
        <w:br w:type="page"/>
      </w:r>
    </w:p>
    <w:p>
      <w:pPr>
        <w:pStyle w:val="Heading1"/>
        <w:keepNext/>
      </w:pPr>
      <w:r>
        <w:t>Answer Key and Detailed Rationales</w:t>
      </w:r>
    </w:p>
    <w:p>
      <w:pPr>
        <w:spacing w:after="100"/>
      </w:pPr>
      <w:r>
        <w:rPr>
          <w:rFonts w:ascii="Arial" w:hAnsi="Arial"/>
          <w:b w:val="0"/>
          <w:i w:val="0"/>
          <w:color w:val="1F2937"/>
          <w:sz w:val="18"/>
        </w:rPr>
        <w:t>Review the reasoning, not only the correct letter. For every missed or low-confidence item, write the rule you should have used.</w:t>
      </w:r>
    </w:p>
    <w:p>
      <w:pPr>
        <w:spacing w:before="100" w:after="40"/>
      </w:pPr>
      <w:r>
        <w:rPr>
          <w:rFonts w:ascii="Arial" w:hAnsi="Arial"/>
          <w:b/>
          <w:color w:val="17365D"/>
          <w:sz w:val="18"/>
        </w:rPr>
        <w:t>1. Correct Answer: B</w:t>
      </w:r>
    </w:p>
    <w:p>
      <w:pPr>
        <w:spacing w:after="40"/>
      </w:pPr>
      <w:r>
        <w:rPr>
          <w:rFonts w:ascii="Arial" w:hAnsi="Arial"/>
          <w:b/>
          <w:sz w:val="17"/>
        </w:rPr>
        <w:t xml:space="preserve">Why B is correct: </w:t>
      </w:r>
      <w:r>
        <w:rPr>
          <w:rFonts w:ascii="Arial" w:hAnsi="Arial"/>
          <w:sz w:val="17"/>
        </w:rPr>
        <w:t>The counselor must first determine whether the specific group and the client are a good match. Purpose, readiness, safety, preferences, and access precede enrollment.</w:t>
      </w:r>
    </w:p>
    <w:p>
      <w:pPr>
        <w:spacing w:after="20"/>
      </w:pPr>
      <w:r>
        <w:rPr>
          <w:rFonts w:ascii="Arial" w:hAnsi="Arial"/>
          <w:b/>
          <w:sz w:val="17"/>
        </w:rPr>
        <w:t xml:space="preserve">Why A is not best: </w:t>
      </w:r>
      <w:r>
        <w:rPr>
          <w:rFonts w:ascii="Arial" w:hAnsi="Arial"/>
          <w:sz w:val="17"/>
        </w:rPr>
        <w:t>Efficiency is not sufficient evidence of fit.</w:t>
      </w:r>
    </w:p>
    <w:p>
      <w:pPr>
        <w:spacing w:after="20"/>
      </w:pPr>
      <w:r>
        <w:rPr>
          <w:rFonts w:ascii="Arial" w:hAnsi="Arial"/>
          <w:b/>
          <w:sz w:val="17"/>
        </w:rPr>
        <w:t xml:space="preserve">Why C is not best: </w:t>
      </w:r>
      <w:r>
        <w:rPr>
          <w:rFonts w:ascii="Arial" w:hAnsi="Arial"/>
          <w:sz w:val="17"/>
        </w:rPr>
        <w:t>Diagnosis does not require one modality, and group may be helpful.</w:t>
      </w:r>
    </w:p>
    <w:p>
      <w:pPr>
        <w:spacing w:after="20"/>
      </w:pPr>
      <w:r>
        <w:rPr>
          <w:rFonts w:ascii="Arial" w:hAnsi="Arial"/>
          <w:b/>
          <w:sz w:val="17"/>
        </w:rPr>
        <w:t xml:space="preserve">Why D is not best: </w:t>
      </w:r>
      <w:r>
        <w:rPr>
          <w:rFonts w:ascii="Arial" w:hAnsi="Arial"/>
          <w:sz w:val="17"/>
        </w:rPr>
        <w:t>Client autonomy includes informed discussion, not unsupported choice.</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Before selecting a modality, identify the clinical target and test fit. “First available” is an access fact, not a treatment rationale.</w:t>
            </w:r>
          </w:p>
        </w:tc>
      </w:tr>
    </w:tbl>
    <w:p>
      <w:pPr>
        <w:spacing w:after="0"/>
      </w:pPr>
    </w:p>
    <w:p>
      <w:pPr>
        <w:spacing w:before="100" w:after="40"/>
      </w:pPr>
      <w:r>
        <w:rPr>
          <w:rFonts w:ascii="Arial" w:hAnsi="Arial"/>
          <w:b/>
          <w:color w:val="17365D"/>
          <w:sz w:val="18"/>
        </w:rPr>
        <w:t>2. Correct Answer: C</w:t>
      </w:r>
    </w:p>
    <w:p>
      <w:pPr>
        <w:spacing w:after="40"/>
      </w:pPr>
      <w:r>
        <w:rPr>
          <w:rFonts w:ascii="Arial" w:hAnsi="Arial"/>
          <w:b/>
          <w:sz w:val="17"/>
        </w:rPr>
        <w:t xml:space="preserve">Why C is correct: </w:t>
      </w:r>
      <w:r>
        <w:rPr>
          <w:rFonts w:ascii="Arial" w:hAnsi="Arial"/>
          <w:sz w:val="17"/>
        </w:rPr>
        <w:t>A proportionate, process-oriented intervention protects the group and uses the event therapeutically. Naming the pattern and inviting reflection addresses impact without shaming.</w:t>
      </w:r>
    </w:p>
    <w:p>
      <w:pPr>
        <w:spacing w:after="20"/>
      </w:pPr>
      <w:r>
        <w:rPr>
          <w:rFonts w:ascii="Arial" w:hAnsi="Arial"/>
          <w:b/>
          <w:sz w:val="17"/>
        </w:rPr>
        <w:t xml:space="preserve">Why A is not best: </w:t>
      </w:r>
      <w:r>
        <w:rPr>
          <w:rFonts w:ascii="Arial" w:hAnsi="Arial"/>
          <w:sz w:val="17"/>
        </w:rPr>
        <w:t>Ignoring the pattern can reinforce withdrawal and unsafe norms.</w:t>
      </w:r>
    </w:p>
    <w:p>
      <w:pPr>
        <w:spacing w:after="20"/>
      </w:pPr>
      <w:r>
        <w:rPr>
          <w:rFonts w:ascii="Arial" w:hAnsi="Arial"/>
          <w:b/>
          <w:sz w:val="17"/>
        </w:rPr>
        <w:t xml:space="preserve">Why B is not best: </w:t>
      </w:r>
      <w:r>
        <w:rPr>
          <w:rFonts w:ascii="Arial" w:hAnsi="Arial"/>
          <w:sz w:val="17"/>
        </w:rPr>
        <w:t>Immediate removal is premature absent an unmanageable safety or conduct issue.</w:t>
      </w:r>
    </w:p>
    <w:p>
      <w:pPr>
        <w:spacing w:after="20"/>
      </w:pPr>
      <w:r>
        <w:rPr>
          <w:rFonts w:ascii="Arial" w:hAnsi="Arial"/>
          <w:b/>
          <w:sz w:val="17"/>
        </w:rPr>
        <w:t xml:space="preserve">Why D is not best: </w:t>
      </w:r>
      <w:r>
        <w:rPr>
          <w:rFonts w:ascii="Arial" w:hAnsi="Arial"/>
          <w:sz w:val="17"/>
        </w:rPr>
        <w:t>Ending the session avoids a clinically useful intervention and leaves the group unsupported.</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In group questions, look for an answer that protects safety, names process, and reconnects behavior to group purpose.</w:t>
            </w:r>
          </w:p>
        </w:tc>
      </w:tr>
    </w:tbl>
    <w:p>
      <w:pPr>
        <w:spacing w:after="0"/>
      </w:pPr>
    </w:p>
    <w:p>
      <w:pPr>
        <w:spacing w:before="100" w:after="40"/>
      </w:pPr>
      <w:r>
        <w:rPr>
          <w:rFonts w:ascii="Arial" w:hAnsi="Arial"/>
          <w:b/>
          <w:color w:val="17365D"/>
          <w:sz w:val="18"/>
        </w:rPr>
        <w:t>3. Correct Answer: A</w:t>
      </w:r>
    </w:p>
    <w:p>
      <w:pPr>
        <w:spacing w:after="40"/>
      </w:pPr>
      <w:r>
        <w:rPr>
          <w:rFonts w:ascii="Arial" w:hAnsi="Arial"/>
          <w:b/>
          <w:sz w:val="17"/>
        </w:rPr>
        <w:t xml:space="preserve">Why A is correct: </w:t>
      </w:r>
      <w:r>
        <w:rPr>
          <w:rFonts w:ascii="Arial" w:hAnsi="Arial"/>
          <w:sz w:val="17"/>
        </w:rPr>
        <w:t>Before adding another participant, the counselor must clarify the treatment unit, goals, safety, informed consent, confidentiality and records, and competence.</w:t>
      </w:r>
    </w:p>
    <w:p>
      <w:pPr>
        <w:spacing w:after="20"/>
      </w:pPr>
      <w:r>
        <w:rPr>
          <w:rFonts w:ascii="Arial" w:hAnsi="Arial"/>
          <w:b/>
          <w:sz w:val="17"/>
        </w:rPr>
        <w:t xml:space="preserve">Why B is not best: </w:t>
      </w:r>
      <w:r>
        <w:rPr>
          <w:rFonts w:ascii="Arial" w:hAnsi="Arial"/>
          <w:sz w:val="17"/>
        </w:rPr>
        <w:t>Preference matters but does not override safety or professional responsibilities.</w:t>
      </w:r>
    </w:p>
    <w:p>
      <w:pPr>
        <w:spacing w:after="20"/>
      </w:pPr>
      <w:r>
        <w:rPr>
          <w:rFonts w:ascii="Arial" w:hAnsi="Arial"/>
          <w:b/>
          <w:sz w:val="17"/>
        </w:rPr>
        <w:t xml:space="preserve">Why C is not best: </w:t>
      </w:r>
      <w:r>
        <w:rPr>
          <w:rFonts w:ascii="Arial" w:hAnsi="Arial"/>
          <w:sz w:val="17"/>
        </w:rPr>
        <w:t>California law does not create a categorical prohibition; competence controls.</w:t>
      </w:r>
    </w:p>
    <w:p>
      <w:pPr>
        <w:spacing w:after="20"/>
      </w:pPr>
      <w:r>
        <w:rPr>
          <w:rFonts w:ascii="Arial" w:hAnsi="Arial"/>
          <w:b/>
          <w:sz w:val="17"/>
        </w:rPr>
        <w:t xml:space="preserve">Why D is not best: </w:t>
      </w:r>
      <w:r>
        <w:rPr>
          <w:rFonts w:ascii="Arial" w:hAnsi="Arial"/>
          <w:sz w:val="17"/>
        </w:rPr>
        <w:t>A generic release does not establish a relational treatment agreement.</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When another person enters treatment, pause and redefine the clinical frame before proceeding.</w:t>
            </w:r>
          </w:p>
        </w:tc>
      </w:tr>
    </w:tbl>
    <w:p>
      <w:pPr>
        <w:spacing w:after="0"/>
      </w:pPr>
    </w:p>
    <w:p>
      <w:pPr>
        <w:spacing w:before="100" w:after="40"/>
      </w:pPr>
      <w:r>
        <w:rPr>
          <w:rFonts w:ascii="Arial" w:hAnsi="Arial"/>
          <w:b/>
          <w:color w:val="17365D"/>
          <w:sz w:val="18"/>
        </w:rPr>
        <w:t>4. Correct Answer: D</w:t>
      </w:r>
    </w:p>
    <w:p>
      <w:pPr>
        <w:spacing w:after="40"/>
      </w:pPr>
      <w:r>
        <w:rPr>
          <w:rFonts w:ascii="Arial" w:hAnsi="Arial"/>
          <w:b/>
          <w:sz w:val="17"/>
        </w:rPr>
        <w:t xml:space="preserve">Why D is correct: </w:t>
      </w:r>
      <w:r>
        <w:rPr>
          <w:rFonts w:ascii="Arial" w:hAnsi="Arial"/>
          <w:sz w:val="17"/>
        </w:rPr>
        <w:t>A clinically effective referral explains the reason, matches qualified options, addresses access, actively connects when possible, and includes follow-up.</w:t>
      </w:r>
    </w:p>
    <w:p>
      <w:pPr>
        <w:spacing w:after="20"/>
      </w:pPr>
      <w:r>
        <w:rPr>
          <w:rFonts w:ascii="Arial" w:hAnsi="Arial"/>
          <w:b/>
          <w:sz w:val="17"/>
        </w:rPr>
        <w:t xml:space="preserve">Why A is not best: </w:t>
      </w:r>
      <w:r>
        <w:rPr>
          <w:rFonts w:ascii="Arial" w:hAnsi="Arial"/>
          <w:sz w:val="17"/>
        </w:rPr>
        <w:t>Closing before continuity is established may abandon an active need.</w:t>
      </w:r>
    </w:p>
    <w:p>
      <w:pPr>
        <w:spacing w:after="20"/>
      </w:pPr>
      <w:r>
        <w:rPr>
          <w:rFonts w:ascii="Arial" w:hAnsi="Arial"/>
          <w:b/>
          <w:sz w:val="17"/>
        </w:rPr>
        <w:t xml:space="preserve">Why B is not best: </w:t>
      </w:r>
      <w:r>
        <w:rPr>
          <w:rFonts w:ascii="Arial" w:hAnsi="Arial"/>
          <w:sz w:val="17"/>
        </w:rPr>
        <w:t>A passive referral leaves barriers unaddressed.</w:t>
      </w:r>
    </w:p>
    <w:p>
      <w:pPr>
        <w:spacing w:after="20"/>
      </w:pPr>
      <w:r>
        <w:rPr>
          <w:rFonts w:ascii="Arial" w:hAnsi="Arial"/>
          <w:b/>
          <w:sz w:val="17"/>
        </w:rPr>
        <w:t xml:space="preserve">Why C is not best: </w:t>
      </w:r>
      <w:r>
        <w:rPr>
          <w:rFonts w:ascii="Arial" w:hAnsi="Arial"/>
          <w:sz w:val="17"/>
        </w:rPr>
        <w:t>Rapport does not justify withholding needed specialty care.</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The strongest referral answer closes the gap between recommendation and actual connection.</w:t>
            </w:r>
          </w:p>
        </w:tc>
      </w:tr>
    </w:tbl>
    <w:p>
      <w:pPr>
        <w:spacing w:after="0"/>
      </w:pPr>
    </w:p>
    <w:p>
      <w:pPr>
        <w:spacing w:before="100" w:after="40"/>
      </w:pPr>
      <w:r>
        <w:rPr>
          <w:rFonts w:ascii="Arial" w:hAnsi="Arial"/>
          <w:b/>
          <w:color w:val="17365D"/>
          <w:sz w:val="18"/>
        </w:rPr>
        <w:t>5. Correct Answer: B</w:t>
      </w:r>
    </w:p>
    <w:p>
      <w:pPr>
        <w:spacing w:after="40"/>
      </w:pPr>
      <w:r>
        <w:rPr>
          <w:rFonts w:ascii="Arial" w:hAnsi="Arial"/>
          <w:b/>
          <w:sz w:val="17"/>
        </w:rPr>
        <w:t xml:space="preserve">Why B is correct: </w:t>
      </w:r>
      <w:r>
        <w:rPr>
          <w:rFonts w:ascii="Arial" w:hAnsi="Arial"/>
          <w:sz w:val="17"/>
        </w:rPr>
        <w:t>The counselor may provide relevant observations and coordinate care within appropriate authorization, while medication selection and dosing remain with the prescriber.</w:t>
      </w:r>
    </w:p>
    <w:p>
      <w:pPr>
        <w:spacing w:after="20"/>
      </w:pPr>
      <w:r>
        <w:rPr>
          <w:rFonts w:ascii="Arial" w:hAnsi="Arial"/>
          <w:b/>
          <w:sz w:val="17"/>
        </w:rPr>
        <w:t xml:space="preserve">Why A is not best: </w:t>
      </w:r>
      <w:r>
        <w:rPr>
          <w:rFonts w:ascii="Arial" w:hAnsi="Arial"/>
          <w:sz w:val="17"/>
        </w:rPr>
        <w:t>Dose recommendations exceed the counselor’s role.</w:t>
      </w:r>
    </w:p>
    <w:p>
      <w:pPr>
        <w:spacing w:after="20"/>
      </w:pPr>
      <w:r>
        <w:rPr>
          <w:rFonts w:ascii="Arial" w:hAnsi="Arial"/>
          <w:b/>
          <w:sz w:val="17"/>
        </w:rPr>
        <w:t xml:space="preserve">Why C is not best: </w:t>
      </w:r>
      <w:r>
        <w:rPr>
          <w:rFonts w:ascii="Arial" w:hAnsi="Arial"/>
          <w:sz w:val="17"/>
        </w:rPr>
        <w:t>Coordination is appropriate and often clinically important.</w:t>
      </w:r>
    </w:p>
    <w:p>
      <w:pPr>
        <w:spacing w:after="20"/>
      </w:pPr>
      <w:r>
        <w:rPr>
          <w:rFonts w:ascii="Arial" w:hAnsi="Arial"/>
          <w:b/>
          <w:sz w:val="17"/>
        </w:rPr>
        <w:t xml:space="preserve">Why D is not best: </w:t>
      </w:r>
      <w:r>
        <w:rPr>
          <w:rFonts w:ascii="Arial" w:hAnsi="Arial"/>
          <w:sz w:val="17"/>
        </w:rPr>
        <w:t>Directing a medication change is outside the counselor’s role and may be unsafe.</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Separate observation and coordination from prescribing. Choose the answer that supports collaboration without role overreach.</w:t>
            </w:r>
          </w:p>
        </w:tc>
      </w:tr>
    </w:tbl>
    <w:p>
      <w:pPr>
        <w:spacing w:after="0"/>
      </w:pPr>
    </w:p>
    <w:p>
      <w:r>
        <w:br w:type="page"/>
      </w:r>
    </w:p>
    <w:p>
      <w:pPr>
        <w:spacing w:before="100" w:after="40"/>
      </w:pPr>
      <w:r>
        <w:rPr>
          <w:rFonts w:ascii="Arial" w:hAnsi="Arial"/>
          <w:b/>
          <w:color w:val="17365D"/>
          <w:sz w:val="18"/>
        </w:rPr>
        <w:t>6. Correct Answer: C</w:t>
      </w:r>
    </w:p>
    <w:p>
      <w:pPr>
        <w:spacing w:after="40"/>
      </w:pPr>
      <w:r>
        <w:rPr>
          <w:rFonts w:ascii="Arial" w:hAnsi="Arial"/>
          <w:b/>
          <w:sz w:val="17"/>
        </w:rPr>
        <w:t xml:space="preserve">Why C is correct: </w:t>
      </w:r>
      <w:r>
        <w:rPr>
          <w:rFonts w:ascii="Arial" w:hAnsi="Arial"/>
          <w:sz w:val="17"/>
        </w:rPr>
        <w:t>A disclosure of suicidal intent requires immediate risk assessment and activation of the established emergency response, including confirming location and arranging appropriate help.</w:t>
      </w:r>
    </w:p>
    <w:p>
      <w:pPr>
        <w:spacing w:after="20"/>
      </w:pPr>
      <w:r>
        <w:rPr>
          <w:rFonts w:ascii="Arial" w:hAnsi="Arial"/>
          <w:b/>
          <w:sz w:val="17"/>
        </w:rPr>
        <w:t xml:space="preserve">Why A is not best: </w:t>
      </w:r>
      <w:r>
        <w:rPr>
          <w:rFonts w:ascii="Arial" w:hAnsi="Arial"/>
          <w:sz w:val="17"/>
        </w:rPr>
        <w:t>Group continuity is secondary to imminent safety.</w:t>
      </w:r>
    </w:p>
    <w:p>
      <w:pPr>
        <w:spacing w:after="20"/>
      </w:pPr>
      <w:r>
        <w:rPr>
          <w:rFonts w:ascii="Arial" w:hAnsi="Arial"/>
          <w:b/>
          <w:sz w:val="17"/>
        </w:rPr>
        <w:t xml:space="preserve">Why B is not best: </w:t>
      </w:r>
      <w:r>
        <w:rPr>
          <w:rFonts w:ascii="Arial" w:hAnsi="Arial"/>
          <w:sz w:val="17"/>
        </w:rPr>
        <w:t>Another member should not be assigned professional monitoring responsibility.</w:t>
      </w:r>
    </w:p>
    <w:p>
      <w:pPr>
        <w:spacing w:after="20"/>
      </w:pPr>
      <w:r>
        <w:rPr>
          <w:rFonts w:ascii="Arial" w:hAnsi="Arial"/>
          <w:b/>
          <w:sz w:val="17"/>
        </w:rPr>
        <w:t xml:space="preserve">Why D is not best: </w:t>
      </w:r>
      <w:r>
        <w:rPr>
          <w:rFonts w:ascii="Arial" w:hAnsi="Arial"/>
          <w:sz w:val="17"/>
        </w:rPr>
        <w:t>Confidentiality cannot be promised when urgent protective action may be needed.</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In acute-risk questions, move from group process to safety protocol and level-of-care action.</w:t>
            </w:r>
          </w:p>
        </w:tc>
      </w:tr>
    </w:tbl>
    <w:p>
      <w:pPr>
        <w:spacing w:after="0"/>
      </w:pPr>
    </w:p>
    <w:p>
      <w:pPr>
        <w:spacing w:before="100" w:after="40"/>
      </w:pPr>
      <w:r>
        <w:rPr>
          <w:rFonts w:ascii="Arial" w:hAnsi="Arial"/>
          <w:b/>
          <w:color w:val="17365D"/>
          <w:sz w:val="18"/>
        </w:rPr>
        <w:t>7. Correct Answer: D</w:t>
      </w:r>
    </w:p>
    <w:p>
      <w:pPr>
        <w:spacing w:after="40"/>
      </w:pPr>
      <w:r>
        <w:rPr>
          <w:rFonts w:ascii="Arial" w:hAnsi="Arial"/>
          <w:b/>
          <w:sz w:val="17"/>
        </w:rPr>
        <w:t xml:space="preserve">Why D is correct: </w:t>
      </w:r>
      <w:r>
        <w:rPr>
          <w:rFonts w:ascii="Arial" w:hAnsi="Arial"/>
          <w:sz w:val="17"/>
        </w:rPr>
        <w:t>The counselor explains that professional confidentiality applies to the counselor, while other members create additional privacy limits that cannot be guaranteed.</w:t>
      </w:r>
    </w:p>
    <w:p>
      <w:pPr>
        <w:spacing w:after="20"/>
      </w:pPr>
      <w:r>
        <w:rPr>
          <w:rFonts w:ascii="Arial" w:hAnsi="Arial"/>
          <w:b/>
          <w:sz w:val="17"/>
        </w:rPr>
        <w:t xml:space="preserve">Why A is not best: </w:t>
      </w:r>
      <w:r>
        <w:rPr>
          <w:rFonts w:ascii="Arial" w:hAnsi="Arial"/>
          <w:sz w:val="17"/>
        </w:rPr>
        <w:t>A counselor cannot control all member behavior.</w:t>
      </w:r>
    </w:p>
    <w:p>
      <w:pPr>
        <w:spacing w:after="20"/>
      </w:pPr>
      <w:r>
        <w:rPr>
          <w:rFonts w:ascii="Arial" w:hAnsi="Arial"/>
          <w:b/>
          <w:sz w:val="17"/>
        </w:rPr>
        <w:t xml:space="preserve">Why B is not best: </w:t>
      </w:r>
      <w:r>
        <w:rPr>
          <w:rFonts w:ascii="Arial" w:hAnsi="Arial"/>
          <w:sz w:val="17"/>
        </w:rPr>
        <w:t>Professional confidentiality still applies.</w:t>
      </w:r>
    </w:p>
    <w:p>
      <w:pPr>
        <w:spacing w:after="20"/>
      </w:pPr>
      <w:r>
        <w:rPr>
          <w:rFonts w:ascii="Arial" w:hAnsi="Arial"/>
          <w:b/>
          <w:sz w:val="17"/>
        </w:rPr>
        <w:t xml:space="preserve">Why C is not best: </w:t>
      </w:r>
      <w:r>
        <w:rPr>
          <w:rFonts w:ascii="Arial" w:hAnsi="Arial"/>
          <w:sz w:val="17"/>
        </w:rPr>
        <w:t>Oral, digital, and social disclosures may all create harm.</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Beware absolute words such as guarantee. Group informed consent should be accurate about limits.</w:t>
            </w:r>
          </w:p>
        </w:tc>
      </w:tr>
    </w:tbl>
    <w:p>
      <w:pPr>
        <w:spacing w:after="0"/>
      </w:pPr>
    </w:p>
    <w:p>
      <w:pPr>
        <w:spacing w:before="100" w:after="40"/>
      </w:pPr>
      <w:r>
        <w:rPr>
          <w:rFonts w:ascii="Arial" w:hAnsi="Arial"/>
          <w:b/>
          <w:color w:val="17365D"/>
          <w:sz w:val="18"/>
        </w:rPr>
        <w:t>8. Correct Answer: B</w:t>
      </w:r>
    </w:p>
    <w:p>
      <w:pPr>
        <w:spacing w:after="40"/>
      </w:pPr>
      <w:r>
        <w:rPr>
          <w:rFonts w:ascii="Arial" w:hAnsi="Arial"/>
          <w:b/>
          <w:sz w:val="17"/>
        </w:rPr>
        <w:t xml:space="preserve">Why B is correct: </w:t>
      </w:r>
      <w:r>
        <w:rPr>
          <w:rFonts w:ascii="Arial" w:hAnsi="Arial"/>
          <w:sz w:val="17"/>
        </w:rPr>
        <w:t>The counselor should assess safety and the clinical need, seek consultation, and refer or co-manage when competence is not sufficient.</w:t>
      </w:r>
    </w:p>
    <w:p>
      <w:pPr>
        <w:spacing w:after="20"/>
      </w:pPr>
      <w:r>
        <w:rPr>
          <w:rFonts w:ascii="Arial" w:hAnsi="Arial"/>
          <w:b/>
          <w:sz w:val="17"/>
        </w:rPr>
        <w:t xml:space="preserve">Why A is not best: </w:t>
      </w:r>
      <w:r>
        <w:rPr>
          <w:rFonts w:ascii="Arial" w:hAnsi="Arial"/>
          <w:sz w:val="17"/>
        </w:rPr>
        <w:t>Learning while independently treating a high-conflict case may expose clients to harm.</w:t>
      </w:r>
    </w:p>
    <w:p>
      <w:pPr>
        <w:spacing w:after="20"/>
      </w:pPr>
      <w:r>
        <w:rPr>
          <w:rFonts w:ascii="Arial" w:hAnsi="Arial"/>
          <w:b/>
          <w:sz w:val="17"/>
        </w:rPr>
        <w:t xml:space="preserve">Why C is not best: </w:t>
      </w:r>
      <w:r>
        <w:rPr>
          <w:rFonts w:ascii="Arial" w:hAnsi="Arial"/>
          <w:sz w:val="17"/>
        </w:rPr>
        <w:t>Treating both partners individually can create conflicts and does not solve the competence issue.</w:t>
      </w:r>
    </w:p>
    <w:p>
      <w:pPr>
        <w:spacing w:after="20"/>
      </w:pPr>
      <w:r>
        <w:rPr>
          <w:rFonts w:ascii="Arial" w:hAnsi="Arial"/>
          <w:b/>
          <w:sz w:val="17"/>
        </w:rPr>
        <w:t xml:space="preserve">Why D is not best: </w:t>
      </w:r>
      <w:r>
        <w:rPr>
          <w:rFonts w:ascii="Arial" w:hAnsi="Arial"/>
          <w:sz w:val="17"/>
        </w:rPr>
        <w:t>Competence must be addressed openly through professional action.</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Scope questions often hinge on education, supervised experience, consultation, and referral—not license title alone.</w:t>
            </w:r>
          </w:p>
        </w:tc>
      </w:tr>
    </w:tbl>
    <w:p>
      <w:pPr>
        <w:spacing w:after="0"/>
      </w:pPr>
    </w:p>
    <w:p>
      <w:pPr>
        <w:spacing w:before="100" w:after="40"/>
      </w:pPr>
      <w:r>
        <w:rPr>
          <w:rFonts w:ascii="Arial" w:hAnsi="Arial"/>
          <w:b/>
          <w:color w:val="17365D"/>
          <w:sz w:val="18"/>
        </w:rPr>
        <w:t>9. Correct Answer: A</w:t>
      </w:r>
    </w:p>
    <w:p>
      <w:pPr>
        <w:spacing w:after="40"/>
      </w:pPr>
      <w:r>
        <w:rPr>
          <w:rFonts w:ascii="Arial" w:hAnsi="Arial"/>
          <w:b/>
          <w:sz w:val="17"/>
        </w:rPr>
        <w:t xml:space="preserve">Why A is correct: </w:t>
      </w:r>
      <w:r>
        <w:rPr>
          <w:rFonts w:ascii="Arial" w:hAnsi="Arial"/>
          <w:sz w:val="17"/>
        </w:rPr>
        <w:t>Safe continuity requires clarification of current status, risk, medications, recommendations, and coordination authority before a routine outpatient plan is assumed.</w:t>
      </w:r>
    </w:p>
    <w:p>
      <w:pPr>
        <w:spacing w:after="20"/>
      </w:pPr>
      <w:r>
        <w:rPr>
          <w:rFonts w:ascii="Arial" w:hAnsi="Arial"/>
          <w:b/>
          <w:sz w:val="17"/>
        </w:rPr>
        <w:t xml:space="preserve">Why B is not best: </w:t>
      </w:r>
      <w:r>
        <w:rPr>
          <w:rFonts w:ascii="Arial" w:hAnsi="Arial"/>
          <w:sz w:val="17"/>
        </w:rPr>
        <w:t>Monthly care may be inadequate and is unsupported by the available evidence.</w:t>
      </w:r>
    </w:p>
    <w:p>
      <w:pPr>
        <w:spacing w:after="20"/>
      </w:pPr>
      <w:r>
        <w:rPr>
          <w:rFonts w:ascii="Arial" w:hAnsi="Arial"/>
          <w:b/>
          <w:sz w:val="17"/>
        </w:rPr>
        <w:t xml:space="preserve">Why C is not best: </w:t>
      </w:r>
      <w:r>
        <w:rPr>
          <w:rFonts w:ascii="Arial" w:hAnsi="Arial"/>
          <w:sz w:val="17"/>
        </w:rPr>
        <w:t>Request only information needed for the purpose rather than automatically seeking the full record.</w:t>
      </w:r>
    </w:p>
    <w:p>
      <w:pPr>
        <w:spacing w:after="20"/>
      </w:pPr>
      <w:r>
        <w:rPr>
          <w:rFonts w:ascii="Arial" w:hAnsi="Arial"/>
          <w:b/>
          <w:sz w:val="17"/>
        </w:rPr>
        <w:t xml:space="preserve">Why D is not best: </w:t>
      </w:r>
      <w:r>
        <w:rPr>
          <w:rFonts w:ascii="Arial" w:hAnsi="Arial"/>
          <w:sz w:val="17"/>
        </w:rPr>
        <w:t>The information gap calls for clarification, not automatic rejection.</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Transitions are high-risk moments. First obtain the minimum information needed to assess safety, fit, and continuity.</w:t>
            </w:r>
          </w:p>
        </w:tc>
      </w:tr>
    </w:tbl>
    <w:p>
      <w:pPr>
        <w:spacing w:after="0"/>
      </w:pPr>
    </w:p>
    <w:p>
      <w:pPr>
        <w:spacing w:before="100" w:after="40"/>
      </w:pPr>
      <w:r>
        <w:rPr>
          <w:rFonts w:ascii="Arial" w:hAnsi="Arial"/>
          <w:b/>
          <w:color w:val="17365D"/>
          <w:sz w:val="18"/>
        </w:rPr>
        <w:t>10. Correct Answer: C</w:t>
      </w:r>
    </w:p>
    <w:p>
      <w:pPr>
        <w:spacing w:after="40"/>
      </w:pPr>
      <w:r>
        <w:rPr>
          <w:rFonts w:ascii="Arial" w:hAnsi="Arial"/>
          <w:b/>
          <w:sz w:val="17"/>
        </w:rPr>
        <w:t xml:space="preserve">Why C is correct: </w:t>
      </w:r>
      <w:r>
        <w:rPr>
          <w:rFonts w:ascii="Arial" w:hAnsi="Arial"/>
          <w:sz w:val="17"/>
        </w:rPr>
        <w:t>The counselor should make the disagreement understandable, include the client, clarify decision authority, and coordinate a plan tied to goals and safety.</w:t>
      </w:r>
    </w:p>
    <w:p>
      <w:pPr>
        <w:spacing w:after="20"/>
      </w:pPr>
      <w:r>
        <w:rPr>
          <w:rFonts w:ascii="Arial" w:hAnsi="Arial"/>
          <w:b/>
          <w:sz w:val="17"/>
        </w:rPr>
        <w:t xml:space="preserve">Why A is not best: </w:t>
      </w:r>
      <w:r>
        <w:rPr>
          <w:rFonts w:ascii="Arial" w:hAnsi="Arial"/>
          <w:sz w:val="17"/>
        </w:rPr>
        <w:t>Hierarchy alone does not determine the best plan.</w:t>
      </w:r>
    </w:p>
    <w:p>
      <w:pPr>
        <w:spacing w:after="20"/>
      </w:pPr>
      <w:r>
        <w:rPr>
          <w:rFonts w:ascii="Arial" w:hAnsi="Arial"/>
          <w:b/>
          <w:sz w:val="17"/>
        </w:rPr>
        <w:t xml:space="preserve">Why B is not best: </w:t>
      </w:r>
      <w:r>
        <w:rPr>
          <w:rFonts w:ascii="Arial" w:hAnsi="Arial"/>
          <w:sz w:val="17"/>
        </w:rPr>
        <w:t>Unsupported choice can burden the client and obscure important clinical differences.</w:t>
      </w:r>
    </w:p>
    <w:p>
      <w:pPr>
        <w:spacing w:after="20"/>
      </w:pPr>
      <w:r>
        <w:rPr>
          <w:rFonts w:ascii="Arial" w:hAnsi="Arial"/>
          <w:b/>
          <w:sz w:val="17"/>
        </w:rPr>
        <w:t xml:space="preserve">Why D is not best: </w:t>
      </w:r>
      <w:r>
        <w:rPr>
          <w:rFonts w:ascii="Arial" w:hAnsi="Arial"/>
          <w:sz w:val="17"/>
        </w:rPr>
        <w:t>Documentation without coordination leaves the conflict unresolved.</w:t>
      </w:r>
    </w:p>
    <w:tbl>
      <w:tblPr>
        <w:tblW w:type="auto" w:w="0"/>
        <w:jc w:val="center"/>
        <w:tblLayout w:type="autofit"/>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When a team fragments, choose the answer that restores purpose, roles, client participation, and follow-up.</w:t>
            </w:r>
          </w:p>
        </w:tc>
      </w:tr>
    </w:tbl>
    <w:p>
      <w:pPr>
        <w:spacing w:after="0"/>
      </w:pPr>
    </w:p>
    <w:p>
      <w:r>
        <w:br w:type="page"/>
      </w:r>
    </w:p>
    <w:p>
      <w:pPr>
        <w:pStyle w:val="Heading1"/>
        <w:keepNext/>
      </w:pPr>
      <w:r>
        <w:t>Remediation and Readiness Plan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Error Code</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Meaning</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Correction Rule</w:t>
            </w:r>
          </w:p>
        </w:tc>
      </w:tr>
      <w:tr>
        <w:tc>
          <w:tcPr>
            <w:tcW w:type="dxa" w:w="3427"/>
            <w:tcMar>
              <w:top w:w="55" w:type="dxa"/>
              <w:start w:w="70" w:type="dxa"/>
              <w:bottom w:w="55" w:type="dxa"/>
              <w:end w:w="70" w:type="dxa"/>
            </w:tcMar>
          </w:tcPr>
          <w:p>
            <w:r>
              <w:rPr>
                <w:rFonts w:ascii="Arial" w:hAnsi="Arial"/>
                <w:color w:val="1F2937"/>
                <w:sz w:val="15"/>
              </w:rPr>
              <w:t>SEQ</w:t>
            </w:r>
          </w:p>
        </w:tc>
        <w:tc>
          <w:tcPr>
            <w:tcW w:type="dxa" w:w="3427"/>
            <w:tcMar>
              <w:top w:w="55" w:type="dxa"/>
              <w:start w:w="70" w:type="dxa"/>
              <w:bottom w:w="55" w:type="dxa"/>
              <w:end w:w="70" w:type="dxa"/>
            </w:tcMar>
          </w:tcPr>
          <w:p>
            <w:r>
              <w:rPr>
                <w:rFonts w:ascii="Arial" w:hAnsi="Arial"/>
                <w:color w:val="1F2937"/>
                <w:sz w:val="15"/>
              </w:rPr>
              <w:t>Correct action selected at the wrong time</w:t>
            </w:r>
          </w:p>
        </w:tc>
        <w:tc>
          <w:tcPr>
            <w:tcW w:type="dxa" w:w="3427"/>
            <w:tcMar>
              <w:top w:w="55" w:type="dxa"/>
              <w:start w:w="70" w:type="dxa"/>
              <w:bottom w:w="55" w:type="dxa"/>
              <w:end w:w="70" w:type="dxa"/>
            </w:tcMar>
          </w:tcPr>
          <w:p>
            <w:r>
              <w:rPr>
                <w:rFonts w:ascii="Arial" w:hAnsi="Arial"/>
                <w:color w:val="1F2937"/>
                <w:sz w:val="15"/>
              </w:rPr>
              <w:t>Ask what must happen before this answer becomes appropriate.</w:t>
            </w:r>
          </w:p>
        </w:tc>
      </w:tr>
      <w:tr>
        <w:tc>
          <w:tcPr>
            <w:tcW w:type="dxa" w:w="3427"/>
            <w:tcMar>
              <w:top w:w="55" w:type="dxa"/>
              <w:start w:w="70" w:type="dxa"/>
              <w:bottom w:w="55" w:type="dxa"/>
              <w:end w:w="70" w:type="dxa"/>
            </w:tcMar>
            <w:shd w:fill="F8FAFC"/>
          </w:tcPr>
          <w:p>
            <w:r>
              <w:rPr>
                <w:rFonts w:ascii="Arial" w:hAnsi="Arial"/>
                <w:color w:val="1F2937"/>
                <w:sz w:val="15"/>
              </w:rPr>
              <w:t>FIT</w:t>
            </w:r>
          </w:p>
        </w:tc>
        <w:tc>
          <w:tcPr>
            <w:tcW w:type="dxa" w:w="3427"/>
            <w:tcMar>
              <w:top w:w="55" w:type="dxa"/>
              <w:start w:w="70" w:type="dxa"/>
              <w:bottom w:w="55" w:type="dxa"/>
              <w:end w:w="70" w:type="dxa"/>
            </w:tcMar>
            <w:shd w:fill="F8FAFC"/>
          </w:tcPr>
          <w:p>
            <w:r>
              <w:rPr>
                <w:rFonts w:ascii="Arial" w:hAnsi="Arial"/>
                <w:color w:val="1F2937"/>
                <w:sz w:val="15"/>
              </w:rPr>
              <w:t>Modality or service did not match the clinical target</w:t>
            </w:r>
          </w:p>
        </w:tc>
        <w:tc>
          <w:tcPr>
            <w:tcW w:type="dxa" w:w="3427"/>
            <w:tcMar>
              <w:top w:w="55" w:type="dxa"/>
              <w:start w:w="70" w:type="dxa"/>
              <w:bottom w:w="55" w:type="dxa"/>
              <w:end w:w="70" w:type="dxa"/>
            </w:tcMar>
            <w:shd w:fill="F8FAFC"/>
          </w:tcPr>
          <w:p>
            <w:r>
              <w:rPr>
                <w:rFonts w:ascii="Arial" w:hAnsi="Arial"/>
                <w:color w:val="1F2937"/>
                <w:sz w:val="15"/>
              </w:rPr>
              <w:t>Use MODE and identify the exact unmet need.</w:t>
            </w:r>
          </w:p>
        </w:tc>
      </w:tr>
      <w:tr>
        <w:tc>
          <w:tcPr>
            <w:tcW w:type="dxa" w:w="3427"/>
            <w:tcMar>
              <w:top w:w="55" w:type="dxa"/>
              <w:start w:w="70" w:type="dxa"/>
              <w:bottom w:w="55" w:type="dxa"/>
              <w:end w:w="70" w:type="dxa"/>
            </w:tcMar>
          </w:tcPr>
          <w:p>
            <w:r>
              <w:rPr>
                <w:rFonts w:ascii="Arial" w:hAnsi="Arial"/>
                <w:color w:val="1F2937"/>
                <w:sz w:val="15"/>
              </w:rPr>
              <w:t>SAFE</w:t>
            </w:r>
          </w:p>
        </w:tc>
        <w:tc>
          <w:tcPr>
            <w:tcW w:type="dxa" w:w="3427"/>
            <w:tcMar>
              <w:top w:w="55" w:type="dxa"/>
              <w:start w:w="70" w:type="dxa"/>
              <w:bottom w:w="55" w:type="dxa"/>
              <w:end w:w="70" w:type="dxa"/>
            </w:tcMar>
          </w:tcPr>
          <w:p>
            <w:r>
              <w:rPr>
                <w:rFonts w:ascii="Arial" w:hAnsi="Arial"/>
                <w:color w:val="1F2937"/>
                <w:sz w:val="15"/>
              </w:rPr>
              <w:t>Safety, coercion, medical urgency, or level of care was missed</w:t>
            </w:r>
          </w:p>
        </w:tc>
        <w:tc>
          <w:tcPr>
            <w:tcW w:type="dxa" w:w="3427"/>
            <w:tcMar>
              <w:top w:w="55" w:type="dxa"/>
              <w:start w:w="70" w:type="dxa"/>
              <w:bottom w:w="55" w:type="dxa"/>
              <w:end w:w="70" w:type="dxa"/>
            </w:tcMar>
          </w:tcPr>
          <w:p>
            <w:r>
              <w:rPr>
                <w:rFonts w:ascii="Arial" w:hAnsi="Arial"/>
                <w:color w:val="1F2937"/>
                <w:sz w:val="15"/>
              </w:rPr>
              <w:t>Stabilize and assess before routine treatment.</w:t>
            </w:r>
          </w:p>
        </w:tc>
      </w:tr>
      <w:tr>
        <w:tc>
          <w:tcPr>
            <w:tcW w:type="dxa" w:w="3427"/>
            <w:tcMar>
              <w:top w:w="55" w:type="dxa"/>
              <w:start w:w="70" w:type="dxa"/>
              <w:bottom w:w="55" w:type="dxa"/>
              <w:end w:w="70" w:type="dxa"/>
            </w:tcMar>
            <w:shd w:fill="F8FAFC"/>
          </w:tcPr>
          <w:p>
            <w:r>
              <w:rPr>
                <w:rFonts w:ascii="Arial" w:hAnsi="Arial"/>
                <w:color w:val="1F2937"/>
                <w:sz w:val="15"/>
              </w:rPr>
              <w:t>SCOPE</w:t>
            </w:r>
          </w:p>
        </w:tc>
        <w:tc>
          <w:tcPr>
            <w:tcW w:type="dxa" w:w="3427"/>
            <w:tcMar>
              <w:top w:w="55" w:type="dxa"/>
              <w:start w:w="70" w:type="dxa"/>
              <w:bottom w:w="55" w:type="dxa"/>
              <w:end w:w="70" w:type="dxa"/>
            </w:tcMar>
            <w:shd w:fill="F8FAFC"/>
          </w:tcPr>
          <w:p>
            <w:r>
              <w:rPr>
                <w:rFonts w:ascii="Arial" w:hAnsi="Arial"/>
                <w:color w:val="1F2937"/>
                <w:sz w:val="15"/>
              </w:rPr>
              <w:t>Competence or professional role was exceeded</w:t>
            </w:r>
          </w:p>
        </w:tc>
        <w:tc>
          <w:tcPr>
            <w:tcW w:type="dxa" w:w="3427"/>
            <w:tcMar>
              <w:top w:w="55" w:type="dxa"/>
              <w:start w:w="70" w:type="dxa"/>
              <w:bottom w:w="55" w:type="dxa"/>
              <w:end w:w="70" w:type="dxa"/>
            </w:tcMar>
            <w:shd w:fill="F8FAFC"/>
          </w:tcPr>
          <w:p>
            <w:r>
              <w:rPr>
                <w:rFonts w:ascii="Arial" w:hAnsi="Arial"/>
                <w:color w:val="1F2937"/>
                <w:sz w:val="15"/>
              </w:rPr>
              <w:t>Consult, coordinate, or refer while maintaining appropriate care.</w:t>
            </w:r>
          </w:p>
        </w:tc>
      </w:tr>
      <w:tr>
        <w:tc>
          <w:tcPr>
            <w:tcW w:type="dxa" w:w="3427"/>
            <w:tcMar>
              <w:top w:w="55" w:type="dxa"/>
              <w:start w:w="70" w:type="dxa"/>
              <w:bottom w:w="55" w:type="dxa"/>
              <w:end w:w="70" w:type="dxa"/>
            </w:tcMar>
          </w:tcPr>
          <w:p>
            <w:r>
              <w:rPr>
                <w:rFonts w:ascii="Arial" w:hAnsi="Arial"/>
                <w:color w:val="1F2937"/>
                <w:sz w:val="15"/>
              </w:rPr>
              <w:t>CONSENT</w:t>
            </w:r>
          </w:p>
        </w:tc>
        <w:tc>
          <w:tcPr>
            <w:tcW w:type="dxa" w:w="3427"/>
            <w:tcMar>
              <w:top w:w="55" w:type="dxa"/>
              <w:start w:w="70" w:type="dxa"/>
              <w:bottom w:w="55" w:type="dxa"/>
              <w:end w:w="70" w:type="dxa"/>
            </w:tcMar>
          </w:tcPr>
          <w:p>
            <w:r>
              <w:rPr>
                <w:rFonts w:ascii="Arial" w:hAnsi="Arial"/>
                <w:color w:val="1F2937"/>
                <w:sz w:val="15"/>
              </w:rPr>
              <w:t>Client identity, authorization, confidentiality, or records were unclear</w:t>
            </w:r>
          </w:p>
        </w:tc>
        <w:tc>
          <w:tcPr>
            <w:tcW w:type="dxa" w:w="3427"/>
            <w:tcMar>
              <w:top w:w="55" w:type="dxa"/>
              <w:start w:w="70" w:type="dxa"/>
              <w:bottom w:w="55" w:type="dxa"/>
              <w:end w:w="70" w:type="dxa"/>
            </w:tcMar>
          </w:tcPr>
          <w:p>
            <w:r>
              <w:rPr>
                <w:rFonts w:ascii="Arial" w:hAnsi="Arial"/>
                <w:color w:val="1F2937"/>
                <w:sz w:val="15"/>
              </w:rPr>
              <w:t>Clarify the frame before involving others or sharing information.</w:t>
            </w:r>
          </w:p>
        </w:tc>
      </w:tr>
      <w:tr>
        <w:tc>
          <w:tcPr>
            <w:tcW w:type="dxa" w:w="3427"/>
            <w:tcMar>
              <w:top w:w="55" w:type="dxa"/>
              <w:start w:w="70" w:type="dxa"/>
              <w:bottom w:w="55" w:type="dxa"/>
              <w:end w:w="70" w:type="dxa"/>
            </w:tcMar>
            <w:shd w:fill="F8FAFC"/>
          </w:tcPr>
          <w:p>
            <w:r>
              <w:rPr>
                <w:rFonts w:ascii="Arial" w:hAnsi="Arial"/>
                <w:color w:val="1F2937"/>
                <w:sz w:val="15"/>
              </w:rPr>
              <w:t>ACCESS</w:t>
            </w:r>
          </w:p>
        </w:tc>
        <w:tc>
          <w:tcPr>
            <w:tcW w:type="dxa" w:w="3427"/>
            <w:tcMar>
              <w:top w:w="55" w:type="dxa"/>
              <w:start w:w="70" w:type="dxa"/>
              <w:bottom w:w="55" w:type="dxa"/>
              <w:end w:w="70" w:type="dxa"/>
            </w:tcMar>
            <w:shd w:fill="F8FAFC"/>
          </w:tcPr>
          <w:p>
            <w:r>
              <w:rPr>
                <w:rFonts w:ascii="Arial" w:hAnsi="Arial"/>
                <w:color w:val="1F2937"/>
                <w:sz w:val="15"/>
              </w:rPr>
              <w:t>The answer ignored language, disability, cost, transportation, technology, or availability</w:t>
            </w:r>
          </w:p>
        </w:tc>
        <w:tc>
          <w:tcPr>
            <w:tcW w:type="dxa" w:w="3427"/>
            <w:tcMar>
              <w:top w:w="55" w:type="dxa"/>
              <w:start w:w="70" w:type="dxa"/>
              <w:bottom w:w="55" w:type="dxa"/>
              <w:end w:w="70" w:type="dxa"/>
            </w:tcMar>
            <w:shd w:fill="F8FAFC"/>
          </w:tcPr>
          <w:p>
            <w:r>
              <w:rPr>
                <w:rFonts w:ascii="Arial" w:hAnsi="Arial"/>
                <w:color w:val="1F2937"/>
                <w:sz w:val="15"/>
              </w:rPr>
              <w:t>Choose an option the client can actually use.</w:t>
            </w:r>
          </w:p>
        </w:tc>
      </w:tr>
      <w:tr>
        <w:tc>
          <w:tcPr>
            <w:tcW w:type="dxa" w:w="3427"/>
            <w:tcMar>
              <w:top w:w="55" w:type="dxa"/>
              <w:start w:w="70" w:type="dxa"/>
              <w:bottom w:w="55" w:type="dxa"/>
              <w:end w:w="70" w:type="dxa"/>
            </w:tcMar>
          </w:tcPr>
          <w:p>
            <w:r>
              <w:rPr>
                <w:rFonts w:ascii="Arial" w:hAnsi="Arial"/>
                <w:color w:val="1F2937"/>
                <w:sz w:val="15"/>
              </w:rPr>
              <w:t>HANDOFF</w:t>
            </w:r>
          </w:p>
        </w:tc>
        <w:tc>
          <w:tcPr>
            <w:tcW w:type="dxa" w:w="3427"/>
            <w:tcMar>
              <w:top w:w="55" w:type="dxa"/>
              <w:start w:w="70" w:type="dxa"/>
              <w:bottom w:w="55" w:type="dxa"/>
              <w:end w:w="70" w:type="dxa"/>
            </w:tcMar>
          </w:tcPr>
          <w:p>
            <w:r>
              <w:rPr>
                <w:rFonts w:ascii="Arial" w:hAnsi="Arial"/>
                <w:color w:val="1F2937"/>
                <w:sz w:val="15"/>
              </w:rPr>
              <w:t>Referral was passive or continuity was lost</w:t>
            </w:r>
          </w:p>
        </w:tc>
        <w:tc>
          <w:tcPr>
            <w:tcW w:type="dxa" w:w="3427"/>
            <w:tcMar>
              <w:top w:w="55" w:type="dxa"/>
              <w:start w:w="70" w:type="dxa"/>
              <w:bottom w:w="55" w:type="dxa"/>
              <w:end w:w="70" w:type="dxa"/>
            </w:tcMar>
          </w:tcPr>
          <w:p>
            <w:r>
              <w:rPr>
                <w:rFonts w:ascii="Arial" w:hAnsi="Arial"/>
                <w:color w:val="1F2937"/>
                <w:sz w:val="15"/>
              </w:rPr>
              <w:t>Use an active connection and follow-up.</w:t>
            </w:r>
          </w:p>
        </w:tc>
      </w:tr>
      <w:tr>
        <w:tc>
          <w:tcPr>
            <w:tcW w:type="dxa" w:w="3427"/>
            <w:tcMar>
              <w:top w:w="55" w:type="dxa"/>
              <w:start w:w="70" w:type="dxa"/>
              <w:bottom w:w="55" w:type="dxa"/>
              <w:end w:w="70" w:type="dxa"/>
            </w:tcMar>
            <w:shd w:fill="F8FAFC"/>
          </w:tcPr>
          <w:p>
            <w:r>
              <w:rPr>
                <w:rFonts w:ascii="Arial" w:hAnsi="Arial"/>
                <w:color w:val="1F2937"/>
                <w:sz w:val="15"/>
              </w:rPr>
              <w:t>TEAM</w:t>
            </w:r>
          </w:p>
        </w:tc>
        <w:tc>
          <w:tcPr>
            <w:tcW w:type="dxa" w:w="3427"/>
            <w:tcMar>
              <w:top w:w="55" w:type="dxa"/>
              <w:start w:w="70" w:type="dxa"/>
              <w:bottom w:w="55" w:type="dxa"/>
              <w:end w:w="70" w:type="dxa"/>
            </w:tcMar>
            <w:shd w:fill="F8FAFC"/>
          </w:tcPr>
          <w:p>
            <w:r>
              <w:rPr>
                <w:rFonts w:ascii="Arial" w:hAnsi="Arial"/>
                <w:color w:val="1F2937"/>
                <w:sz w:val="15"/>
              </w:rPr>
              <w:t>Roles, purpose, actions, or ownership were vague</w:t>
            </w:r>
          </w:p>
        </w:tc>
        <w:tc>
          <w:tcPr>
            <w:tcW w:type="dxa" w:w="3427"/>
            <w:tcMar>
              <w:top w:w="55" w:type="dxa"/>
              <w:start w:w="70" w:type="dxa"/>
              <w:bottom w:w="55" w:type="dxa"/>
              <w:end w:w="70" w:type="dxa"/>
            </w:tcMar>
            <w:shd w:fill="F8FAFC"/>
          </w:tcPr>
          <w:p>
            <w:r>
              <w:rPr>
                <w:rFonts w:ascii="Arial" w:hAnsi="Arial"/>
                <w:color w:val="1F2937"/>
                <w:sz w:val="15"/>
              </w:rPr>
              <w:t>Define who will do what, by when, and how it will be reviewed.</w:t>
            </w:r>
          </w:p>
        </w:tc>
      </w:tr>
    </w:tbl>
    <w:p>
      <w:pPr>
        <w:spacing w:after="0"/>
      </w:pPr>
    </w:p>
    <w:p>
      <w:pPr>
        <w:pStyle w:val="Heading2"/>
        <w:keepNext/>
      </w:pPr>
      <w:r>
        <w:t>My Workbook 11 Action Plan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65D"/>
            <w:vAlign w:val="center"/>
            <w:tcMar>
              <w:top w:w="70" w:type="dxa"/>
              <w:start w:w="75" w:type="dxa"/>
              <w:bottom w:w="70" w:type="dxa"/>
              <w:end w:w="75" w:type="dxa"/>
            </w:tcMar>
          </w:tcPr>
          <w:p>
            <w:pPr>
              <w:jc w:val="center"/>
            </w:pPr>
            <w:r>
              <w:rPr>
                <w:rFonts w:ascii="Arial" w:hAnsi="Arial"/>
                <w:b/>
                <w:color w:val="FFFFFF"/>
                <w:sz w:val="16"/>
              </w:rPr>
              <w:t>Priority Skill</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Evidence from My Work</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Next Practice Action</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Date / Result</w:t>
            </w:r>
          </w:p>
        </w:tc>
      </w:tr>
      <w:tr>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r>
      <w:tr>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r>
      <w:tr>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WORKBOOK 11 READINESS GATE</w:t>
            </w:r>
          </w:p>
          <w:p>
            <w:pPr>
              <w:spacing w:after="0"/>
            </w:pPr>
            <w:r>
              <w:rPr>
                <w:rFonts w:ascii="Arial" w:hAnsi="Arial"/>
                <w:color w:val="1F2937"/>
                <w:sz w:val="18"/>
              </w:rPr>
              <w:t>Proceed when you can explain why a modality fits, screen and orient a group, define the client and safety frame in relational work, complete a usable warm handoff, and coordinate a team plan without exceeding scope or sharing information without purpose.</w:t>
            </w:r>
          </w:p>
        </w:tc>
      </w:tr>
    </w:tbl>
    <w:p>
      <w:pPr>
        <w:spacing w:after="0"/>
      </w:pPr>
    </w:p>
    <w:p>
      <w:pPr>
        <w:pStyle w:val="Heading2"/>
        <w:keepNext/>
      </w:pPr>
      <w:r>
        <w:t>Official and Foundational Sources</w:t>
      </w:r>
    </w:p>
    <w:p>
      <w:pPr>
        <w:pStyle w:val="ListBullet"/>
        <w:spacing w:after="36"/>
      </w:pPr>
      <w:r>
        <w:t>California Business and Professions Code section 4999.20, Professional Clinical Counseling Scope of Practice (current through 2026).</w:t>
      </w:r>
    </w:p>
    <w:p>
      <w:pPr>
        <w:pStyle w:val="ListBullet"/>
        <w:spacing w:after="36"/>
      </w:pPr>
      <w:r>
        <w:t>California Business and Professions Code sections 4999.32 and 4999.46, counselor education, collaboration, and supervised clinical experience provisions.</w:t>
      </w:r>
    </w:p>
    <w:p>
      <w:pPr>
        <w:pStyle w:val="ListBullet"/>
        <w:spacing w:after="36"/>
      </w:pPr>
      <w:r>
        <w:t>National Board for Certified Counselors. NCMHCE Content Outline, revised October 8, 2025.</w:t>
      </w:r>
    </w:p>
    <w:p>
      <w:pPr>
        <w:pStyle w:val="ListBullet"/>
        <w:spacing w:after="36"/>
      </w:pPr>
      <w:r>
        <w:t>National Board for Certified Counselors. NCMHCE Examination Specifications effective July 1, 2027.</w:t>
      </w:r>
    </w:p>
    <w:p>
      <w:pPr>
        <w:pStyle w:val="ListBullet"/>
        <w:spacing w:after="36"/>
      </w:pPr>
      <w:r>
        <w:t>National Board for Certified Counselors. NCMHCE Candidate Handbook and official examination information.</w:t>
      </w:r>
    </w:p>
    <w:p>
      <w:pPr>
        <w:pStyle w:val="ListBullet"/>
        <w:spacing w:after="36"/>
      </w:pPr>
      <w:r>
        <w:t>Substance Abuse and Mental Health Services Administration. Coordinated-care, referral, and warm-handoff resources.</w:t>
      </w:r>
    </w:p>
    <w:p>
      <w:pPr>
        <w:spacing w:after="100"/>
      </w:pPr>
      <w:r>
        <w:rPr>
          <w:rFonts w:ascii="Arial" w:hAnsi="Arial"/>
          <w:b w:val="0"/>
          <w:i/>
          <w:color w:val="4B5563"/>
          <w:sz w:val="17"/>
        </w:rPr>
        <w:t>Content-control note: Examination specifications, statutes, regulations, and professional guidance can change. CTA should verify official sources before publication, update, or re-release.</w:t>
      </w: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4B5563"/>
        <w:sz w:val="16"/>
      </w:rPr>
      <w:t xml:space="preserve">Clinical Training Academy - LPCC Student Workbook 11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59C9C"/>
        <w:sz w:val="15"/>
      </w:rPr>
      <w:t>CLINICAL TRAINING ACADEMY  |  LPCC EXAM PREPARATION</w:t>
    </w: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Workbook 10 - Context-Responsive Counseling</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8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17" w:hanging="173"/>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 Id="rId38" Type="http://schemas.openxmlformats.org/officeDocument/2006/relationships/hyperlink" Target="https://www.nbcc.org/examinations/ncmhce" TargetMode="External"/><Relationship Id="rId39" Type="http://schemas.openxmlformats.org/officeDocument/2006/relationships/hyperlink" Target="https://leginfo.legislature.ca.gov/faces/codes_displaySection.xhtml?lawCode=BPC&amp;sectionNum=4999.32." TargetMode="External"/><Relationship Id="rId40" Type="http://schemas.openxmlformats.org/officeDocument/2006/relationships/hyperlink" Target="https://leginfo.legislature.ca.gov/faces/codes_displaySection.xhtml?lawCode=BPC&amp;sectionNum=4999.33." TargetMode="External"/><Relationship Id="rId41" Type="http://schemas.openxmlformats.org/officeDocument/2006/relationships/hyperlink" Target="https://www.samhsa.gov/find-support/learn-about-treatment/what-to-expect-from-treatment" TargetMode="External"/><Relationship Id="rId42" Type="http://schemas.openxmlformats.org/officeDocument/2006/relationships/hyperlink" Target="https://www.samhsa.gov/grants/how-to-apply/forms-and-resources/developing-goals-measurable-objectives" TargetMode="External"/><Relationship Id="rId43" Type="http://schemas.openxmlformats.org/officeDocument/2006/relationships/hyperlink" Target="https://www.research.va.gov/research_in_action/Measurement-Based-Mental-Health-Care.cfm" TargetMode="External"/><Relationship Id="rId44" Type="http://schemas.openxmlformats.org/officeDocument/2006/relationships/hyperlink" Target="https://www.mentalhealth.va.gov/about/index.asp" TargetMode="External"/><Relationship Id="rId45" Type="http://schemas.openxmlformats.org/officeDocument/2006/relationships/hyperlink" Target="https://www.nbcc.org/exams/ncmhce" TargetMode="External"/><Relationship Id="rId46" Type="http://schemas.openxmlformats.org/officeDocument/2006/relationships/hyperlink" Target="https://www.cacrep.org/for-programs/2024-cacrep-standards/" TargetMode="External"/><Relationship Id="rId47" Type="http://schemas.openxmlformats.org/officeDocument/2006/relationships/hyperlink" Target="https://library.samhsa.gov/sites/default/files/d7/priv/pep19-02-01-003_0.pdf" TargetMode="External"/><Relationship Id="rId48" Type="http://schemas.openxmlformats.org/officeDocument/2006/relationships/hyperlink" Target="https://pubmed.ncbi.nlm.nih.gov/29792475/" TargetMode="External"/><Relationship Id="rId49" Type="http://schemas.openxmlformats.org/officeDocument/2006/relationships/hyperlink" Target="https://pubmed.ncbi.nlm.nih.gov/30335462/" TargetMode="External"/><Relationship Id="rId50" Type="http://schemas.openxmlformats.org/officeDocument/2006/relationships/hyperlink" Target="https://pubmed.ncbi.nlm.nih.gov/33829817/" TargetMode="External"/><Relationship Id="rId51" Type="http://schemas.openxmlformats.org/officeDocument/2006/relationships/hyperlink" Target="https://pubmed.ncbi.nlm.nih.gov/39901761/" TargetMode="External"/><Relationship Id="rId5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11: Individual, Group, Couple/Family, Referral, Continuity, and Interdisciplinary Collaboration</dc:title>
  <dc:subject>LPCC NCMHCE Exam Preparation Program</dc:subject>
  <dc:creator>Clinical Training Academy</dc:creator>
  <cp:keywords>LPCC, NCMHCE, group counseling, couples, families, referral, continuity, collaboration</cp:keywords>
  <dc:description>Editable Word student workbook. Version 1.0, July 2026.</dc:description>
  <cp:lastModifiedBy/>
  <cp:revision>1</cp:revision>
  <dcterms:created xsi:type="dcterms:W3CDTF">2013-12-23T23:15:00Z</dcterms:created>
  <dcterms:modified xsi:type="dcterms:W3CDTF">2013-12-23T23:15:00Z</dcterms:modified>
  <cp:category/>
</cp:coreProperties>
</file>