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" cy="713848"/>
            <wp:docPr id="1" name="Picture 1" descr="Clinical Training Academy logo" title="Clinical Training Academ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713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A9D8F"/>
          <w:sz w:val="22"/>
        </w:rPr>
        <w:t>LCSW CLINICAL EXAM PREPARATION PROGRAM</w:t>
      </w:r>
    </w:p>
    <w:p>
      <w:pPr>
        <w:pStyle w:val="Title"/>
        <w:jc w:val="center"/>
      </w:pPr>
      <w:r>
        <w:t>LCSW Clinical Question Bank</w:t>
      </w:r>
    </w:p>
    <w:p>
      <w:pPr>
        <w:pStyle w:val="Subtitle"/>
        <w:jc w:val="center"/>
      </w:pPr>
      <w:r>
        <w:t>Workbook 3: Human Development, Diversity, and Person-in-Environment</w:t>
      </w:r>
    </w:p>
    <w:p>
      <w:pPr>
        <w:jc w:val="center"/>
      </w:pPr>
      <w:r>
        <w:rPr>
          <w:b/>
          <w:color w:val="1B2A41"/>
          <w:sz w:val="22"/>
        </w:rPr>
        <w:t>17 QUESTIONS WITH COMPLETE RATIONALES AND EXAM STRATEGIES</w:t>
      </w:r>
    </w:p>
    <w:p/>
    <w:p>
      <w:pPr>
        <w:jc w:val="center"/>
      </w:pPr>
      <w:r>
        <w:rPr>
          <w:color w:val="696969"/>
          <w:sz w:val="20"/>
        </w:rPr>
        <w:t>Version 1.0 • July 2026</w:t>
      </w:r>
    </w:p>
    <w:p>
      <w:pPr>
        <w:jc w:val="center"/>
      </w:pPr>
      <w:r>
        <w:rPr>
          <w:b/>
          <w:color w:val="1B2A41"/>
          <w:sz w:val="24"/>
        </w:rPr>
        <w:t>Clinical Training Academy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Publication and Use Notice</w:t>
              <w:br/>
            </w:r>
            <w:r>
              <w:rPr>
                <w:sz w:val="19"/>
              </w:rPr>
              <w:t>This original Clinical Training Academy resource is designed for licensing-examination preparation and professional education. It is not an official licensing examination, is not affiliated with or endorsed by a licensing or testing organization, and does not replace current law, professional standards, supervision, consultation, or case-specific guidance.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Question Bank Structure</w:t>
              <w:br/>
            </w:r>
            <w:r>
              <w:rPr>
                <w:sz w:val="19"/>
              </w:rPr>
              <w:t>This workbook question bank contains 17 selected questions: 5 Easy, 7 Moderate, and 5 Difficult. Question type and difficulty are separate classifications. Every item includes one best answer, complete option-by-option rationales, and a CTA exam strategy.</w:t>
            </w:r>
          </w:p>
        </w:tc>
      </w:tr>
    </w:tbl>
    <w:p/>
    <w:p>
      <w:pPr>
        <w:pStyle w:val="Heading1"/>
      </w:pPr>
      <w:r>
        <w:t>Question Bank Blueprint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Control</w:t>
            </w:r>
          </w:p>
        </w:tc>
        <w:tc>
          <w:tcPr>
            <w:tcW w:type="dxa" w:w="6984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Final Design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Total questions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17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Difficulty distribution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Easy: 5 | Moderate: 7 | Difficult: 5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Question-type distribution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Application: 6 | Integrated Clinical Reasoning: 2 | Knowledge &amp; Recall: 3 | Scenario-Based: 6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Answer distribution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A: 5 | B: 4 | C: 4 | D: 4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Option format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10 three-option questions | 7 four-option questions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Source-item status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17 selected for the Workbook 3 bank; 33 retained in the internal development reserve</w:t>
            </w:r>
          </w:p>
        </w:tc>
      </w:tr>
    </w:tbl>
    <w:p>
      <w:pPr>
        <w:pStyle w:val="Heading1"/>
      </w:pPr>
      <w:r>
        <w:t>How to Use This Question Bank</w:t>
      </w:r>
    </w:p>
    <w:p>
      <w:pPr>
        <w:pStyle w:val="ListBullet"/>
      </w:pPr>
      <w:r>
        <w:t>Work through one difficulty section at a time or complete all 17 questions as a mixed review.</w:t>
      </w:r>
    </w:p>
    <w:p>
      <w:pPr>
        <w:pStyle w:val="ListBullet"/>
      </w:pPr>
      <w:r>
        <w:t>Cover the answer and rationale area before choosing your response.</w:t>
      </w:r>
    </w:p>
    <w:p>
      <w:pPr>
        <w:pStyle w:val="ListBullet"/>
      </w:pPr>
      <w:r>
        <w:t>After answering, study why the keyed option fits the exact qualifier, timing, role, and facts.</w:t>
      </w:r>
    </w:p>
    <w:p>
      <w:pPr>
        <w:pStyle w:val="ListBullet"/>
      </w:pPr>
      <w:r>
        <w:t>Record both incorrect answers and low-confidence correct answers in your study notes.</w:t>
      </w:r>
    </w:p>
    <w:p>
      <w:r>
        <w:br w:type="page"/>
      </w:r>
    </w:p>
    <w:p>
      <w:pPr>
        <w:pStyle w:val="Heading1"/>
      </w:pPr>
      <w:r>
        <w:t>Easy Questions</w:t>
      </w:r>
    </w:p>
    <w:p>
      <w:r>
        <w:rPr>
          <w:i/>
          <w:color w:val="696969"/>
        </w:rPr>
        <w:t>5 questions | Foundational distinctions, examination language, and direct application.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LCSW-WB03-QB-Q001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Person-in-environment framework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Which statement BEST describes person-in-environment assessment?</w:t>
      </w:r>
    </w:p>
    <w:p>
      <w:pPr>
        <w:pStyle w:val="Option"/>
        <w:keepNext/>
      </w:pPr>
      <w:r>
        <w:rPr>
          <w:b/>
        </w:rPr>
        <w:t xml:space="preserve">A. </w:t>
      </w:r>
      <w:r>
        <w:t>It replaces individual clinical assessment with resource referral.</w:t>
      </w:r>
    </w:p>
    <w:p>
      <w:pPr>
        <w:pStyle w:val="Option"/>
        <w:keepNext/>
      </w:pPr>
      <w:r>
        <w:rPr>
          <w:b/>
        </w:rPr>
        <w:t xml:space="preserve">B. </w:t>
      </w:r>
      <w:r>
        <w:t>It examines how individual functioning interacts with family, community, institutions, resources, access, and social conditions.</w:t>
      </w:r>
    </w:p>
    <w:p>
      <w:pPr>
        <w:pStyle w:val="Option"/>
        <w:keepNext/>
      </w:pPr>
      <w:r>
        <w:rPr>
          <w:b/>
        </w:rPr>
        <w:t xml:space="preserve">C. </w:t>
      </w:r>
      <w:r>
        <w:t>It assumes structural conditions fully explain every symptom.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Clinical and environmental assessment are integrated rather than substituted.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Person-in-environment reasoning expands assessment beyond symptoms while still considering clinical functioning and safety.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Multiple biological, psychological, relational, and environmental factors may interact.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Choose the option that connects the person and environment without abandoning clinical assessment.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LCSW-WB03-QB-Q002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Intersectionality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Intersectionality refers to:</w:t>
      </w:r>
    </w:p>
    <w:p>
      <w:pPr>
        <w:pStyle w:val="Option"/>
        <w:keepNext/>
      </w:pPr>
      <w:r>
        <w:rPr>
          <w:b/>
        </w:rPr>
        <w:t xml:space="preserve">A. </w:t>
      </w:r>
      <w:r>
        <w:t>The way multiple identities and social positions interact to shape experience, power, risk, access, and opportunity.</w:t>
      </w:r>
    </w:p>
    <w:p>
      <w:pPr>
        <w:pStyle w:val="Option"/>
        <w:keepNext/>
      </w:pPr>
      <w:r>
        <w:rPr>
          <w:b/>
        </w:rPr>
        <w:t xml:space="preserve">B. </w:t>
      </w:r>
      <w:r>
        <w:t>Ranking identities from most to least important.</w:t>
      </w:r>
    </w:p>
    <w:p>
      <w:pPr>
        <w:pStyle w:val="Option"/>
        <w:keepNext/>
      </w:pPr>
      <w:r>
        <w:rPr>
          <w:b/>
        </w:rPr>
        <w:t xml:space="preserve">C. </w:t>
      </w:r>
      <w:r>
        <w:t>Selecting one primary identity for treatment.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Intersectionality rejects the idea that one identity alone determines a person's experience.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The framework examines interaction rather than hierarchy.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Clients may experience several identities and positions simultaneously.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Look for interaction among identities, power, and systems rather than a single-category explanation.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LCSW-WB03-QB-Q003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Knowledge &amp; Recall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Cultural humility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social worker realizes that an assumption about a client's community may be influencing the interview. What should the social worker do?</w:t>
      </w:r>
    </w:p>
    <w:p>
      <w:pPr>
        <w:pStyle w:val="Option"/>
        <w:keepNext/>
      </w:pPr>
      <w:r>
        <w:rPr>
          <w:b/>
        </w:rPr>
        <w:t xml:space="preserve">A. </w:t>
      </w:r>
      <w:r>
        <w:t>Use cultural facts to predict the client's values.</w:t>
      </w:r>
    </w:p>
    <w:p>
      <w:pPr>
        <w:pStyle w:val="Option"/>
        <w:keepNext/>
      </w:pPr>
      <w:r>
        <w:rPr>
          <w:b/>
        </w:rPr>
        <w:t xml:space="preserve">B. </w:t>
      </w:r>
      <w:r>
        <w:t>Avoid discussing identity to remain neutral.</w:t>
      </w:r>
    </w:p>
    <w:p>
      <w:pPr>
        <w:pStyle w:val="Option"/>
        <w:keepNext/>
      </w:pPr>
      <w:r>
        <w:rPr>
          <w:b/>
        </w:rPr>
        <w:t xml:space="preserve">C. </w:t>
      </w:r>
      <w:r>
        <w:t>Invite the client's meanings, reflect on professional assumptions and power, acknowledge limits, and remain open to correction.</w:t>
      </w:r>
    </w:p>
    <w:p>
      <w:pPr>
        <w:pStyle w:val="Option"/>
        <w:keepNext/>
      </w:pPr>
      <w:r>
        <w:rPr>
          <w:b/>
        </w:rPr>
        <w:t xml:space="preserve">D. </w:t>
      </w:r>
      <w:r>
        <w:t>Assume shared identity creates identical service preferences.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General knowledge cannot substitute for assessment of the individual.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Silence may omit relevant experiences and power dynamics.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Cultural humility centers curiosity and accountability rather than mastery over a cultural group.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People within a group vary in beliefs, resources, and goals.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Ask, reflect, and invite correction rather than assuming or avoiding.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LCSW-WB03-QB-Q004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Transportation and health-care access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client receiving dialysis misses treatment after the paratransit provider cancels twice.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Warn the client about noncompliance.</w:t>
      </w:r>
    </w:p>
    <w:p>
      <w:pPr>
        <w:pStyle w:val="Option"/>
        <w:keepNext/>
      </w:pPr>
      <w:r>
        <w:rPr>
          <w:b/>
        </w:rPr>
        <w:t xml:space="preserve">B. </w:t>
      </w:r>
      <w:r>
        <w:t>Close the case because health care is outside social work.</w:t>
      </w:r>
    </w:p>
    <w:p>
      <w:pPr>
        <w:pStyle w:val="Option"/>
        <w:keepNext/>
      </w:pPr>
      <w:r>
        <w:rPr>
          <w:b/>
        </w:rPr>
        <w:t xml:space="preserve">C. </w:t>
      </w:r>
      <w:r>
        <w:t>Focus only on feelings about the missed appointments.</w:t>
      </w:r>
    </w:p>
    <w:p>
      <w:pPr>
        <w:pStyle w:val="Option"/>
        <w:keepNext/>
      </w:pPr>
      <w:r>
        <w:rPr>
          <w:b/>
        </w:rPr>
        <w:t xml:space="preserve">D. </w:t>
      </w:r>
      <w:r>
        <w:t>Assess medical urgency, transportation alternatives, insurance or service options, disability needs, supports, and the client's preferred plan.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This assigns blame before addressing the documented barrier.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Access and coordination are relevant social work concerns.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Emotional impact matters, but the medical and transportation needs are also immediate.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The missed care may reflect an access barrier rather than resistance or poor motivation.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Fix or reduce the access barrier before interpreting attendance.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LCSW-WB03-QB-Q005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Easy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Physical access barrier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wheelchair user reports that the agency interview room is inaccessible. What should the social worker do NEXT?</w:t>
      </w:r>
    </w:p>
    <w:p>
      <w:pPr>
        <w:pStyle w:val="Option"/>
        <w:keepNext/>
      </w:pPr>
      <w:r>
        <w:rPr>
          <w:b/>
        </w:rPr>
        <w:t xml:space="preserve">A. </w:t>
      </w:r>
      <w:r>
        <w:t>Acknowledge the barrier, ask about preferred access, arrange a reliable accessible location or format, and preserve continuity.</w:t>
      </w:r>
    </w:p>
    <w:p>
      <w:pPr>
        <w:pStyle w:val="Option"/>
        <w:keepNext/>
      </w:pPr>
      <w:r>
        <w:rPr>
          <w:b/>
        </w:rPr>
        <w:t xml:space="preserve">B. </w:t>
      </w:r>
      <w:r>
        <w:t>Ask a relative to carry the client into the room.</w:t>
      </w:r>
    </w:p>
    <w:p>
      <w:pPr>
        <w:pStyle w:val="Option"/>
        <w:keepNext/>
      </w:pPr>
      <w:r>
        <w:rPr>
          <w:b/>
        </w:rPr>
        <w:t xml:space="preserve">C. </w:t>
      </w:r>
      <w:r>
        <w:t>Refer the client solely because of the disability.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The agency should address the environmental barrier rather than treating the client as the problem.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is unsafe and undignified.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Referral is not automatically required when access can be provided.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Change the environment before judging engagement.</w:t>
            </w:r>
          </w:p>
        </w:tc>
      </w:tr>
    </w:tbl>
    <w:p/>
    <w:p>
      <w:r>
        <w:br w:type="page"/>
      </w:r>
    </w:p>
    <w:p>
      <w:pPr>
        <w:pStyle w:val="Heading1"/>
      </w:pPr>
      <w:r>
        <w:t>Moderate Questions</w:t>
      </w:r>
    </w:p>
    <w:p>
      <w:r>
        <w:rPr>
          <w:i/>
          <w:color w:val="696969"/>
        </w:rPr>
        <w:t>7 questions | Applied sequencing and realistic clinical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LCSW-WB03-QB-Q006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Refugee resettlement and trauma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refugee family reports nightmares, difficulty navigating benefits, and fear of authorities.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Begin trauma processing immediately.</w:t>
      </w:r>
    </w:p>
    <w:p>
      <w:pPr>
        <w:pStyle w:val="Option"/>
        <w:keepNext/>
      </w:pPr>
      <w:r>
        <w:rPr>
          <w:b/>
        </w:rPr>
        <w:t xml:space="preserve">B. </w:t>
      </w:r>
      <w:r>
        <w:t>Assess current safety, trauma and health symptoms, family functioning, legal and service roles, language access, material needs, trusted supports, and the family's priorities.</w:t>
      </w:r>
    </w:p>
    <w:p>
      <w:pPr>
        <w:pStyle w:val="Option"/>
        <w:keepNext/>
      </w:pPr>
      <w:r>
        <w:rPr>
          <w:b/>
        </w:rPr>
        <w:t xml:space="preserve">C. </w:t>
      </w:r>
      <w:r>
        <w:t>Assume the fear is irrational because services are available.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Stabilization, safety, access, and readiness must first be assessed.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The response should integrate psychosocial assessment and practical navigation without assuming a single refugee experience.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Past and present experiences may make distrust understandable.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Combine safety, access, and symptoms; do not reduce the case to either therapy or referral alone.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LCSW-WB03-QB-Q007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Housing instability and school attendance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student is absent frequently because the family is moving among temporary housing sites. What should the school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Use a truancy contract before discussing housing.</w:t>
      </w:r>
    </w:p>
    <w:p>
      <w:pPr>
        <w:pStyle w:val="Option"/>
        <w:keepNext/>
      </w:pPr>
      <w:r>
        <w:rPr>
          <w:b/>
        </w:rPr>
        <w:t xml:space="preserve">B. </w:t>
      </w:r>
      <w:r>
        <w:t>Conclude the family does not value education.</w:t>
      </w:r>
    </w:p>
    <w:p>
      <w:pPr>
        <w:pStyle w:val="Option"/>
        <w:keepNext/>
      </w:pPr>
      <w:r>
        <w:rPr>
          <w:b/>
        </w:rPr>
        <w:t xml:space="preserve">C. </w:t>
      </w:r>
      <w:r>
        <w:t>Assess housing stability, transportation, enrollment barriers, safety, learning impact, family priorities, and available educational and community supports.</w:t>
      </w:r>
    </w:p>
    <w:p>
      <w:pPr>
        <w:pStyle w:val="Option"/>
        <w:keepNext/>
      </w:pPr>
      <w:r>
        <w:rPr>
          <w:b/>
        </w:rPr>
        <w:t xml:space="preserve">D. </w:t>
      </w:r>
      <w:r>
        <w:t>Focus only on the student's motivation.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A punitive response ignores the documented barrier.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is an unsupported and stigmatizing assumption.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Attendance cannot be understood without the family's housing and access conditions.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The environmental disruption is central to attendance.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Do not interpret attendance apart from the conditions that make attendance possible.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LCSW-WB03-QB-Q008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Food insecurity and chronic illness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client with diabetes reports skipping meals so children can eat.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Provide stress-management worksheets only.</w:t>
      </w:r>
    </w:p>
    <w:p>
      <w:pPr>
        <w:pStyle w:val="Option"/>
        <w:keepNext/>
      </w:pPr>
      <w:r>
        <w:rPr>
          <w:b/>
        </w:rPr>
        <w:t xml:space="preserve">B. </w:t>
      </w:r>
      <w:r>
        <w:t>Tell the client to prioritize personal meals over the children.</w:t>
      </w:r>
    </w:p>
    <w:p>
      <w:pPr>
        <w:pStyle w:val="Option"/>
        <w:keepNext/>
      </w:pPr>
      <w:r>
        <w:rPr>
          <w:b/>
        </w:rPr>
        <w:t xml:space="preserve">C. </w:t>
      </w:r>
      <w:r>
        <w:t>Assume the client is not following medical advice.</w:t>
      </w:r>
    </w:p>
    <w:p>
      <w:pPr>
        <w:pStyle w:val="Option"/>
        <w:keepNext/>
      </w:pPr>
      <w:r>
        <w:rPr>
          <w:b/>
        </w:rPr>
        <w:t xml:space="preserve">D. </w:t>
      </w:r>
      <w:r>
        <w:t>Assess immediate medical and food needs, household resources, benefits and community options, safety, stress, and the client's priorities.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Coping skills do not resolve the immediate nutrition and health risk.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is directive and does not address scarcity.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The behavior reflects constrained resources, not necessarily lack of understanding.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Food insecurity creates direct medical risk and requires urgent resource and clinical assessment.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When scarcity threatens health, assess immediate needs and feasible resources before education alone.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LCSW-WB03-QB-Q009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Application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Neurodiversity and service fit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neurodivergent adult stops attending a noisy group program. What should the social worker do NEXT?</w:t>
      </w:r>
    </w:p>
    <w:p>
      <w:pPr>
        <w:pStyle w:val="Option"/>
        <w:keepNext/>
      </w:pPr>
      <w:r>
        <w:rPr>
          <w:b/>
        </w:rPr>
        <w:t xml:space="preserve">A. </w:t>
      </w:r>
      <w:r>
        <w:t>Ask about sensory and communication needs, program demands, goals, strengths, and preferred adaptations or alternatives.</w:t>
      </w:r>
    </w:p>
    <w:p>
      <w:pPr>
        <w:pStyle w:val="Option"/>
        <w:keepNext/>
      </w:pPr>
      <w:r>
        <w:rPr>
          <w:b/>
        </w:rPr>
        <w:t xml:space="preserve">B. </w:t>
      </w:r>
      <w:r>
        <w:t>Discharge the client for poor participation.</w:t>
      </w:r>
    </w:p>
    <w:p>
      <w:pPr>
        <w:pStyle w:val="Option"/>
        <w:keepNext/>
      </w:pPr>
      <w:r>
        <w:rPr>
          <w:b/>
        </w:rPr>
        <w:t xml:space="preserve">C. </w:t>
      </w:r>
      <w:r>
        <w:t>Require continued attendance to build tolerance.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The service may be inaccessible or mismatched rather than the client being unmotivated.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ignores possible environmental barriers.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Forced participation may increase distress and is not individualized.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Assess the mismatch before concluding the client rejected help.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LCSW-WB03-QB-Q010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Housing condition and child health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child with asthma has repeated emergency visits, and the family reports mold in the apartment. What should the social worker do NEXT?</w:t>
      </w:r>
    </w:p>
    <w:p>
      <w:pPr>
        <w:pStyle w:val="Option"/>
        <w:keepNext/>
      </w:pPr>
      <w:r>
        <w:rPr>
          <w:b/>
        </w:rPr>
        <w:t xml:space="preserve">A. </w:t>
      </w:r>
      <w:r>
        <w:t>Teach the child relaxation breathing as the primary response.</w:t>
      </w:r>
    </w:p>
    <w:p>
      <w:pPr>
        <w:pStyle w:val="Option"/>
        <w:keepNext/>
      </w:pPr>
      <w:r>
        <w:rPr>
          <w:b/>
        </w:rPr>
        <w:t xml:space="preserve">B. </w:t>
      </w:r>
      <w:r>
        <w:t>Assess current medical safety, housing conditions, landlord and service history, family resources, stress, and preferred advocacy or relocation options.</w:t>
      </w:r>
    </w:p>
    <w:p>
      <w:pPr>
        <w:pStyle w:val="Option"/>
        <w:keepNext/>
      </w:pPr>
      <w:r>
        <w:rPr>
          <w:b/>
        </w:rPr>
        <w:t xml:space="preserve">C. </w:t>
      </w:r>
      <w:r>
        <w:t>Assume the family is not following medical recommendations.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Coping skills do not remove a possible environmental trigger.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The environmental exposure may be contributing directly to the child's health and requires coordinated assessment.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The housing condition may explain continued symptoms.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Connect health outcomes with environmental conditions and client-directed action.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LCSW-WB03-QB-Q011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Supported decision-making and finances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An adult with an intellectual disability wants to manage personal spending, while family members insist on controlling all money.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Accept family control because they provide support.</w:t>
      </w:r>
    </w:p>
    <w:p>
      <w:pPr>
        <w:pStyle w:val="Option"/>
        <w:keepNext/>
      </w:pPr>
      <w:r>
        <w:rPr>
          <w:b/>
        </w:rPr>
        <w:t xml:space="preserve">B. </w:t>
      </w:r>
      <w:r>
        <w:t>Assume the client can manage every financial decision independently.</w:t>
      </w:r>
    </w:p>
    <w:p>
      <w:pPr>
        <w:pStyle w:val="Option"/>
        <w:keepNext/>
      </w:pPr>
      <w:r>
        <w:rPr>
          <w:b/>
        </w:rPr>
        <w:t xml:space="preserve">C. </w:t>
      </w:r>
      <w:r>
        <w:t>Assess the person's decision-making abilities for the specific task, communication supports, legal authority, risks, goals, and possible supported-decision options.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Support does not automatically establish legal authority or incapacity.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Abilities and supports should be assessed for the specific task.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Capacity is decision-specific, and disability does not automatically justify removal of autonomy.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Do not confuse a disability label with a global incapacity determination.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LCSW-WB03-QB-Q012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Moderate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Historical and institutional mistrust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An Indigenous client says previous agencies ignored cultural practices and is reluctant to engage. What is the BEST initial response?</w:t>
      </w:r>
    </w:p>
    <w:p>
      <w:pPr>
        <w:pStyle w:val="Option"/>
        <w:keepNext/>
      </w:pPr>
      <w:r>
        <w:rPr>
          <w:b/>
        </w:rPr>
        <w:t xml:space="preserve">A. </w:t>
      </w:r>
      <w:r>
        <w:t>Explain that the current agency is different and should be trusted.</w:t>
      </w:r>
    </w:p>
    <w:p>
      <w:pPr>
        <w:pStyle w:val="Option"/>
        <w:keepNext/>
      </w:pPr>
      <w:r>
        <w:rPr>
          <w:b/>
        </w:rPr>
        <w:t xml:space="preserve">B. </w:t>
      </w:r>
      <w:r>
        <w:t>Avoid cultural discussion to treat everyone equally.</w:t>
      </w:r>
    </w:p>
    <w:p>
      <w:pPr>
        <w:pStyle w:val="Option"/>
        <w:keepNext/>
      </w:pPr>
      <w:r>
        <w:rPr>
          <w:b/>
        </w:rPr>
        <w:t xml:space="preserve">C. </w:t>
      </w:r>
      <w:r>
        <w:t>Ask a cultural representative to speak for the client.</w:t>
      </w:r>
    </w:p>
    <w:p>
      <w:pPr>
        <w:pStyle w:val="Option"/>
        <w:keepNext/>
      </w:pPr>
      <w:r>
        <w:rPr>
          <w:b/>
        </w:rPr>
        <w:t xml:space="preserve">D. </w:t>
      </w:r>
      <w:r>
        <w:t>Acknowledge the reported harm, ask what respectful and useful service would look like, explore trust, cultural and community supports, and invite correction.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Trust must be earned; reassurance can dismiss prior harm.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Equal treatment that ignores relevant history may reproduce exclusion.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Community consultation may help with consent, but the client remains the primary source of meaning.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The response validates the client's experience without assuming all cultural preferences or demanding trust.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Acknowledge impact and ask what accountability and respect require in this relationship.</w:t>
            </w:r>
          </w:p>
        </w:tc>
      </w:tr>
    </w:tbl>
    <w:p/>
    <w:p>
      <w:r>
        <w:br w:type="page"/>
      </w:r>
    </w:p>
    <w:p>
      <w:pPr>
        <w:pStyle w:val="Heading1"/>
      </w:pPr>
      <w:r>
        <w:t>Difficult Questions</w:t>
      </w:r>
    </w:p>
    <w:p>
      <w:r>
        <w:rPr>
          <w:i/>
          <w:color w:val="696969"/>
        </w:rPr>
        <w:t>5 questions | Complex scenarios requiring prioritization and integrated professional reasoning.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LCSW-WB03-QB-Q013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Minor as interpreter in trauma assessment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refugee adolescent is interpreting for a parent during a trauma and benefits assessment. The parent becomes visibly distressed, and the adolescent omits parts of the conversation.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Pause, assess immediate distress and safety, explain interpretation and confidentiality options, arrange qualified language support, and protect the adolescent from an inappropriate role.</w:t>
      </w:r>
    </w:p>
    <w:p>
      <w:pPr>
        <w:pStyle w:val="Option"/>
        <w:keepNext/>
      </w:pPr>
      <w:r>
        <w:rPr>
          <w:b/>
        </w:rPr>
        <w:t xml:space="preserve">B. </w:t>
      </w:r>
      <w:r>
        <w:t>Continue because the family chose the adolescent.</w:t>
      </w:r>
    </w:p>
    <w:p>
      <w:pPr>
        <w:pStyle w:val="Option"/>
        <w:keepNext/>
      </w:pPr>
      <w:r>
        <w:rPr>
          <w:b/>
        </w:rPr>
        <w:t xml:space="preserve">C. </w:t>
      </w:r>
      <w:r>
        <w:t>Ask the adolescent to translate more completely.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The current setup compromises accuracy, privacy, and the adolescent's developmental role while the parent is distressed.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Choice may be constrained and the risks should be explained.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This intensifies an inappropriate and potentially harmful responsibility.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When a minor is carrying sensitive adult information, restore qualified access and developmental boundaries.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LCSW-WB03-QB-Q014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Acute confusion during housing crisis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An older adult becomes suddenly confused while discussing an eviction notice. The family attributes the confusion to stress. What should the social worker do NEXT?</w:t>
      </w:r>
    </w:p>
    <w:p>
      <w:pPr>
        <w:pStyle w:val="Option"/>
        <w:keepNext/>
      </w:pPr>
      <w:r>
        <w:rPr>
          <w:b/>
        </w:rPr>
        <w:t xml:space="preserve">A. </w:t>
      </w:r>
      <w:r>
        <w:t>Continue the housing interview because eviction is urgent.</w:t>
      </w:r>
    </w:p>
    <w:p>
      <w:pPr>
        <w:pStyle w:val="Option"/>
        <w:keepNext/>
      </w:pPr>
      <w:r>
        <w:rPr>
          <w:b/>
        </w:rPr>
        <w:t xml:space="preserve">B. </w:t>
      </w:r>
      <w:r>
        <w:t>Assess immediate safety and acute change, arrange urgent medical evaluation, and preserve the housing information for follow-up once the client is medically stable.</w:t>
      </w:r>
    </w:p>
    <w:p>
      <w:pPr>
        <w:pStyle w:val="Option"/>
        <w:keepNext/>
      </w:pPr>
      <w:r>
        <w:rPr>
          <w:b/>
        </w:rPr>
        <w:t xml:space="preserve">C. </w:t>
      </w:r>
      <w:r>
        <w:t>Diagnose a neurocognitive disorder.</w:t>
      </w:r>
    </w:p>
    <w:p>
      <w:r>
        <w:rPr>
          <w:b/>
          <w:color w:val="237852"/>
        </w:rPr>
        <w:t>Correct Answer: B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The medical concern is more immediate, though housing follow-up remains important.</w:t>
      </w:r>
    </w:p>
    <w:p>
      <w:pPr>
        <w:pStyle w:val="Rationale"/>
      </w:pPr>
      <w:r>
        <w:rPr>
          <w:b/>
          <w:color w:val="237852"/>
        </w:rPr>
        <w:t xml:space="preserve">B. </w:t>
      </w:r>
      <w:r>
        <w:t>Correct. Sudden confusion can indicate a medical emergency even when a major stressor is present.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A sudden change requires differential assessment and does not establish a chronic disorder.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An urgent environmental problem does not make acute medical signs less urgent.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LCSW-WB03-QB-Q015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Scenario-Based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Child-welfare access and noncompliance label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child-welfare team labels parents noncompliant after missed visits. The parents report changing shelter placements, unreliable transportation, and notices sent to an old phone.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Support sanctions to increase motivation.</w:t>
      </w:r>
    </w:p>
    <w:p>
      <w:pPr>
        <w:pStyle w:val="Option"/>
        <w:keepNext/>
      </w:pPr>
      <w:r>
        <w:rPr>
          <w:b/>
        </w:rPr>
        <w:t xml:space="preserve">B. </w:t>
      </w:r>
      <w:r>
        <w:t>Assume the parents are making excuses.</w:t>
      </w:r>
    </w:p>
    <w:p>
      <w:pPr>
        <w:pStyle w:val="Option"/>
        <w:keepNext/>
      </w:pPr>
      <w:r>
        <w:rPr>
          <w:b/>
        </w:rPr>
        <w:t xml:space="preserve">C. </w:t>
      </w:r>
      <w:r>
        <w:t>Verify the facts, assess safety and case requirements, map housing, communication and transportation barriers, involve the parents, and revise the contact plan as feasible.</w:t>
      </w:r>
    </w:p>
    <w:p>
      <w:pPr>
        <w:pStyle w:val="Option"/>
        <w:keepNext/>
      </w:pPr>
      <w:r>
        <w:rPr>
          <w:b/>
        </w:rPr>
        <w:t xml:space="preserve">D. </w:t>
      </w:r>
      <w:r>
        <w:t>Ignore missed visits because housing is unstable.</w:t>
      </w:r>
    </w:p>
    <w:p>
      <w:r>
        <w:rPr>
          <w:b/>
          <w:color w:val="237852"/>
        </w:rPr>
        <w:t>Correct Answer: C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Punitive action is premature before verifying barriers and requirements.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is an unsupported attribution that may worsen inequity.</w:t>
      </w:r>
    </w:p>
    <w:p>
      <w:pPr>
        <w:pStyle w:val="Rationale"/>
      </w:pPr>
      <w:r>
        <w:rPr>
          <w:b/>
          <w:color w:val="237852"/>
        </w:rPr>
        <w:t xml:space="preserve">C. </w:t>
      </w:r>
      <w:r>
        <w:t>Correct. The missed visits may reflect service-design and access failures rather than unwillingness.</w:t>
      </w:r>
    </w:p>
    <w:p>
      <w:pPr>
        <w:pStyle w:val="Rationale"/>
      </w:pPr>
      <w:r>
        <w:rPr>
          <w:b/>
          <w:color w:val="A02D2D"/>
        </w:rPr>
        <w:t xml:space="preserve">D. </w:t>
      </w:r>
      <w:r>
        <w:t>Incorrect. Safety and legal requirements still matter and require a feasible plan.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In mandated systems, distinguish unwillingness from inaccessible process while preserving required safety duties.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LCSW-WB03-QB-Q016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Integrated Clinical Reasoning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Flood displacement and multi-system needs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A family displaced by flooding is staying in a motel. A child is missing school, a parent reports depression, medication was lost, and the family has limited English proficiency. What should the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Refer the parent to therapy and postpone the other issues.</w:t>
      </w:r>
    </w:p>
    <w:p>
      <w:pPr>
        <w:pStyle w:val="Option"/>
        <w:keepNext/>
      </w:pPr>
      <w:r>
        <w:rPr>
          <w:b/>
        </w:rPr>
        <w:t xml:space="preserve">B. </w:t>
      </w:r>
      <w:r>
        <w:t>Ask the child to interpret while resources are arranged.</w:t>
      </w:r>
    </w:p>
    <w:p>
      <w:pPr>
        <w:pStyle w:val="Option"/>
        <w:keepNext/>
      </w:pPr>
      <w:r>
        <w:rPr>
          <w:b/>
        </w:rPr>
        <w:t xml:space="preserve">C. </w:t>
      </w:r>
      <w:r>
        <w:t>Wait for permanent housing before making a plan.</w:t>
      </w:r>
    </w:p>
    <w:p>
      <w:pPr>
        <w:pStyle w:val="Option"/>
        <w:keepNext/>
      </w:pPr>
      <w:r>
        <w:rPr>
          <w:b/>
        </w:rPr>
        <w:t xml:space="preserve">D. </w:t>
      </w:r>
      <w:r>
        <w:t>Assess immediate safety and medication needs, housing and food, school continuity, depression and suicide risk, language access, benefits, supports, and the family's priorities.</w:t>
      </w:r>
    </w:p>
    <w:p>
      <w:r>
        <w:rPr>
          <w:b/>
          <w:color w:val="237852"/>
        </w:rPr>
        <w:t>Correct Answer: D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A02D2D"/>
        </w:rPr>
        <w:t xml:space="preserve">A. </w:t>
      </w:r>
      <w:r>
        <w:t>Incorrect. Therapy alone does not address medication, housing, and school urgency.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This may burden the child and compromise privacy and accuracy.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Urgent needs and continuity require action during displacement.</w:t>
      </w:r>
    </w:p>
    <w:p>
      <w:pPr>
        <w:pStyle w:val="Rationale"/>
      </w:pPr>
      <w:r>
        <w:rPr>
          <w:b/>
          <w:color w:val="237852"/>
        </w:rPr>
        <w:t xml:space="preserve">D. </w:t>
      </w:r>
      <w:r>
        <w:t>Correct. The case requires coordinated disaster, health, education, mental-health, and language-access assessment.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Triage urgent health and safety while building one coordinated family plan.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ID</w:t>
            </w:r>
          </w:p>
        </w:tc>
        <w:tc>
          <w:tcPr>
            <w:tcW w:type="dxa" w:w="1728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252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Question Type</w:t>
            </w:r>
          </w:p>
        </w:tc>
        <w:tc>
          <w:tcPr>
            <w:tcW w:type="dxa" w:w="3672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Primary Concept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LCSW-WB03-QB-Q017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Difficult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Integrated Clinical Reasoning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keepNext/>
              <w:jc w:val="center"/>
            </w:pPr>
            <w:r>
              <w:rPr>
                <w:b/>
                <w:color w:val="1B2A41"/>
                <w:sz w:val="16"/>
              </w:rPr>
              <w:t>Environmental justice and community self-determination</w:t>
            </w:r>
          </w:p>
        </w:tc>
      </w:tr>
    </w:tbl>
    <w:p>
      <w:pPr>
        <w:keepNext/>
      </w:pPr>
      <w:r>
        <w:rPr>
          <w:b/>
          <w:color w:val="1B2A41"/>
          <w:sz w:val="22"/>
        </w:rPr>
        <w:t>Question</w:t>
      </w:r>
    </w:p>
    <w:p>
      <w:pPr>
        <w:keepNext/>
      </w:pPr>
      <w:r>
        <w:rPr>
          <w:b/>
        </w:rPr>
        <w:t>Residents near an industrial site report asthma, job dependence on the company, distrust of officials, and different opinions about public advocacy. What should a community social worker do FIRST?</w:t>
      </w:r>
    </w:p>
    <w:p>
      <w:pPr>
        <w:pStyle w:val="Option"/>
        <w:keepNext/>
      </w:pPr>
      <w:r>
        <w:rPr>
          <w:b/>
        </w:rPr>
        <w:t xml:space="preserve">A. </w:t>
      </w:r>
      <w:r>
        <w:t>Assess urgent health and exposure concerns, reliable data, employment and retaliation risks, affected groups, resident priorities, access barriers, and existing community leadership.</w:t>
      </w:r>
    </w:p>
    <w:p>
      <w:pPr>
        <w:pStyle w:val="Option"/>
        <w:keepNext/>
      </w:pPr>
      <w:r>
        <w:rPr>
          <w:b/>
        </w:rPr>
        <w:t xml:space="preserve">B. </w:t>
      </w:r>
      <w:r>
        <w:t>Organize a public protest immediately.</w:t>
      </w:r>
    </w:p>
    <w:p>
      <w:pPr>
        <w:pStyle w:val="Option"/>
        <w:keepNext/>
      </w:pPr>
      <w:r>
        <w:rPr>
          <w:b/>
        </w:rPr>
        <w:t xml:space="preserve">C. </w:t>
      </w:r>
      <w:r>
        <w:t>Avoid involvement because the issue is medical.</w:t>
      </w:r>
    </w:p>
    <w:p>
      <w:r>
        <w:rPr>
          <w:b/>
          <w:color w:val="237852"/>
        </w:rPr>
        <w:t>Correct Answer: A</w:t>
      </w:r>
    </w:p>
    <w:p>
      <w:pPr>
        <w:keepNext/>
      </w:pPr>
      <w:r>
        <w:rPr>
          <w:b/>
          <w:color w:val="1B2A41"/>
          <w:sz w:val="22"/>
        </w:rPr>
        <w:t>Rationales</w:t>
      </w:r>
    </w:p>
    <w:p>
      <w:pPr>
        <w:pStyle w:val="Rationale"/>
      </w:pPr>
      <w:r>
        <w:rPr>
          <w:b/>
          <w:color w:val="237852"/>
        </w:rPr>
        <w:t xml:space="preserve">A. </w:t>
      </w:r>
      <w:r>
        <w:t>Correct. The response must integrate environmental health, economic power, trust, and community self-determination before selecting an advocacy strategy.</w:t>
      </w:r>
    </w:p>
    <w:p>
      <w:pPr>
        <w:pStyle w:val="Rationale"/>
      </w:pPr>
      <w:r>
        <w:rPr>
          <w:b/>
          <w:color w:val="A02D2D"/>
        </w:rPr>
        <w:t xml:space="preserve">B. </w:t>
      </w:r>
      <w:r>
        <w:t>Incorrect. Public action may expose residents to risks and should follow informed community decision-making.</w:t>
      </w:r>
    </w:p>
    <w:p>
      <w:pPr>
        <w:pStyle w:val="Rationale"/>
      </w:pPr>
      <w:r>
        <w:rPr>
          <w:b/>
          <w:color w:val="A02D2D"/>
        </w:rPr>
        <w:t xml:space="preserve">C. </w:t>
      </w:r>
      <w:r>
        <w:t>Incorrect. Environmental conditions, access, and community organization are social work concerns.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4F7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CTA Exam Strategy</w:t>
              <w:br/>
            </w:r>
            <w:r>
              <w:rPr>
                <w:sz w:val="19"/>
              </w:rPr>
              <w:t>Before choosing advocacy tactics, clarify health urgency, power, risk, and what residents want.</w:t>
            </w:r>
          </w:p>
        </w:tc>
      </w:tr>
    </w:tbl>
    <w:p/>
    <w:p>
      <w:r>
        <w:br w:type="page"/>
      </w:r>
    </w:p>
    <w:p>
      <w:pPr>
        <w:pStyle w:val="Heading1"/>
      </w:pPr>
      <w:r>
        <w:t>Final Quality-Control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Quality-Control Area</w:t>
            </w:r>
          </w:p>
        </w:tc>
        <w:tc>
          <w:tcPr>
            <w:tcW w:type="dxa" w:w="6984"/>
            <w:shd w:fill="DCEDE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2A41"/>
                <w:sz w:val="17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Question count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17 unique questions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Difficulty balance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5 Easy | 7 Moderate | 5 Difficult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Answer balance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A=5 | B=4 | C=4 | D=4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Rationales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Complete rationale for every presented option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Exam strategy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Included for every question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Originality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Selected original CTA items; no official or third-party sample question is reproduced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Development reserve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33 nonselected Workbook 3 draft items retained internally and not presented as part of this student question bank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Currency review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sz w:val="17"/>
              </w:rPr>
              <w:t>Current examination resources reviewed through July 24, 2026; re-audit before future publication after material changes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space="0" w:color="8EB8B0"/>
          <w:left w:val="single" w:sz="7" w:space="0" w:color="8EB8B0"/>
          <w:bottom w:val="single" w:sz="7" w:space="0" w:color="8EB8B0"/>
          <w:right w:val="single" w:sz="7" w:space="0" w:color="8EB8B0"/>
          <w:insideH w:val="single" w:sz="7" w:space="0" w:color="8EB8B0"/>
          <w:insideV w:val="single" w:sz="7" w:space="0" w:color="8EB8B0"/>
        </w:tblBorders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B2A41"/>
                <w:sz w:val="21"/>
              </w:rPr>
              <w:t>Important</w:t>
              <w:br/>
            </w:r>
            <w:r>
              <w:rPr>
                <w:sz w:val="19"/>
              </w:rPr>
              <w:t>The larger comprehensive practice examinations will be developed separately from the official examination blueprints. They will not simply combine or repeat the workbook question banks.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07" w:right="1008" w:bottom="835" w:left="1008" w:header="317" w:footer="31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8"/>
      </w:rPr>
      <w:t xml:space="preserve">Clinical Training Academy • </w:t>
    </w:r>
    <w:r>
      <w:rPr>
        <w:color w:val="696969"/>
        <w:sz w:val="18"/>
      </w:rPr>
      <w:t xml:space="preserve">Page </w:t>
    </w:r>
    <w:fldSimple w:instr="PAGE">
      <w:r>
        <w:rPr>
          <w:color w:val="666666"/>
          <w:sz w:val="18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9" w:space="2" w:color="2A9D8F"/>
      </w:pBdr>
    </w:pPr>
    <w:r>
      <w:rPr>
        <w:rFonts w:ascii="Arial" w:hAnsi="Arial"/>
        <w:b/>
        <w:color w:val="1B2A41"/>
        <w:sz w:val="16"/>
      </w:rPr>
      <w:t>CTA LCSW Workbook 3 Question Bank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B2A4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2A9D8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temMetadata">
    <w:name w:val="Item Metadata"/>
    <w:pPr>
      <w:spacing w:after="40"/>
    </w:pPr>
    <w:rPr>
      <w:rFonts w:ascii="Arial" w:hAnsi="Arial"/>
      <w:color w:val="696969"/>
      <w:sz w:val="16"/>
    </w:rPr>
  </w:style>
  <w:style w:type="paragraph" w:customStyle="1" w:styleId="Option">
    <w:name w:val="Option"/>
    <w:pPr>
      <w:spacing w:after="50"/>
      <w:ind w:left="317" w:hanging="317"/>
    </w:pPr>
    <w:rPr>
      <w:rFonts w:ascii="Arial" w:hAnsi="Arial"/>
      <w:sz w:val="20"/>
    </w:rPr>
  </w:style>
  <w:style w:type="paragraph" w:customStyle="1" w:styleId="Rationale">
    <w:name w:val="Rationale"/>
    <w:pPr>
      <w:spacing w:after="60"/>
      <w:ind w:left="259" w:hanging="259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Workbook 3 Question Bank</dc:title>
  <dc:subject>LCSW Workbook 3 seventeen-question clinical examination question bank</dc:subject>
  <dc:creator>Clinical Training Academy</dc:creator>
  <cp:keywords>LMFT, LCSW, clinical exam preparation, practice examination, question bank</cp:keywords>
  <dc:description>Original Clinical Training Academy educational material.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