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1F7A8C"/>
          <w:sz w:val="24"/>
        </w:rPr>
        <w:t>CLINICAL TRAINING ACADEMY</w:t>
      </w:r>
    </w:p>
    <w:p>
      <w:pPr>
        <w:spacing w:before="520"/>
        <w:jc w:val="center"/>
      </w:pPr>
      <w:r>
        <w:rPr>
          <w:b/>
          <w:color w:val="17365D"/>
          <w:sz w:val="68"/>
        </w:rPr>
        <w:t>LCSW</w:t>
      </w:r>
    </w:p>
    <w:p>
      <w:pPr>
        <w:jc w:val="center"/>
      </w:pPr>
      <w:r>
        <w:rPr>
          <w:b/>
          <w:color w:val="24313D"/>
          <w:sz w:val="40"/>
        </w:rPr>
        <w:t>STUDENT FAQ &amp;</w:t>
        <w:br/>
        <w:t>SELF-SERVICE SUPPORT GUIDE</w:t>
      </w:r>
    </w:p>
    <w:p>
      <w:pPr>
        <w:spacing w:before="160"/>
        <w:jc w:val="center"/>
      </w:pPr>
      <w:r>
        <w:rPr>
          <w:color w:val="1F7A8C"/>
          <w:sz w:val="24"/>
        </w:rPr>
        <w:t>ASWB Clinical Exam Preparation Program</w:t>
      </w:r>
    </w:p>
    <w:tbl>
      <w:tblPr>
        <w:tblW w:type="auto" w:w="0"/>
        <w:jc w:val="center"/>
        <w:tblLayout w:type="fixed"/>
        <w:tblLook w:firstColumn="1" w:firstRow="1" w:lastColumn="0" w:lastRow="0" w:noHBand="0" w:noVBand="1" w:val="04A0"/>
      </w:tblPr>
      <w:tblGrid>
        <w:gridCol w:w="10454"/>
      </w:tblGrid>
      <w:tr>
        <w:trPr>
          <w:tblHeader w:val="true"/>
          <w:cantSplit/>
        </w:trPr>
        <w:tc>
          <w:tcPr>
            <w:tcW w:type="dxa" w:w="9360"/>
            <w:shd w:fill="DDEFF2"/>
            <w:tcBorders>
              <w:top w:val="single" w:sz="10" w:color="1F7A8C"/>
              <w:left w:val="single" w:sz="10" w:color="1F7A8C"/>
              <w:bottom w:val="single" w:sz="10" w:color="1F7A8C"/>
              <w:right w:val="single" w:sz="10" w:color="1F7A8C"/>
            </w:tcBorders>
            <w:tcMar>
              <w:top w:w="150" w:type="dxa"/>
              <w:start w:w="180" w:type="dxa"/>
              <w:bottom w:w="150" w:type="dxa"/>
              <w:end w:w="180" w:type="dxa"/>
            </w:tcMar>
          </w:tcPr>
          <w:p>
            <w:pPr>
              <w:jc w:val="center"/>
            </w:pPr>
            <w:r>
              <w:rPr>
                <w:b/>
                <w:color w:val="17365D"/>
                <w:sz w:val="25"/>
              </w:rPr>
              <w:t>Find the right resource, solve common course problems, and know when to contact CTA support or an official licensing source.</w:t>
            </w:r>
          </w:p>
        </w:tc>
      </w:tr>
    </w:tbl>
    <w:p>
      <w:pPr>
        <w:spacing w:before="240"/>
        <w:jc w:val="center"/>
      </w:pPr>
      <w:r>
        <w:rPr>
          <w:sz w:val="20"/>
        </w:rPr>
        <w:t>Student name: __________________________________________</w:t>
      </w:r>
    </w:p>
    <w:p>
      <w:pPr>
        <w:spacing w:before="100"/>
        <w:jc w:val="center"/>
      </w:pPr>
      <w:r>
        <w:rPr>
          <w:sz w:val="20"/>
        </w:rPr>
        <w:t>Target exam date: ____________________   Study plan:  ☐ 10-week   ☐ 14-week   ☐ 18-week</w:t>
      </w:r>
    </w:p>
    <w:p>
      <w:pPr>
        <w:spacing w:before="520"/>
        <w:jc w:val="center"/>
      </w:pPr>
      <w:r>
        <w:rPr>
          <w:color w:val="68737D"/>
          <w:sz w:val="18"/>
        </w:rPr>
        <w:t>Version 1.0  •  August 2026  •  Editable and Print-Ready</w:t>
      </w:r>
    </w:p>
    <w:p>
      <w:r>
        <w:br w:type="page"/>
      </w:r>
    </w:p>
    <w:p>
      <w:pPr>
        <w:pStyle w:val="Heading1"/>
        <w:keepNext/>
      </w:pPr>
      <w:r>
        <w:t>Quick Start: Where Do I Begin?</w:t>
      </w:r>
    </w:p>
    <w:tbl>
      <w:tblPr>
        <w:tblW w:type="auto" w:w="0"/>
        <w:jc w:val="center"/>
        <w:tblLook w:firstColumn="1" w:firstRow="1" w:lastColumn="0" w:lastRow="0" w:noHBand="0" w:noVBand="1" w:val="04A0"/>
      </w:tblPr>
      <w:tblGrid>
        <w:gridCol w:w="10454"/>
      </w:tblGrid>
      <w:tr>
        <w:trPr>
          <w:tblHeader w:val="true"/>
          <w:cantSplit/>
        </w:trPr>
        <w:tc>
          <w:tcPr>
            <w:tcW w:type="dxa" w:w="10454"/>
            <w:shd w:fill="DDEFF2"/>
            <w:tcBorders>
              <w:top w:val="single" w:sz="8" w:color="1F7A8C"/>
              <w:left w:val="single" w:sz="8" w:color="1F7A8C"/>
              <w:bottom w:val="single" w:sz="8" w:color="1F7A8C"/>
              <w:right w:val="single" w:sz="8" w:color="1F7A8C"/>
            </w:tcBorders>
            <w:tcMar>
              <w:top w:w="95" w:type="dxa"/>
              <w:start w:w="120" w:type="dxa"/>
              <w:bottom w:w="95" w:type="dxa"/>
              <w:end w:w="120" w:type="dxa"/>
            </w:tcMar>
          </w:tcPr>
          <w:p>
            <w:pPr>
              <w:spacing w:after="0"/>
            </w:pPr>
            <w:r>
              <w:rPr>
                <w:b/>
                <w:color w:val="17365D"/>
              </w:rPr>
              <w:t xml:space="preserve">Start here:  </w:t>
            </w:r>
            <w:r>
              <w:rPr>
                <w:color w:val="24313D"/>
              </w:rPr>
              <w:t>Choose a pace, complete the orientation materials, and use the same Learn → Practice → Review → Remediate → Simulate cycle for every workbook.</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do first?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Open the Student Roadmap and select the 10-, 14-, or 18-week schedule. Review this FAQ and the August 2026 Exam-Day and Simulation Guide, then begin Workbook 1. Do not begin with a comprehensive simulation just to see how you do.</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is included in the program?</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student program includes 12 workbooks, one 17-question bank per workbook, complete rationale review, remediation tools, quick-reference sheets, a 132-card flashcard collection, a student roadmap, readiness tracking, Form A, and Form B. Some resources may be released sequentially inside the course portal.</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study fully online, entirely on paper, or both?</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Yes. You may read and complete activities online, download and print editable materials, or use a hybrid approach. Keep question documents separate from answer and rationale resources when simulating test conditions.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long should the program take?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pace that matches your available study time and exam date. The 10-week plan is intensive, the 14-week plan is balanced, and the 18-week plan provides more repetition and remediation time. You may adjust the calendar while preserving the sequence.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makes the LCSW pathway profession-specific?</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LCSW program repeatedly asks you to integrate social work values, person-in-environment context, safety, client perspective, role clarity, and the intervention level that best matches the stated barrier.</w:t>
            </w:r>
          </w:p>
        </w:tc>
      </w:tr>
    </w:tbl>
    <w:p>
      <w:pPr>
        <w:spacing w:after="0"/>
      </w:pPr>
    </w:p>
    <w:p>
      <w:r>
        <w:br w:type="page"/>
      </w:r>
    </w:p>
    <w:p>
      <w:pPr>
        <w:pStyle w:val="Heading1"/>
        <w:keepNext/>
      </w:pPr>
      <w:r>
        <w:t>Course Navigation and Resource Map</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be inside each workbook section?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 workbook overview, the workbook file or online reading, a completion prompt, the associated 17-question bank, rationale review, and a remediation check.</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unlocks the next step?</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Learning content may be revisited at any time. Correct answers and rationales should appear only after a question-bank attempt is submitted. Form B should remain locked until Form A and the required remediation step are complete.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Where do I find trackers, flashcards, the exam-day guide, and quick-reference sheets?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Look in the course Resource Library or Start Here area. These written tools support the workbooks; they do not replace completing the workbook and associated question bank.</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Are recorded audio or video lessons included at launch?</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No. The launch program is a complete written, printable, and LMS-based study system. Scripts and slide decks are retained internally as future production assets and are not student resources until recordings are completed and tested.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do I know what is complete?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course progress display and your editable progress tracker. Record workbook completion, question-bank score, time used, error patterns, remediation action, and the date the next step was completed.</w:t>
            </w:r>
          </w:p>
        </w:tc>
      </w:tr>
    </w:tbl>
    <w:p>
      <w:pPr>
        <w:spacing w:after="0"/>
      </w:pPr>
    </w:p>
    <w:p>
      <w:pPr>
        <w:pStyle w:val="Heading2"/>
        <w:keepNext/>
      </w:pPr>
      <w:r>
        <w:t>The Repeatable CTA Study Cycle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440"/>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Stage</w:t>
            </w:r>
          </w:p>
        </w:tc>
        <w:tc>
          <w:tcPr>
            <w:tcW w:type="dxa" w:w="2592"/>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Use</w:t>
            </w:r>
          </w:p>
        </w:tc>
        <w:tc>
          <w:tcPr>
            <w:tcW w:type="dxa" w:w="5760"/>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Completion Evidence</w:t>
            </w:r>
          </w:p>
        </w:tc>
      </w:tr>
      <w:tr>
        <w:trPr>
          <w:cantSplit/>
        </w:trPr>
        <w:tc>
          <w:tcPr>
            <w:tcW w:type="dxa" w:w="144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1. Learn</w:t>
            </w:r>
          </w:p>
        </w:tc>
        <w:tc>
          <w:tcPr>
            <w:tcW w:type="dxa" w:w="2592"/>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Workbook + approved written study tools</w:t>
            </w:r>
          </w:p>
        </w:tc>
        <w:tc>
          <w:tcPr>
            <w:tcW w:type="dxa" w:w="57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Explain the key decision rules in your own words.</w:t>
            </w:r>
          </w:p>
        </w:tc>
      </w:tr>
      <w:tr>
        <w:trPr>
          <w:cantSplit/>
        </w:trPr>
        <w:tc>
          <w:tcPr>
            <w:tcW w:type="dxa" w:w="144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2. Practice</w:t>
            </w:r>
          </w:p>
        </w:tc>
        <w:tc>
          <w:tcPr>
            <w:tcW w:type="dxa" w:w="2592"/>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17-question bank</w:t>
            </w:r>
          </w:p>
        </w:tc>
        <w:tc>
          <w:tcPr>
            <w:tcW w:type="dxa" w:w="57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Submit before viewing answers.</w:t>
            </w:r>
          </w:p>
        </w:tc>
      </w:tr>
      <w:tr>
        <w:trPr>
          <w:cantSplit/>
        </w:trPr>
        <w:tc>
          <w:tcPr>
            <w:tcW w:type="dxa" w:w="144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3. Review</w:t>
            </w:r>
          </w:p>
        </w:tc>
        <w:tc>
          <w:tcPr>
            <w:tcW w:type="dxa" w:w="2592"/>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Complete rationales</w:t>
            </w:r>
          </w:p>
        </w:tc>
        <w:tc>
          <w:tcPr>
            <w:tcW w:type="dxa" w:w="57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Explain why the best answer fits and each distractor is weaker.</w:t>
            </w:r>
          </w:p>
        </w:tc>
      </w:tr>
      <w:tr>
        <w:trPr>
          <w:cantSplit/>
        </w:trPr>
        <w:tc>
          <w:tcPr>
            <w:tcW w:type="dxa" w:w="144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4. Remediate</w:t>
            </w:r>
          </w:p>
        </w:tc>
        <w:tc>
          <w:tcPr>
            <w:tcW w:type="dxa" w:w="2592"/>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Error log + targeted review</w:t>
            </w:r>
          </w:p>
        </w:tc>
        <w:tc>
          <w:tcPr>
            <w:tcW w:type="dxa" w:w="57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Return to the exact concept, stage, or reasoning rule you missed.</w:t>
            </w:r>
          </w:p>
        </w:tc>
      </w:tr>
      <w:tr>
        <w:trPr>
          <w:cantSplit/>
        </w:trPr>
        <w:tc>
          <w:tcPr>
            <w:tcW w:type="dxa" w:w="144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5. Simulate</w:t>
            </w:r>
          </w:p>
        </w:tc>
        <w:tc>
          <w:tcPr>
            <w:tcW w:type="dxa" w:w="2592"/>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Form A, then Form B</w:t>
            </w:r>
          </w:p>
        </w:tc>
        <w:tc>
          <w:tcPr>
            <w:tcW w:type="dxa" w:w="57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Protect timing and delayed rationale release.</w:t>
            </w:r>
          </w:p>
        </w:tc>
      </w:tr>
    </w:tbl>
    <w:p>
      <w:r>
        <w:br w:type="page"/>
      </w:r>
    </w:p>
    <w:p>
      <w:pPr>
        <w:pStyle w:val="Heading1"/>
        <w:keepNext/>
      </w:pPr>
      <w:r>
        <w:t>Workbooks and Study Tools</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Should I read a workbook from beginning to end?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Follow the workbook sequence and complete its embedded reflection, practice, or knowledge-check activities. Highlight decision rules and distinctions, not every sentence.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use to preview a workbook?</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Review the workbook overview, objectives, high-yield guidance, and any matching quick-reference material. Previewing should focus your attention on the decision rules and common distractors before full study.</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use quick-reference sheets?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them after learning the full topic. They are retrieval and remediation tools, not substitutes for the workbook. Mark the rules you confuse and revisit the source section.</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use flashcards?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Attempt the question before revealing the answer. Sort cards into known, uncertain, and missed groups. Revisit missed cards across several days instead of rereading the full set in one sitting.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Is an audio-review collection included at launch?</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No recorded audio files are included at launch. Use the flashcards, quick-reference sheets, and active recall aloud for screen-free retrieval practice. Any future audio release must be separately recorded, reviewed, and announced.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do when a workbook feels familiar but questions are still difficult?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Shift from rereading to active explanation. State the task word, stage of practice, priority, role, missing information, and why the tempting distractor is premature or outside the question asked.</w:t>
            </w:r>
          </w:p>
        </w:tc>
      </w:tr>
    </w:tbl>
    <w:p>
      <w:pPr>
        <w:spacing w:after="0"/>
      </w:pPr>
    </w:p>
    <w:p>
      <w:r>
        <w:br w:type="page"/>
      </w:r>
    </w:p>
    <w:p>
      <w:pPr>
        <w:pStyle w:val="Heading1"/>
        <w:keepNext/>
      </w:pPr>
      <w:r>
        <w:t>Question Banks, Scoring, and Rationales</w:t>
      </w:r>
    </w:p>
    <w:tbl>
      <w:tblPr>
        <w:tblW w:type="auto" w:w="0"/>
        <w:jc w:val="center"/>
        <w:tblLook w:firstColumn="1" w:firstRow="1" w:lastColumn="0" w:lastRow="0" w:noHBand="0" w:noVBand="1" w:val="04A0"/>
      </w:tblPr>
      <w:tblGrid>
        <w:gridCol w:w="10454"/>
      </w:tblGrid>
      <w:tr>
        <w:trPr>
          <w:tblHeader w:val="true"/>
          <w:cantSplit/>
        </w:trPr>
        <w:tc>
          <w:tcPr>
            <w:tcW w:type="dxa" w:w="10454"/>
            <w:shd w:fill="FFF6DD"/>
            <w:tcBorders>
              <w:top w:val="single" w:sz="8" w:color="D9A441"/>
              <w:left w:val="single" w:sz="8" w:color="D9A441"/>
              <w:bottom w:val="single" w:sz="8" w:color="D9A441"/>
              <w:right w:val="single" w:sz="8" w:color="D9A441"/>
            </w:tcBorders>
            <w:tcMar>
              <w:top w:w="95" w:type="dxa"/>
              <w:start w:w="120" w:type="dxa"/>
              <w:bottom w:w="95" w:type="dxa"/>
              <w:end w:w="120" w:type="dxa"/>
            </w:tcMar>
          </w:tcPr>
          <w:p>
            <w:pPr>
              <w:spacing w:after="0"/>
            </w:pPr>
            <w:r>
              <w:rPr>
                <w:b/>
                <w:color w:val="17365D"/>
              </w:rPr>
              <w:t xml:space="preserve">Teaching assessment:  </w:t>
            </w:r>
            <w:r>
              <w:rPr>
                <w:color w:val="24313D"/>
              </w:rPr>
              <w:t>Workbook banks are designed to reinforce a topic. A score is useful only when paired with item-by-item reasoning review.</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Why can I not see the answers before submitting?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Delayed answer display protects the learning value of the attempt. Commit to an answer first, then compare your reasoning with the complete rationale.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retake a 17-question workbook bank?</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 review or remediation attempt may be appropriate after the first submitted attempt. Preserve the first score and responses so you can compare what changed. Do not memorize answer positions.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score should I consider passing?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CTA should not present a fixed workbook-bank score as equivalent to an official licensing-exam passing standard. Use readiness language such as developing, progressing, needs targeted review, or ready for final simulation.</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review after a correct answer?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Confirm that the reasoning was correct, not lucky. Read why each distractor is weaker and note any option you seriously considered.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review after a missed answer?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Identify the error type: content gap, task-word error, sequence error, safety or legal priority, role confusion, over-assumption, premature intervention, or failure to compare options.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write in my error log?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Record the question topic, your answer, the best answer, the decision rule, why your choice was tempting, the error category, the source to review, and one corrected self-statement.</w:t>
            </w:r>
          </w:p>
        </w:tc>
      </w:tr>
    </w:tbl>
    <w:p>
      <w:pPr>
        <w:spacing w:after="0"/>
      </w:pPr>
    </w:p>
    <w:p>
      <w:r>
        <w:br w:type="page"/>
      </w:r>
    </w:p>
    <w:p>
      <w:pPr>
        <w:pStyle w:val="Heading1"/>
        <w:keepNext/>
      </w:pPr>
      <w:r>
        <w:t>Remediation: What to Do After a Weak Area Appears</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much should I review after a missed question?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Review the smallest source that repairs the error: a quick-reference rule, a workbook subsection, the August 2026 exam-day guide, or a focused set of flashcards. Avoid restarting the entire program unless the foundation is broadly weak.</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do I distinguish a content gap from a reasoning error?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 content gap means you did not know a required fact or distinction. A reasoning error means you knew the content but misread the task, acted too early, ignored priority or role, or chose an option that did not match the facts.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is a premature answer?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It may be clinically reasonable later, but it skips necessary assessment, stabilization, consent, clarification, consultation, or planning required at the stage asked.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two answers both seem correct?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Compare them against the exact task word, immediate priority, role and authority, amount of information available, and the least assumptive next step. The exam is often testing timing and fit rather than whether an action is ever appropriate.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will I know remediation worked?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You can explain the corrected rule without looking, apply it to a new scenario, and identify why the old distractor is weaker. Then complete a small amount of fresh practice and document the result.</w:t>
            </w:r>
          </w:p>
        </w:tc>
      </w:tr>
    </w:tbl>
    <w:p>
      <w:pPr>
        <w:spacing w:after="0"/>
      </w:pPr>
    </w:p>
    <w:p>
      <w:pPr>
        <w:pStyle w:val="Heading2"/>
        <w:keepNext/>
      </w:pPr>
      <w:r>
        <w:t>Seven Common Error Categories</w:t>
      </w:r>
    </w:p>
    <w:p>
      <w:pPr>
        <w:pStyle w:val="ListBullet"/>
        <w:spacing w:after="40"/>
      </w:pPr>
      <w:r>
        <w:rPr>
          <w:sz w:val="18"/>
        </w:rPr>
        <w:t>Task-word or question-focus error</w:t>
      </w:r>
    </w:p>
    <w:p>
      <w:pPr>
        <w:pStyle w:val="ListBullet"/>
        <w:spacing w:after="40"/>
      </w:pPr>
      <w:r>
        <w:rPr>
          <w:sz w:val="18"/>
        </w:rPr>
        <w:t>Stage or sequencing error</w:t>
      </w:r>
    </w:p>
    <w:p>
      <w:pPr>
        <w:pStyle w:val="ListBullet"/>
        <w:spacing w:after="40"/>
      </w:pPr>
      <w:r>
        <w:rPr>
          <w:sz w:val="18"/>
        </w:rPr>
        <w:t>Safety, abuse, legal, or ethical priority error</w:t>
      </w:r>
    </w:p>
    <w:p>
      <w:pPr>
        <w:pStyle w:val="ListBullet"/>
        <w:spacing w:after="40"/>
      </w:pPr>
      <w:r>
        <w:rPr>
          <w:sz w:val="18"/>
        </w:rPr>
        <w:t>Assessment or missing-information error</w:t>
      </w:r>
    </w:p>
    <w:p>
      <w:pPr>
        <w:pStyle w:val="ListBullet"/>
        <w:spacing w:after="40"/>
      </w:pPr>
      <w:r>
        <w:rPr>
          <w:sz w:val="18"/>
        </w:rPr>
        <w:t>Role, authority, consent, or confidentiality error</w:t>
      </w:r>
    </w:p>
    <w:p>
      <w:pPr>
        <w:pStyle w:val="ListBullet"/>
        <w:spacing w:after="40"/>
      </w:pPr>
      <w:r>
        <w:rPr>
          <w:sz w:val="18"/>
        </w:rPr>
        <w:t>Over-assumption or context error</w:t>
      </w:r>
    </w:p>
    <w:p>
      <w:pPr>
        <w:pStyle w:val="ListBullet"/>
        <w:spacing w:after="40"/>
      </w:pPr>
      <w:r>
        <w:rPr>
          <w:sz w:val="18"/>
        </w:rPr>
        <w:t>Intervention, modality, or resource-fit error</w:t>
      </w:r>
    </w:p>
    <w:p>
      <w:r>
        <w:br w:type="page"/>
      </w:r>
    </w:p>
    <w:p>
      <w:pPr>
        <w:pStyle w:val="Heading1"/>
        <w:keepNext/>
      </w:pPr>
      <w:r>
        <w:t>Comprehensive Forms A and B</w:t>
      </w:r>
    </w:p>
    <w:tbl>
      <w:tblPr>
        <w:tblW w:type="auto" w:w="0"/>
        <w:jc w:val="center"/>
        <w:tblLook w:firstColumn="1" w:firstRow="1" w:lastColumn="0" w:lastRow="0" w:noHBand="0" w:noVBand="1" w:val="04A0"/>
      </w:tblPr>
      <w:tblGrid>
        <w:gridCol w:w="10454"/>
      </w:tblGrid>
      <w:tr>
        <w:trPr>
          <w:tblHeader w:val="true"/>
          <w:cantSplit/>
        </w:trPr>
        <w:tc>
          <w:tcPr>
            <w:tcW w:type="dxa" w:w="10454"/>
            <w:shd w:fill="FFF6DD"/>
            <w:tcBorders>
              <w:top w:val="single" w:sz="8" w:color="D9A441"/>
              <w:left w:val="single" w:sz="8" w:color="D9A441"/>
              <w:bottom w:val="single" w:sz="8" w:color="D9A441"/>
              <w:right w:val="single" w:sz="8" w:color="D9A441"/>
            </w:tcBorders>
            <w:tcMar>
              <w:top w:w="95" w:type="dxa"/>
              <w:start w:w="120" w:type="dxa"/>
              <w:bottom w:w="95" w:type="dxa"/>
              <w:end w:w="120" w:type="dxa"/>
            </w:tcMar>
          </w:tcPr>
          <w:p>
            <w:pPr>
              <w:spacing w:after="0"/>
            </w:pPr>
            <w:r>
              <w:rPr>
                <w:b/>
                <w:color w:val="17365D"/>
              </w:rPr>
              <w:t xml:space="preserve">Protect the simulations:  </w:t>
            </w:r>
            <w:r>
              <w:rPr>
                <w:color w:val="24313D"/>
              </w:rPr>
              <w:t>Forms A and B are readiness assessments, not casual practice banks. Complete each under controlled conditions and wait until the full form is submitted before reviewing detailed rationales.</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When should I take Form A?</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After completing all 12 workbooks, their associated question banks, rationale review, and enough remediation to make the attempt diagnostically useful. Complete the readiness gate first.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take Form A?</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full timing and section rules provided, reduce interruptions, do not use notes or answer resources, record pacing observations, and submit the complete form before reviewing detailed rationales.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happens after Form A?</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Review the score summary and domain profile, then complete a written remediation plan. Return to weak domains, classify reasoning errors, and practice before opening Form B.</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When should I take Form B?</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After completing the Form A remediation requirement and demonstrating improvement in the targeted areas. Treat Form B as the final readiness simulation rather than a frequently repeated practice set.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retake a comprehensive form immediately?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That reduces its diagnostic value and may measure memory rather than readiness. Use the rationales and remediation resources first. Any later review attempt should be clearly separated from the original timed attempt.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my simulation score is disappointing?</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Do not convert one score into a prediction about the official exam. Analyze domain patterns, timing, fatigue, and reasoning errors. Use the progress tracker to create a limited, specific remediation plan.</w:t>
            </w:r>
          </w:p>
        </w:tc>
      </w:tr>
    </w:tbl>
    <w:p>
      <w:pPr>
        <w:spacing w:after="0"/>
      </w:pPr>
    </w:p>
    <w:p>
      <w:r>
        <w:br w:type="page"/>
      </w:r>
    </w:p>
    <w:p>
      <w:pPr>
        <w:pStyle w:val="Heading1"/>
        <w:keepNext/>
      </w:pPr>
      <w:r>
        <w:t>Schedules, Progress, Anxiety, and Readiness</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I fall behind my schedule?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Move unfinished work forward and protect the sequence. Do not compress several question banks or both comprehensive forms into one rushed period. Adjust the target date or reduce optional review before skipping required remediation.</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complete the program faster than 10 weeks?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You may move faster when you can preserve thoughtful learning, closed-book practice, rationale review, and remediation. Speed should not eliminate the evidence needed to decide that you are ready for Form A or Form B.</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if I have more than 18 weeks?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Repeat retrieval practice, space flashcards and quick-reference retrieval, revisit weak domains, and delay simulations until they will provide useful readiness information. Avoid repeatedly opening the same question set.</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handle test anxiety during practice?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consistent timing, brief grounding, realistic breaks, and a reset routine after difficult items. Record what triggered the anxiety and whether the problem was content, pacing, fatigue, or uncertainty.</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do I know whether I am ready?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multiple forms of evidence: completed workbooks, question-bank reasoning, a current error log, targeted remediation, pacing stability, and simulation performance. Confidence is helpful but not sufficient by itself.</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Does completing the CTA program guarantee that I will pass?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No. CTA provides educational review and preparation tools. It does not guarantee passage, establish official passing standards, or make licensing eligibility decisions.</w:t>
            </w:r>
          </w:p>
        </w:tc>
      </w:tr>
    </w:tbl>
    <w:p>
      <w:pPr>
        <w:spacing w:after="0"/>
      </w:pPr>
    </w:p>
    <w:p>
      <w:r>
        <w:br w:type="page"/>
      </w:r>
    </w:p>
    <w:p>
      <w:pPr>
        <w:pStyle w:val="Heading1"/>
        <w:keepNext/>
      </w:pPr>
      <w:r>
        <w:t>Downloads, Printing, Accessibility, and File Use</w:t>
      </w: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Why are the student materials provided in editable Word format?</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Editable files support typing, highlighting, printing, and personal study notes. Keep an untouched master copy before making extensive edits.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create my own PDF copies?</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Yes. You may save or export the student-facing Word materials to PDF for personal study. Keep question documents separate from answer and rationale documents when practicing.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should I do if a table or page looks different on my device?</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Open the file in a current version of Microsoft Word when possible. Check page size, margins, and print scaling. Avoid editing in applications that substantially change table widths or fonts unless you review the final layout before printing.</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What accessibility formats are available at launch?</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All essential launch content is provided in editable Word and printable formats. No required instruction depends on audio or video. Report an inaccessible file through the CTA technical-support channel so the specific resource can be reviewed.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I use keyboard navigation or a screen reader?</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course uses readable headings, descriptive links, accessible tables, editable Word files, and keyboard-friendly navigation. Report inaccessible content through the CTA technical-support channel so the affected resource can be identified.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How should I name files I download?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Keep the profession, workbook or form number, title, and version number. Add personal notes after the version, such as “annotated” or a date, without replacing the original file.</w:t>
            </w:r>
          </w:p>
        </w:tc>
      </w:tr>
    </w:tbl>
    <w:p>
      <w:pPr>
        <w:spacing w:after="0"/>
      </w:pPr>
    </w:p>
    <w:p>
      <w:r>
        <w:br w:type="page"/>
      </w:r>
    </w:p>
    <w:p>
      <w:pPr>
        <w:pStyle w:val="Heading1"/>
        <w:keepNext/>
      </w:pPr>
      <w:r>
        <w:t>Technical Troubleshooting</w:t>
      </w:r>
    </w:p>
    <w:tbl>
      <w:tblPr>
        <w:tblW w:type="auto" w:w="0"/>
        <w:jc w:val="center"/>
        <w:tblLook w:firstColumn="1" w:firstRow="1" w:lastColumn="0" w:lastRow="0" w:noHBand="0" w:noVBand="1" w:val="04A0"/>
      </w:tblPr>
      <w:tblGrid>
        <w:gridCol w:w="10454"/>
      </w:tblGrid>
      <w:tr>
        <w:trPr>
          <w:tblHeader w:val="true"/>
          <w:cantSplit/>
        </w:trPr>
        <w:tc>
          <w:tcPr>
            <w:tcW w:type="dxa" w:w="10454"/>
            <w:shd w:fill="DDEFF2"/>
            <w:tcBorders>
              <w:top w:val="single" w:sz="8" w:color="1F7A8C"/>
              <w:left w:val="single" w:sz="8" w:color="1F7A8C"/>
              <w:bottom w:val="single" w:sz="8" w:color="1F7A8C"/>
              <w:right w:val="single" w:sz="8" w:color="1F7A8C"/>
            </w:tcBorders>
            <w:tcMar>
              <w:top w:w="95" w:type="dxa"/>
              <w:start w:w="120" w:type="dxa"/>
              <w:bottom w:w="95" w:type="dxa"/>
              <w:end w:w="120" w:type="dxa"/>
            </w:tcMar>
          </w:tcPr>
          <w:p>
            <w:pPr>
              <w:spacing w:after="0"/>
            </w:pPr>
            <w:r>
              <w:rPr>
                <w:b/>
                <w:color w:val="17365D"/>
              </w:rPr>
              <w:t xml:space="preserve">Before contacting support:  </w:t>
            </w:r>
            <w:r>
              <w:rPr>
                <w:color w:val="24313D"/>
              </w:rPr>
              <w:t>Write down the resource name, workbook or form number, device, browser or app, exact error message, and the steps that produced the problem.</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 download will not open.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Confirm the download completed, save it locally, and open it with the appropriate application. Try a fresh download. Do not rename the extension. If the problem continues, report the exact filename and error message.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 course file will not open or display correctly.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Save the file locally, use a current version of the correct application, and try a fresh download. Record the exact filename, device, application, and error message if support is needed.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My quiz answers or progress disappeared.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Stop repeated submissions. Record the course area, date, approximate time, browser, and what occurred. Take a screenshot when possible and contact technical support through the course portal.</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The correct answers appeared too early.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Do not continue using the exposed rationale resource. Report the course area and resource immediately so the release rule can be corrected.</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Form B is still locked.</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Confirm that Form A was submitted and the required remediation step was marked complete. If those conditions are met, report the course area and completion dates.</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A link is broken or opens the wrong profession.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Report the visible link text, the page where it appears, and the incorrect destination. Do not use an LMFT resource for an LCSW section or vice versa.</w:t>
            </w:r>
          </w:p>
        </w:tc>
      </w:tr>
    </w:tbl>
    <w:p>
      <w:pPr>
        <w:spacing w:after="0"/>
      </w:pPr>
    </w:p>
    <w:p>
      <w:r>
        <w:br w:type="page"/>
      </w:r>
    </w:p>
    <w:p>
      <w:pPr>
        <w:pStyle w:val="Heading1"/>
        <w:keepNext/>
      </w:pPr>
      <w:r>
        <w:t>What CTA Support Can and Cannot Do</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168"/>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7"/>
              </w:rPr>
              <w:t>Support Boundary</w:t>
            </w:r>
          </w:p>
        </w:tc>
        <w:tc>
          <w:tcPr>
            <w:tcW w:type="dxa" w:w="6624"/>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7"/>
              </w:rPr>
              <w:t>Guidance</w:t>
            </w:r>
          </w:p>
        </w:tc>
      </w:tr>
      <w:tr>
        <w:trPr>
          <w:cantSplit/>
        </w:trPr>
        <w:tc>
          <w:tcPr>
            <w:tcW w:type="dxa" w:w="31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technical support can help with</w:t>
            </w:r>
          </w:p>
        </w:tc>
        <w:tc>
          <w:tcPr>
            <w:tcW w:type="dxa" w:w="66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Login, downloads, broken links, missing files, quiz display, progress tracking, and access problems.</w:t>
            </w:r>
          </w:p>
        </w:tc>
      </w:tr>
      <w:tr>
        <w:trPr>
          <w:cantSplit/>
        </w:trPr>
        <w:tc>
          <w:tcPr>
            <w:tcW w:type="dxa" w:w="31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instructional resources can explain</w:t>
            </w:r>
          </w:p>
        </w:tc>
        <w:tc>
          <w:tcPr>
            <w:tcW w:type="dxa" w:w="66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How to use the program, how to study rationales, how to classify errors, and how to follow the workbook and simulation sequence.</w:t>
            </w:r>
          </w:p>
        </w:tc>
      </w:tr>
      <w:tr>
        <w:trPr>
          <w:cantSplit/>
        </w:trPr>
        <w:tc>
          <w:tcPr>
            <w:tcW w:type="dxa" w:w="31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should not decide</w:t>
            </w:r>
          </w:p>
        </w:tc>
        <w:tc>
          <w:tcPr>
            <w:tcW w:type="dxa" w:w="66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Licensing eligibility, application status, accommodation approval, official exam scheduling, official passing standards, or whether a board will accept a specific document.</w:t>
            </w:r>
          </w:p>
        </w:tc>
      </w:tr>
      <w:tr>
        <w:trPr>
          <w:cantSplit/>
        </w:trPr>
        <w:tc>
          <w:tcPr>
            <w:tcW w:type="dxa" w:w="31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CTA does not provide through support</w:t>
            </w:r>
          </w:p>
        </w:tc>
        <w:tc>
          <w:tcPr>
            <w:tcW w:type="dxa" w:w="66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Individualized psychotherapy, crisis intervention, legal advice, supervision, clinical consultation on active clients, or a personalized licensing determination.</w:t>
            </w:r>
          </w:p>
        </w:tc>
      </w:tr>
      <w:tr>
        <w:trPr>
          <w:cantSplit/>
        </w:trPr>
        <w:tc>
          <w:tcPr>
            <w:tcW w:type="dxa" w:w="31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7"/>
              </w:rPr>
              <w:t>Use official sources for</w:t>
            </w:r>
          </w:p>
        </w:tc>
        <w:tc>
          <w:tcPr>
            <w:tcW w:type="dxa" w:w="66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7"/>
              </w:rPr>
              <w:t>Current exam policies, candidate handbooks, board requirements, fees, identification rules, accommodations, scheduling, and application questions.</w:t>
            </w:r>
          </w:p>
        </w:tc>
      </w:tr>
    </w:tbl>
    <w:p>
      <w:pPr>
        <w:pStyle w:val="Heading2"/>
        <w:keepNext/>
      </w:pPr>
      <w:r>
        <w:t>Urgent Safety or Mental-Health Needs</w:t>
      </w:r>
    </w:p>
    <w:tbl>
      <w:tblPr>
        <w:tblW w:type="auto" w:w="0"/>
        <w:jc w:val="center"/>
        <w:tblLook w:firstColumn="1" w:firstRow="1" w:lastColumn="0" w:lastRow="0" w:noHBand="0" w:noVBand="1" w:val="04A0"/>
      </w:tblPr>
      <w:tblGrid>
        <w:gridCol w:w="10454"/>
      </w:tblGrid>
      <w:tr>
        <w:trPr>
          <w:tblHeader w:val="true"/>
          <w:cantSplit/>
        </w:trPr>
        <w:tc>
          <w:tcPr>
            <w:tcW w:type="dxa" w:w="10454"/>
            <w:shd w:fill="FBE8E8"/>
            <w:tcBorders>
              <w:top w:val="single" w:sz="8" w:color="A23B3B"/>
              <w:left w:val="single" w:sz="8" w:color="A23B3B"/>
              <w:bottom w:val="single" w:sz="8" w:color="A23B3B"/>
              <w:right w:val="single" w:sz="8" w:color="A23B3B"/>
            </w:tcBorders>
            <w:tcMar>
              <w:top w:w="95" w:type="dxa"/>
              <w:start w:w="120" w:type="dxa"/>
              <w:bottom w:w="95" w:type="dxa"/>
              <w:end w:w="120" w:type="dxa"/>
            </w:tcMar>
          </w:tcPr>
          <w:p>
            <w:pPr>
              <w:spacing w:after="0"/>
            </w:pPr>
            <w:r>
              <w:rPr>
                <w:b/>
                <w:color w:val="17365D"/>
              </w:rPr>
              <w:t xml:space="preserve">This is an exam-preparation program—not emergency support.  </w:t>
            </w:r>
            <w:r>
              <w:rPr>
                <w:color w:val="24313D"/>
              </w:rPr>
              <w:t>For immediate danger or a mental-health crisis, use local emergency or crisis resources. Do not wait for a course-support response.</w:t>
            </w:r>
          </w:p>
        </w:tc>
      </w:tr>
    </w:tbl>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Where should I ask a licensing or examination-policy question?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Use the current official licensing board, ASWB, Pearson, and the ASWB Examination Guidebook that applies to your testing date. Course materials may point you toward official resources but cannot replace them.</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CTA interpret my personal legal or ethical situation?</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The program teaches general exam reasoning. It cannot provide legal advice or make a professional decision for an active case. Use applicable law, workplace policy, qualified supervision, consultation, legal counsel, or other authorized resources as appropriate.</w:t>
            </w:r>
          </w:p>
        </w:tc>
      </w:tr>
    </w:tbl>
    <w:p>
      <w:pPr>
        <w:spacing w:after="0"/>
      </w:pPr>
    </w:p>
    <w:tbl>
      <w:tblPr>
        <w:tblW w:type="auto" w:w="0"/>
        <w:jc w:val="center"/>
        <w:tblLayout w:type="fixed"/>
        <w:tblLook w:firstColumn="1" w:firstRow="1" w:lastColumn="0" w:lastRow="0" w:noHBand="0" w:noVBand="1" w:val="04A0"/>
      </w:tblPr>
      <w:tblGrid>
        <w:gridCol w:w="9936"/>
      </w:tblGrid>
      <w:tr>
        <w:trPr>
          <w:tblHeader w:val="true"/>
          <w:cantSplit/>
          <w:cantSplit/>
        </w:trPr>
        <w:tc>
          <w:tcPr>
            <w:tcW w:type="dxa" w:w="9936"/>
            <w:shd w:fill="1F7A8C"/>
            <w:tcBorders>
              <w:top w:val="single" w:sz="5" w:color="1F7A8C"/>
              <w:left w:val="single" w:sz="5" w:color="1F7A8C"/>
              <w:bottom w:val="single" w:sz="5" w:color="1F7A8C"/>
              <w:right w:val="single" w:sz="5" w:color="1F7A8C"/>
            </w:tcBorders>
            <w:tcMar>
              <w:top w:w="65" w:type="dxa"/>
              <w:start w:w="100" w:type="dxa"/>
              <w:bottom w:w="65" w:type="dxa"/>
              <w:end w:w="100" w:type="dxa"/>
            </w:tcMar>
          </w:tcPr>
          <w:p>
            <w:pPr>
              <w:spacing w:after="0"/>
            </w:pPr>
            <w:r>
              <w:rPr>
                <w:b/>
                <w:color w:val="FFFFFF"/>
                <w:sz w:val="19"/>
              </w:rPr>
              <w:t>Q. Can CTA tell me whether I am guaranteed ready?</w:t>
            </w:r>
          </w:p>
        </w:tc>
      </w:tr>
      <w:tr>
        <w:trPr>
          <w:cantSplit/>
        </w:trPr>
        <w:tc>
          <w:tcPr>
            <w:tcW w:type="dxa" w:w="9936"/>
            <w:shd w:fill="FFFFFF"/>
            <w:tcBorders>
              <w:top w:val="single" w:sz="5" w:color="B7C4CE"/>
              <w:left w:val="single" w:sz="5" w:color="B7C4CE"/>
              <w:bottom w:val="single" w:sz="5" w:color="B7C4CE"/>
              <w:right w:val="single" w:sz="5" w:color="B7C4CE"/>
            </w:tcBorders>
            <w:tcMar>
              <w:top w:w="75" w:type="dxa"/>
              <w:start w:w="100" w:type="dxa"/>
              <w:bottom w:w="75" w:type="dxa"/>
              <w:end w:w="100" w:type="dxa"/>
            </w:tcMar>
          </w:tcPr>
          <w:p>
            <w:pPr>
              <w:spacing w:after="0"/>
            </w:pPr>
            <w:r>
              <w:rPr>
                <w:color w:val="24313D"/>
                <w:sz w:val="18"/>
              </w:rPr>
              <w:t>A. No. CTA can help you organize evidence from your study and simulations. The final decision to schedule or sit for an exam remains yours, subject to official eligibility and scheduling requirements.</w:t>
            </w:r>
          </w:p>
        </w:tc>
      </w:tr>
    </w:tbl>
    <w:p>
      <w:pPr>
        <w:spacing w:after="0"/>
      </w:pPr>
    </w:p>
    <w:p>
      <w:r>
        <w:br w:type="page"/>
      </w:r>
    </w:p>
    <w:p>
      <w:pPr>
        <w:pStyle w:val="Heading1"/>
        <w:keepNext/>
      </w:pPr>
      <w:r>
        <w:t>Find the Right Workbook or Resource</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864"/>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5"/>
              </w:rPr>
              <w:t>Workbook</w:t>
            </w:r>
          </w:p>
        </w:tc>
        <w:tc>
          <w:tcPr>
            <w:tcW w:type="dxa" w:w="3960"/>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5"/>
              </w:rPr>
              <w:t>Title</w:t>
            </w:r>
          </w:p>
        </w:tc>
        <w:tc>
          <w:tcPr>
            <w:tcW w:type="dxa" w:w="4968"/>
            <w:shd w:fill="17365D"/>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5"/>
              </w:rPr>
              <w:t>Use This When You Need Review Of…</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ASWB Exam Strategy and Applied Reasoning</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task words, priorities, sequencing, and answer-set strategy.</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WB2</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Values, Ethics, Self-Determination, and Social Justice</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values, ethics, dignity, safety, authority, and social justice.</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WB3</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Human Development, Diversity, and Person-in-Environment</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development, culture, environment, systems, resources, and access.</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WB4</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Clinical Assessment, Interviewing, and Mental Status</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engagement, interviewing, MSE, integration, and planning.</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WB5</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Diagnosis, Medical Factors, and Psychopharmacology</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diagnosis, medical causes, medications, substances, and coordination.</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WB6</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Crisis, Abuse, and Risk Assessment</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risk, abuse, neglect, stabilization, protection, and linkage.</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WB7</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Treatment and Service Planning</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needs, goals, services, measures, collaboration, and review.</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WB8</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Clinical Interventions and Trauma-Informed Practice</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safety, readiness, trauma-informed care, intervention, and evaluation.</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WB9</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Family, Couple, Group, and Parenting Interventions</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purpose, safety, composition, readiness, and facilitation.</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WB10</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Case Management, Advocacy, Resources, and Collaboration</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barriers, resources, advocacy, care coordination, and systems action.</w:t>
            </w:r>
          </w:p>
        </w:tc>
      </w:tr>
      <w:tr>
        <w:trPr>
          <w:cantSplit/>
        </w:trPr>
        <w:tc>
          <w:tcPr>
            <w:tcW w:type="dxa" w:w="86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WB11</w:t>
            </w:r>
          </w:p>
        </w:tc>
        <w:tc>
          <w:tcPr>
            <w:tcW w:type="dxa" w:w="3960"/>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Practice Evaluation, Research, Supervision, and Administration</w:t>
            </w:r>
          </w:p>
        </w:tc>
        <w:tc>
          <w:tcPr>
            <w:tcW w:type="dxa" w:w="49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evidence, evaluation, supervision, administration, and quality improvement.</w:t>
            </w:r>
          </w:p>
        </w:tc>
      </w:tr>
      <w:tr>
        <w:trPr>
          <w:cantSplit/>
        </w:trPr>
        <w:tc>
          <w:tcPr>
            <w:tcW w:type="dxa" w:w="86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5"/>
              </w:rPr>
              <w:t>WB12</w:t>
            </w:r>
          </w:p>
        </w:tc>
        <w:tc>
          <w:tcPr>
            <w:tcW w:type="dxa" w:w="3960"/>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Integrated Review and 25-Question Mini-Mock</w:t>
            </w:r>
          </w:p>
        </w:tc>
        <w:tc>
          <w:tcPr>
            <w:tcW w:type="dxa" w:w="49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5"/>
              </w:rPr>
              <w:t>Use for integrated sequencing, mixed-domain reasoning, and readiness practice.</w:t>
            </w:r>
          </w:p>
        </w:tc>
      </w:tr>
    </w:tbl>
    <w:p>
      <w:pPr>
        <w:pStyle w:val="Heading2"/>
        <w:keepNext/>
      </w:pPr>
      <w:r>
        <w:t>Use the Enhancement Resources for a Specific Purpose</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3024"/>
            <w:shd w:fill="1F7A8C"/>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Resource</w:t>
            </w:r>
          </w:p>
        </w:tc>
        <w:tc>
          <w:tcPr>
            <w:tcW w:type="dxa" w:w="6768"/>
            <w:shd w:fill="1F7A8C"/>
            <w:tcBorders>
              <w:top w:val="single" w:sz="4" w:color="FFFFFF"/>
              <w:left w:val="single" w:sz="4" w:color="FFFFFF"/>
              <w:bottom w:val="single" w:sz="4" w:color="FFFFFF"/>
              <w:right w:val="single" w:sz="4" w:color="FFFFFF"/>
            </w:tcBorders>
            <w:tcMar>
              <w:top w:w="55" w:type="dxa"/>
              <w:start w:w="50" w:type="dxa"/>
              <w:bottom w:w="55" w:type="dxa"/>
              <w:end w:w="50" w:type="dxa"/>
            </w:tcMar>
            <w:vAlign w:val="center"/>
          </w:tcPr>
          <w:p>
            <w:pPr>
              <w:spacing w:after="0"/>
              <w:jc w:val="center"/>
            </w:pPr>
            <w:r>
              <w:rPr>
                <w:b/>
                <w:color w:val="FFFFFF"/>
                <w:sz w:val="16"/>
              </w:rPr>
              <w:t>Best Use</w:t>
            </w:r>
          </w:p>
        </w:tc>
      </w:tr>
      <w:tr>
        <w:trPr>
          <w:cantSplit/>
        </w:trPr>
        <w:tc>
          <w:tcPr>
            <w:tcW w:type="dxa" w:w="30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Quick-reference collection</w:t>
            </w:r>
          </w:p>
        </w:tc>
        <w:tc>
          <w:tcPr>
            <w:tcW w:type="dxa" w:w="67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Fast retrieval of decision rules after you have learned the full topic.</w:t>
            </w:r>
          </w:p>
        </w:tc>
      </w:tr>
      <w:tr>
        <w:trPr>
          <w:cantSplit/>
        </w:trPr>
        <w:tc>
          <w:tcPr>
            <w:tcW w:type="dxa" w:w="30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Flashcard collection</w:t>
            </w:r>
          </w:p>
        </w:tc>
        <w:tc>
          <w:tcPr>
            <w:tcW w:type="dxa" w:w="67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Spaced recall of high-yield distinctions, sequences, and exam traps.</w:t>
            </w:r>
          </w:p>
        </w:tc>
      </w:tr>
      <w:tr>
        <w:trPr>
          <w:cantSplit/>
        </w:trPr>
        <w:tc>
          <w:tcPr>
            <w:tcW w:type="dxa" w:w="30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ASWB August 2026 exam-day guide</w:t>
            </w:r>
          </w:p>
        </w:tc>
        <w:tc>
          <w:tcPr>
            <w:tcW w:type="dxa" w:w="67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Current section, break, identification, security, and simulation procedures.</w:t>
            </w:r>
          </w:p>
        </w:tc>
      </w:tr>
      <w:tr>
        <w:trPr>
          <w:cantSplit/>
        </w:trPr>
        <w:tc>
          <w:tcPr>
            <w:tcW w:type="dxa" w:w="30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Readiness tracker</w:t>
            </w:r>
          </w:p>
        </w:tc>
        <w:tc>
          <w:tcPr>
            <w:tcW w:type="dxa" w:w="67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Evidence-based progress, remediation planning, and simulation gates.</w:t>
            </w:r>
          </w:p>
        </w:tc>
      </w:tr>
      <w:tr>
        <w:trPr>
          <w:cantSplit/>
        </w:trPr>
        <w:tc>
          <w:tcPr>
            <w:tcW w:type="dxa" w:w="3024"/>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Student roadmap</w:t>
            </w:r>
          </w:p>
        </w:tc>
        <w:tc>
          <w:tcPr>
            <w:tcW w:type="dxa" w:w="6768"/>
            <w:shd w:fill="FFFFFF"/>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Pace selection and week-by-week sequencing.</w:t>
            </w:r>
          </w:p>
        </w:tc>
      </w:tr>
      <w:tr>
        <w:trPr>
          <w:cantSplit/>
        </w:trPr>
        <w:tc>
          <w:tcPr>
            <w:tcW w:type="dxa" w:w="3024"/>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b/>
                <w:color w:val="24313D"/>
                <w:sz w:val="16"/>
              </w:rPr>
              <w:t>FAQ and support guide</w:t>
            </w:r>
          </w:p>
        </w:tc>
        <w:tc>
          <w:tcPr>
            <w:tcW w:type="dxa" w:w="6768"/>
            <w:shd w:fill="F3F7FA"/>
            <w:tcBorders>
              <w:top w:val="single" w:sz="4" w:color="B7C4CE"/>
              <w:left w:val="single" w:sz="4" w:color="B7C4CE"/>
              <w:bottom w:val="single" w:sz="4" w:color="B7C4CE"/>
              <w:right w:val="single" w:sz="4" w:color="B7C4CE"/>
            </w:tcBorders>
            <w:tcMar>
              <w:top w:w="48" w:type="dxa"/>
              <w:start w:w="50" w:type="dxa"/>
              <w:bottom w:w="48" w:type="dxa"/>
              <w:end w:w="50" w:type="dxa"/>
            </w:tcMar>
            <w:vAlign w:val="center"/>
          </w:tcPr>
          <w:p>
            <w:pPr>
              <w:spacing w:after="0" w:before="0"/>
            </w:pPr>
            <w:r>
              <w:rPr>
                <w:color w:val="24313D"/>
                <w:sz w:val="16"/>
              </w:rPr>
              <w:t>Navigation, release rules, troubleshooting, and support boundaries.</w:t>
            </w:r>
          </w:p>
        </w:tc>
      </w:tr>
    </w:tbl>
    <w:p>
      <w:r>
        <w:br w:type="page"/>
      </w:r>
    </w:p>
    <w:p>
      <w:pPr>
        <w:pStyle w:val="Heading1"/>
        <w:keepNext/>
      </w:pPr>
      <w:r>
        <w:t>Support Request Preparation Page</w:t>
      </w:r>
    </w:p>
    <w:tbl>
      <w:tblPr>
        <w:tblW w:type="auto" w:w="0"/>
        <w:jc w:val="center"/>
        <w:tblLook w:firstColumn="1" w:firstRow="1" w:lastColumn="0" w:lastRow="0" w:noHBand="0" w:noVBand="1" w:val="04A0"/>
      </w:tblPr>
      <w:tblGrid>
        <w:gridCol w:w="10454"/>
      </w:tblGrid>
      <w:tr>
        <w:trPr>
          <w:tblHeader w:val="true"/>
          <w:cantSplit/>
        </w:trPr>
        <w:tc>
          <w:tcPr>
            <w:tcW w:type="dxa" w:w="10454"/>
            <w:shd w:fill="DDEFF2"/>
            <w:tcBorders>
              <w:top w:val="single" w:sz="8" w:color="1F7A8C"/>
              <w:left w:val="single" w:sz="8" w:color="1F7A8C"/>
              <w:bottom w:val="single" w:sz="8" w:color="1F7A8C"/>
              <w:right w:val="single" w:sz="8" w:color="1F7A8C"/>
            </w:tcBorders>
            <w:tcMar>
              <w:top w:w="95" w:type="dxa"/>
              <w:start w:w="120" w:type="dxa"/>
              <w:bottom w:w="95" w:type="dxa"/>
              <w:end w:w="120" w:type="dxa"/>
            </w:tcMar>
          </w:tcPr>
          <w:p>
            <w:pPr>
              <w:spacing w:after="0"/>
            </w:pPr>
            <w:r>
              <w:rPr>
                <w:b/>
                <w:color w:val="17365D"/>
              </w:rPr>
              <w:t xml:space="preserve">Use the CTA website support form or support contact listed in your course portal.  </w:t>
            </w:r>
            <w:r>
              <w:rPr>
                <w:color w:val="24313D"/>
              </w:rPr>
              <w:t>Do not include confidential client information, protected health information, passwords, full payment information, or unnecessary personal data in a support request.</w:t>
            </w:r>
          </w:p>
        </w:tc>
      </w:tr>
    </w:tbl>
    <w:p>
      <w:pPr>
        <w:pStyle w:val="Heading2"/>
        <w:keepNext/>
      </w:pPr>
      <w:r>
        <w:t>Before You Send the Request</w:t>
      </w:r>
    </w:p>
    <w:p>
      <w:pPr>
        <w:spacing w:after="60"/>
      </w:pPr>
      <w:r>
        <w:rPr>
          <w:sz w:val="18"/>
        </w:rPr>
        <w:t>☐ I confirmed that I am in the correct LCSW course area.</w:t>
      </w:r>
    </w:p>
    <w:p>
      <w:pPr>
        <w:spacing w:after="60"/>
      </w:pPr>
      <w:r>
        <w:rPr>
          <w:sz w:val="18"/>
        </w:rPr>
        <w:t>☐ I tried refreshing, signing out and back in, or downloading the file again when appropriate.</w:t>
      </w:r>
    </w:p>
    <w:p>
      <w:pPr>
        <w:spacing w:after="60"/>
      </w:pPr>
      <w:r>
        <w:rPr>
          <w:sz w:val="18"/>
        </w:rPr>
        <w:t>☐ I recorded the exact resource title and workbook or form number.</w:t>
      </w:r>
    </w:p>
    <w:p>
      <w:pPr>
        <w:spacing w:after="60"/>
      </w:pPr>
      <w:r>
        <w:rPr>
          <w:sz w:val="18"/>
        </w:rPr>
        <w:t>☐ I recorded my device, operating system, browser or application, and the exact error message.</w:t>
      </w:r>
    </w:p>
    <w:p>
      <w:pPr>
        <w:spacing w:after="60"/>
      </w:pPr>
      <w:r>
        <w:rPr>
          <w:sz w:val="18"/>
        </w:rPr>
        <w:t>☐ I took a screenshot that does not include confidential information, when useful.</w:t>
      </w:r>
    </w:p>
    <w:p>
      <w:pPr>
        <w:spacing w:after="60"/>
      </w:pPr>
      <w:r>
        <w:rPr>
          <w:sz w:val="18"/>
        </w:rPr>
        <w:t>☐ I explained what I expected, what happened, and whether the problem can be repeated.</w:t>
      </w:r>
    </w:p>
    <w:p>
      <w:pPr>
        <w:pStyle w:val="Heading2"/>
        <w:keepNext/>
      </w:pPr>
      <w:r>
        <w:t>Support Request Notes</w:t>
      </w:r>
    </w:p>
    <w:p>
      <w:pPr>
        <w:spacing w:after="100"/>
      </w:pPr>
      <w:r>
        <w:rPr>
          <w:sz w:val="18"/>
        </w:rPr>
        <w:t>Course area / page: ________________________________________________________________</w:t>
      </w:r>
    </w:p>
    <w:p>
      <w:pPr>
        <w:spacing w:after="100"/>
      </w:pPr>
      <w:r>
        <w:rPr>
          <w:sz w:val="18"/>
        </w:rPr>
        <w:t>Resource or filename: ______________________________________________________________</w:t>
      </w:r>
    </w:p>
    <w:p>
      <w:pPr>
        <w:spacing w:after="100"/>
      </w:pPr>
      <w:r>
        <w:rPr>
          <w:sz w:val="18"/>
        </w:rPr>
        <w:t>Workbook, bank, or form number: ___________________________________________________</w:t>
      </w:r>
    </w:p>
    <w:p>
      <w:pPr>
        <w:spacing w:after="100"/>
      </w:pPr>
      <w:r>
        <w:rPr>
          <w:sz w:val="18"/>
        </w:rPr>
        <w:t>Device and operating system: _______________________________________________________</w:t>
      </w:r>
    </w:p>
    <w:p>
      <w:pPr>
        <w:spacing w:after="100"/>
      </w:pPr>
      <w:r>
        <w:rPr>
          <w:sz w:val="18"/>
        </w:rPr>
        <w:t>Browser or application: ____________________________________________________________</w:t>
      </w:r>
    </w:p>
    <w:p>
      <w:pPr>
        <w:spacing w:after="100"/>
      </w:pPr>
      <w:r>
        <w:rPr>
          <w:sz w:val="18"/>
        </w:rPr>
        <w:t>Exact error message: _______________________________________________________________</w:t>
      </w:r>
    </w:p>
    <w:p>
      <w:pPr>
        <w:spacing w:after="100"/>
      </w:pPr>
      <w:r>
        <w:rPr>
          <w:sz w:val="18"/>
        </w:rPr>
        <w:t>What I expected to happen: _________________________________________________________</w:t>
      </w:r>
    </w:p>
    <w:p>
      <w:pPr>
        <w:spacing w:after="100"/>
      </w:pPr>
      <w:r>
        <w:rPr>
          <w:sz w:val="18"/>
        </w:rPr>
        <w:t>What actually happened: ____________________________________________________________</w:t>
      </w:r>
    </w:p>
    <w:p>
      <w:pPr>
        <w:spacing w:after="100"/>
      </w:pPr>
      <w:r>
        <w:rPr>
          <w:sz w:val="18"/>
        </w:rPr>
        <w:t>Steps already tried: _______________________________________________________________</w:t>
      </w:r>
    </w:p>
    <w:p>
      <w:pPr>
        <w:pStyle w:val="Heading2"/>
        <w:keepNext/>
      </w:pPr>
      <w:r>
        <w:t>Final Reminder</w:t>
      </w:r>
    </w:p>
    <w:tbl>
      <w:tblPr>
        <w:tblW w:type="auto" w:w="0"/>
        <w:jc w:val="center"/>
        <w:tblLook w:firstColumn="1" w:firstRow="1" w:lastColumn="0" w:lastRow="0" w:noHBand="0" w:noVBand="1" w:val="04A0"/>
      </w:tblPr>
      <w:tblGrid>
        <w:gridCol w:w="10454"/>
      </w:tblGrid>
      <w:tr>
        <w:trPr>
          <w:tblHeader w:val="true"/>
          <w:cantSplit/>
        </w:trPr>
        <w:tc>
          <w:tcPr>
            <w:tcW w:type="dxa" w:w="10454"/>
            <w:shd w:fill="E8F4EA"/>
            <w:tcBorders>
              <w:top w:val="single" w:sz="8" w:color="2F6B4F"/>
              <w:left w:val="single" w:sz="8" w:color="2F6B4F"/>
              <w:bottom w:val="single" w:sz="8" w:color="2F6B4F"/>
              <w:right w:val="single" w:sz="8" w:color="2F6B4F"/>
            </w:tcBorders>
            <w:tcMar>
              <w:top w:w="95" w:type="dxa"/>
              <w:start w:w="120" w:type="dxa"/>
              <w:bottom w:w="95" w:type="dxa"/>
              <w:end w:w="120" w:type="dxa"/>
            </w:tcMar>
          </w:tcPr>
          <w:p>
            <w:pPr>
              <w:spacing w:after="0"/>
            </w:pPr>
            <w:r>
              <w:rPr>
                <w:b/>
                <w:color w:val="17365D"/>
              </w:rPr>
              <w:t xml:space="preserve">Study support and technical support are different.  </w:t>
            </w:r>
            <w:r>
              <w:rPr>
                <w:color w:val="24313D"/>
              </w:rPr>
              <w:t>Use the program resources for exam reasoning and study direction. Use the course support channel for access and technical problems. Use official sources for licensing and exam-policy decisions.</w:t>
            </w:r>
          </w:p>
        </w:tc>
      </w:tr>
    </w:tbl>
    <w:sectPr w:rsidR="00FC693F" w:rsidRPr="0006063C" w:rsidSect="00034616">
      <w:headerReference w:type="default" r:id="rId9"/>
      <w:footerReference w:type="default" r:id="rId10"/>
      <w:pgSz w:w="12240" w:h="15840"/>
      <w:pgMar w:top="792" w:right="893" w:bottom="792" w:left="893"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37D"/>
        <w:sz w:val="16"/>
      </w:rPr>
      <w:t xml:space="preserve">Clinical Training Academy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TAHeader"/>
      <w:jc w:val="right"/>
    </w:pPr>
    <w:r>
      <w:t>CLINICAL TRAINING ACADEMY  •  LCSW STUDENT FAQ &amp;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45" w:lineRule="auto"/>
    </w:pPr>
    <w:rPr>
      <w:rFonts w:ascii="Arial" w:hAnsi="Arial"/>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00" w:after="80"/>
    </w:pPr>
    <w:rPr>
      <w:rFonts w:asciiTheme="majorHAnsi" w:eastAsiaTheme="majorEastAsia" w:hAnsiTheme="majorHAnsi" w:cstheme="majorBidi" w:ascii="Arial" w:hAnsi="Arial"/>
      <w:b/>
      <w:i/>
      <w:iCs/>
      <w:color w:val="1F7A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Header">
    <w:name w:val="CTA Header"/>
    <w:rPr>
      <w:rFonts w:ascii="Arial" w:hAnsi="Arial"/>
      <w:b/>
      <w:color w:val="1F7A8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ASWB Clinical Student FAQ and Self-Service Support Guide</dc:title>
  <dc:subject>Student navigation, support, release controls, and August 2026 exam logistics</dc:subject>
  <dc:creator>Clinical Training and Supervision Academy</dc:creator>
  <cp:keywords>CTA, LCSW, ASWB Clinical, exam preparation, August 2026</cp:keywords>
  <dc:description>Initial release package prepared for website and LMS implementation.</dc:description>
  <cp:lastModifiedBy>Clinical Training and Supervision Academy</cp:lastModifiedBy>
  <cp:revision>1</cp:revision>
  <dcterms:created xsi:type="dcterms:W3CDTF">2013-12-23T23:15:00Z</dcterms:created>
  <dcterms:modified xsi:type="dcterms:W3CDTF">2013-12-23T23:15:00Z</dcterms:modified>
  <cp:category/>
</cp:coreProperties>
</file>