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Arial" w:hAnsi="Arial"/>
          <w:b/>
          <w:color w:val="1F7A8C"/>
          <w:sz w:val="24"/>
        </w:rPr>
        <w:t>CLINICAL TRAINING ACADEMY</w:t>
      </w:r>
    </w:p>
    <w:p>
      <w:pPr>
        <w:spacing w:before="560"/>
        <w:jc w:val="center"/>
      </w:pPr>
      <w:r>
        <w:rPr>
          <w:rFonts w:ascii="Arial" w:hAnsi="Arial"/>
          <w:b/>
          <w:color w:val="17365D"/>
          <w:sz w:val="62"/>
        </w:rPr>
        <w:t>LCSW ASWB CLINICAL EXAM PREPARATION PROGRAM</w:t>
      </w:r>
    </w:p>
    <w:p>
      <w:pPr>
        <w:jc w:val="center"/>
      </w:pPr>
      <w:r>
        <w:rPr>
          <w:rFonts w:ascii="Arial" w:hAnsi="Arial"/>
          <w:b/>
          <w:color w:val="24313D"/>
          <w:sz w:val="34"/>
        </w:rPr>
        <w:t>ASWB Clinical Social Work Licensing Examination Preparation</w:t>
      </w:r>
    </w:p>
    <w:p>
      <w:pPr>
        <w:spacing w:before="240"/>
        <w:jc w:val="center"/>
      </w:pPr>
      <w:r>
        <w:rPr>
          <w:rFonts w:ascii="Arial" w:hAnsi="Arial"/>
          <w:color w:val="1F7A8C"/>
          <w:sz w:val="26"/>
        </w:rPr>
        <w:t>Student Roadmap • 10-, 14-, and 18-Week Study Schedules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454"/>
            <w:shd w:fill="DDEFF2"/>
            <w:vAlign w:val="center"/>
            <w:tcBorders>
              <w:top w:val="single" w:sz="10" w:color="1F7A8C"/>
              <w:left w:val="single" w:sz="10" w:color="1F7A8C"/>
              <w:bottom w:val="single" w:sz="10" w:color="1F7A8C"/>
              <w:right w:val="single" w:sz="10" w:color="1F7A8C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17365D"/>
                <w:sz w:val="26"/>
              </w:rPr>
              <w:t>Choose your pace. Follow the CTA Study Cycle. Protect the value of Forms A and B.</w:t>
            </w:r>
          </w:p>
        </w:tc>
        <w:trPr>
          <w:tblHeader/>
        </w:trPr>
      </w:tr>
    </w:tbl>
    <w:p>
      <w:pPr>
        <w:spacing w:before="560"/>
        <w:jc w:val="center"/>
      </w:pPr>
      <w:r>
        <w:rPr>
          <w:color w:val="68737D"/>
          <w:sz w:val="20"/>
        </w:rPr>
        <w:t>Version 1.0  •  August 2026</w:t>
      </w:r>
    </w:p>
    <w:p>
      <w:pPr>
        <w:jc w:val="center"/>
      </w:pPr>
      <w:r>
        <w:rPr>
          <w:color w:val="68737D"/>
          <w:sz w:val="20"/>
        </w:rPr>
        <w:t>Editable Student Roadmap and Printable Study Schedule</w:t>
      </w:r>
    </w:p>
    <w:p>
      <w:r>
        <w:br w:type="page"/>
      </w:r>
    </w:p>
    <w:p>
      <w:pPr>
        <w:pStyle w:val="Heading1"/>
      </w:pPr>
      <w:r>
        <w:t>1. How to Use This Roadmap</w:t>
      </w:r>
    </w:p>
    <w:p>
      <w:r>
        <w:t>This roadmap turns the completed CTA curriculum into a visible sequence of learning, practice, feedback, remediation, and simulated testing. Select one pace, protect the order of the program, and record completion evidence as you move forward.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after="40"/>
            </w:pPr>
            <w:r>
              <w:rPr>
                <w:b/>
                <w:color w:val="17365D"/>
              </w:rPr>
              <w:t xml:space="preserve">Your first decision:  </w:t>
            </w:r>
            <w:r>
              <w:rPr>
                <w:color w:val="24313D"/>
              </w:rPr>
              <w:t>Choose the 10-, 14-, or 18-week schedule based on the time you can protect consistently—not the fastest pace you hope to maintain.</w:t>
            </w:r>
          </w:p>
        </w:tc>
        <w:trPr>
          <w:tblHeader/>
        </w:trPr>
      </w:tr>
    </w:tbl>
    <w:p>
      <w:pPr>
        <w:pStyle w:val="Heading2"/>
      </w:pPr>
      <w:r>
        <w:t>Program Completion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84"/>
            <w:shd w:fill="17365D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6048"/>
            <w:shd w:fill="17365D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Student Action</w:t>
            </w:r>
          </w:p>
        </w:tc>
        <w:tc>
          <w:tcPr>
            <w:tcW w:type="dxa" w:w="2232"/>
            <w:shd w:fill="17365D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Completion Evidence</w:t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1. Orient</w:t>
            </w:r>
          </w:p>
        </w:tc>
        <w:tc>
          <w:tcPr>
            <w:tcW w:type="dxa" w:w="6048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Review the welcome and how-to lessons; choose a pace; prepare the roadmap and error log.</w:t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Selected schedule and weekly study blocks</w:t>
            </w:r>
          </w:p>
        </w:tc>
      </w:tr>
      <w:tr>
        <w:trPr>
          <w:cantSplit/>
        </w:trPr>
        <w:tc>
          <w:tcPr>
            <w:tcW w:type="dxa" w:w="1584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2. Learn</w:t>
            </w:r>
          </w:p>
        </w:tc>
        <w:tc>
          <w:tcPr>
            <w:tcW w:type="dxa" w:w="6048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Complete the assigned workbook and approved written study tools.</w:t>
            </w:r>
          </w:p>
        </w:tc>
        <w:tc>
          <w:tcPr>
            <w:tcW w:type="dxa" w:w="223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Workbook completion check</w:t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3. Practice</w:t>
            </w:r>
          </w:p>
        </w:tc>
        <w:tc>
          <w:tcPr>
            <w:tcW w:type="dxa" w:w="6048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Complete the associated 17-question bank before viewing answers.</w:t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Saved responses, score, and time used</w:t>
            </w:r>
          </w:p>
        </w:tc>
      </w:tr>
      <w:tr>
        <w:trPr>
          <w:cantSplit/>
        </w:trPr>
        <w:tc>
          <w:tcPr>
            <w:tcW w:type="dxa" w:w="1584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4. Review</w:t>
            </w:r>
          </w:p>
        </w:tc>
        <w:tc>
          <w:tcPr>
            <w:tcW w:type="dxa" w:w="6048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Study complete rationales and CTA Exam Strategy guidance.</w:t>
            </w:r>
          </w:p>
        </w:tc>
        <w:tc>
          <w:tcPr>
            <w:tcW w:type="dxa" w:w="223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Missed-item notes</w:t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5. Remediate</w:t>
            </w:r>
          </w:p>
        </w:tc>
        <w:tc>
          <w:tcPr>
            <w:tcW w:type="dxa" w:w="6048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Return to weak topics and repeat selected practice activities.</w:t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Updated error log and remediation check</w:t>
            </w:r>
          </w:p>
        </w:tc>
      </w:tr>
      <w:tr>
        <w:trPr>
          <w:cantSplit/>
        </w:trPr>
        <w:tc>
          <w:tcPr>
            <w:tcW w:type="dxa" w:w="1584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6. Simulate</w:t>
            </w:r>
          </w:p>
        </w:tc>
        <w:tc>
          <w:tcPr>
            <w:tcW w:type="dxa" w:w="6048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Complete Form A, remediate, then complete Form B under timed conditions.</w:t>
            </w:r>
          </w:p>
        </w:tc>
        <w:tc>
          <w:tcPr>
            <w:tcW w:type="dxa" w:w="223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Scores, pacing notes, and readiness decision</w:t>
            </w:r>
          </w:p>
        </w:tc>
      </w:tr>
    </w:tbl>
    <w:p>
      <w:pPr>
        <w:spacing w:after="0"/>
      </w:pPr>
    </w:p>
    <w:p>
      <w:pPr>
        <w:pStyle w:val="Heading1"/>
      </w:pPr>
      <w:r>
        <w:t>2. The CTA Study Cycle</w:t>
      </w:r>
    </w:p>
    <w:p>
      <w:pPr>
        <w:pStyle w:val="ListBullet"/>
        <w:spacing w:after="40"/>
      </w:pPr>
      <w:r>
        <w:t>Preview: Review the workbook overview, objectives, and high-yield guidance to identify the week’s reasoning priorities.</w:t>
      </w:r>
    </w:p>
    <w:p>
      <w:pPr>
        <w:pStyle w:val="ListBullet"/>
        <w:spacing w:after="40"/>
      </w:pPr>
      <w:r>
        <w:t>Learn: Read and annotate the workbook. Complete all reflection or application prompts.</w:t>
      </w:r>
    </w:p>
    <w:p>
      <w:pPr>
        <w:pStyle w:val="ListBullet"/>
        <w:spacing w:after="40"/>
      </w:pPr>
      <w:r>
        <w:t>Close the book: Summarize the key decision rules before testing.</w:t>
      </w:r>
    </w:p>
    <w:p>
      <w:pPr>
        <w:pStyle w:val="ListBullet"/>
        <w:spacing w:after="40"/>
      </w:pPr>
      <w:r>
        <w:t>Practice: Complete the 17-question bank without viewing answers or rationales.</w:t>
      </w:r>
    </w:p>
    <w:p>
      <w:pPr>
        <w:pStyle w:val="ListBullet"/>
        <w:spacing w:after="40"/>
      </w:pPr>
      <w:r>
        <w:t>Review: Study the selected answer, correct answer, complete option-by-option rationale, and CTA Exam Strategy.</w:t>
      </w:r>
    </w:p>
    <w:p>
      <w:pPr>
        <w:pStyle w:val="ListBullet"/>
        <w:spacing w:after="40"/>
      </w:pPr>
      <w:r>
        <w:t>Remediate: Classify each miss and return to the exact workbook section or reasoning rule that needs repair.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4D6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after="40"/>
            </w:pPr>
            <w:r>
              <w:rPr>
                <w:b/>
                <w:color w:val="17365D"/>
              </w:rPr>
              <w:t xml:space="preserve">Default release rule:  </w:t>
            </w:r>
            <w:r>
              <w:rPr>
                <w:color w:val="24313D"/>
              </w:rPr>
              <w:t>Rationales appear only after submission. Form B remains locked until Form A and the required remediation step are complete.</w:t>
            </w:r>
          </w:p>
        </w:tc>
        <w:trPr>
          <w:tblHeader/>
        </w:trPr>
      </w:tr>
    </w:tbl>
    <w:p>
      <w:pPr>
        <w:pStyle w:val="Heading1"/>
      </w:pPr>
      <w:r>
        <w:t>3. Choose Your Pace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296"/>
            <w:shd w:fill="17365D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Plan</w:t>
            </w:r>
          </w:p>
        </w:tc>
        <w:tc>
          <w:tcPr>
            <w:tcW w:type="dxa" w:w="3240"/>
            <w:shd w:fill="17365D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Best Fit</w:t>
            </w:r>
          </w:p>
        </w:tc>
        <w:tc>
          <w:tcPr>
            <w:tcW w:type="dxa" w:w="2088"/>
            <w:shd w:fill="17365D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Typical Weekly Commitment</w:t>
            </w:r>
          </w:p>
        </w:tc>
        <w:tc>
          <w:tcPr>
            <w:tcW w:type="dxa" w:w="3240"/>
            <w:shd w:fill="17365D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Program Shape</w:t>
            </w:r>
          </w:p>
        </w:tc>
      </w:tr>
      <w:tr>
        <w:trPr>
          <w:cantSplit/>
        </w:trPr>
        <w:tc>
          <w:tcPr>
            <w:tcW w:type="dxa" w:w="1296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10 weeks</w:t>
            </w:r>
          </w:p>
        </w:tc>
        <w:tc>
          <w:tcPr>
            <w:tcW w:type="dxa" w:w="3240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Candidates with protected study time and strong follow-through.</w:t>
            </w:r>
          </w:p>
        </w:tc>
        <w:tc>
          <w:tcPr>
            <w:tcW w:type="dxa" w:w="2088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Approximately 8–10 focused hours</w:t>
            </w:r>
          </w:p>
        </w:tc>
        <w:tc>
          <w:tcPr>
            <w:tcW w:type="dxa" w:w="3240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Several two-workbook weeks; rapid transition to simulations</w:t>
            </w:r>
          </w:p>
        </w:tc>
      </w:tr>
      <w:tr>
        <w:trPr>
          <w:cantSplit/>
        </w:trPr>
        <w:tc>
          <w:tcPr>
            <w:tcW w:type="dxa" w:w="1296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14 weeks</w:t>
            </w:r>
          </w:p>
        </w:tc>
        <w:tc>
          <w:tcPr>
            <w:tcW w:type="dxa" w:w="3240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Candidates seeking a steady one-workbook-per-week rhythm.</w:t>
            </w:r>
          </w:p>
        </w:tc>
        <w:tc>
          <w:tcPr>
            <w:tcW w:type="dxa" w:w="2088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Approximately 6–8 focused hours</w:t>
            </w:r>
          </w:p>
        </w:tc>
        <w:tc>
          <w:tcPr>
            <w:tcW w:type="dxa" w:w="3240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Orientation plus 12 workbook weeks and two simulation weeks</w:t>
            </w:r>
          </w:p>
        </w:tc>
      </w:tr>
      <w:tr>
        <w:trPr>
          <w:cantSplit/>
        </w:trPr>
        <w:tc>
          <w:tcPr>
            <w:tcW w:type="dxa" w:w="1296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18 weeks</w:t>
            </w:r>
          </w:p>
        </w:tc>
        <w:tc>
          <w:tcPr>
            <w:tcW w:type="dxa" w:w="3240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Candidates balancing work, family, health, or a slower review pace.</w:t>
            </w:r>
          </w:p>
        </w:tc>
        <w:tc>
          <w:tcPr>
            <w:tcW w:type="dxa" w:w="2088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Approximately 4–6 focused hours</w:t>
            </w:r>
          </w:p>
        </w:tc>
        <w:tc>
          <w:tcPr>
            <w:tcW w:type="dxa" w:w="3240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One workbook per week plus catch-up, remediation, and final planning</w:t>
            </w:r>
          </w:p>
        </w:tc>
      </w:tr>
    </w:tbl>
    <w:p>
      <w:pPr>
        <w:spacing w:after="0"/>
      </w:pPr>
    </w:p>
    <w:p>
      <w:pPr>
        <w:pStyle w:val="IntenseQuote"/>
      </w:pPr>
      <w:r>
        <w:t>Weekly hours are planning estimates, not guarantees. Increase or reduce the time based on reading speed, question review needs, and the depth of remediation required.</w:t>
      </w:r>
    </w:p>
    <w:p>
      <w:r>
        <w:br w:type="page"/>
      </w:r>
    </w:p>
    <w:p>
      <w:pPr>
        <w:pStyle w:val="Heading1"/>
      </w:pPr>
      <w:r>
        <w:t>4. Ten-Week Accelerated Schedule</w:t>
      </w:r>
    </w:p>
    <w:p>
      <w:pPr>
        <w:spacing w:after="100"/>
      </w:pPr>
      <w:r>
        <w:t>Use this plan only when you can protect multiple study blocks each week. Two-workbook weeks require separate practice-bank attempts and separate rationale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792"/>
            <w:shd w:fill="17365D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Week</w:t>
            </w:r>
          </w:p>
        </w:tc>
        <w:tc>
          <w:tcPr>
            <w:tcW w:type="dxa" w:w="2189"/>
            <w:shd w:fill="17365D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Primary Focus</w:t>
            </w:r>
          </w:p>
        </w:tc>
        <w:tc>
          <w:tcPr>
            <w:tcW w:type="dxa" w:w="5400"/>
            <w:shd w:fill="17365D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Required Actions</w:t>
            </w:r>
          </w:p>
        </w:tc>
        <w:tc>
          <w:tcPr>
            <w:tcW w:type="dxa" w:w="1512"/>
            <w:shd w:fill="17365D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Completion Evidence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1</w:t>
            </w:r>
          </w:p>
        </w:tc>
        <w:tc>
          <w:tcPr>
            <w:tcW w:type="dxa" w:w="2189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Start Here + WB1</w:t>
            </w:r>
          </w:p>
        </w:tc>
        <w:tc>
          <w:tcPr>
            <w:tcW w:type="dxa" w:w="5400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Choose pace; watch orientation; complete WB1 companion, workbook, bank, rationale review, and error log.</w:t>
            </w:r>
          </w:p>
        </w:tc>
        <w:tc>
          <w:tcPr>
            <w:tcW w:type="dxa" w:w="151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Pace selected; WB1 complete</w:t>
            </w:r>
          </w:p>
        </w:tc>
      </w:tr>
      <w:tr>
        <w:trPr>
          <w:cantSplit/>
        </w:trPr>
        <w:tc>
          <w:tcPr>
            <w:tcW w:type="dxa" w:w="79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2</w:t>
            </w:r>
          </w:p>
        </w:tc>
        <w:tc>
          <w:tcPr>
            <w:tcW w:type="dxa" w:w="2189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WB2 + WB3</w:t>
            </w:r>
          </w:p>
        </w:tc>
        <w:tc>
          <w:tcPr>
            <w:tcW w:type="dxa" w:w="5400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Complete both workbook cycles. Keep the two banks separate and submit before reviewing rationales.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WB2–WB3 complete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3</w:t>
            </w:r>
          </w:p>
        </w:tc>
        <w:tc>
          <w:tcPr>
            <w:tcW w:type="dxa" w:w="2189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WB4</w:t>
            </w:r>
          </w:p>
        </w:tc>
        <w:tc>
          <w:tcPr>
            <w:tcW w:type="dxa" w:w="5400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Complete the full cycle; focus on assessment and sequencing distinctions.</w:t>
            </w:r>
          </w:p>
        </w:tc>
        <w:tc>
          <w:tcPr>
            <w:tcW w:type="dxa" w:w="151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WB4 complete</w:t>
            </w:r>
          </w:p>
        </w:tc>
      </w:tr>
      <w:tr>
        <w:trPr>
          <w:cantSplit/>
        </w:trPr>
        <w:tc>
          <w:tcPr>
            <w:tcW w:type="dxa" w:w="79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4</w:t>
            </w:r>
          </w:p>
        </w:tc>
        <w:tc>
          <w:tcPr>
            <w:tcW w:type="dxa" w:w="2189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WB5</w:t>
            </w:r>
          </w:p>
        </w:tc>
        <w:tc>
          <w:tcPr>
            <w:tcW w:type="dxa" w:w="5400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Complete the full cycle; add missed diagnosis/exclusion rules to the error log.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WB5 complete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5</w:t>
            </w:r>
          </w:p>
        </w:tc>
        <w:tc>
          <w:tcPr>
            <w:tcW w:type="dxa" w:w="2189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WB6</w:t>
            </w:r>
          </w:p>
        </w:tc>
        <w:tc>
          <w:tcPr>
            <w:tcW w:type="dxa" w:w="5400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Complete the full cycle; prioritize safety, reporting, and level-of-care reasoning.</w:t>
            </w:r>
          </w:p>
        </w:tc>
        <w:tc>
          <w:tcPr>
            <w:tcW w:type="dxa" w:w="151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WB6 complete</w:t>
            </w:r>
          </w:p>
        </w:tc>
      </w:tr>
      <w:tr>
        <w:trPr>
          <w:cantSplit/>
        </w:trPr>
        <w:tc>
          <w:tcPr>
            <w:tcW w:type="dxa" w:w="79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6</w:t>
            </w:r>
          </w:p>
        </w:tc>
        <w:tc>
          <w:tcPr>
            <w:tcW w:type="dxa" w:w="2189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WB7 + WB8</w:t>
            </w:r>
          </w:p>
        </w:tc>
        <w:tc>
          <w:tcPr>
            <w:tcW w:type="dxa" w:w="5400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Complete both cycles; compare planning decisions with intervention selection.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WB7–WB8 complete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7</w:t>
            </w:r>
          </w:p>
        </w:tc>
        <w:tc>
          <w:tcPr>
            <w:tcW w:type="dxa" w:w="2189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WB9 + WB10</w:t>
            </w:r>
          </w:p>
        </w:tc>
        <w:tc>
          <w:tcPr>
            <w:tcW w:type="dxa" w:w="5400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Complete both cycles; track modality, context, resources, and barriers.</w:t>
            </w:r>
          </w:p>
        </w:tc>
        <w:tc>
          <w:tcPr>
            <w:tcW w:type="dxa" w:w="151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WB9–WB10 complete</w:t>
            </w:r>
          </w:p>
        </w:tc>
      </w:tr>
      <w:tr>
        <w:trPr>
          <w:cantSplit/>
        </w:trPr>
        <w:tc>
          <w:tcPr>
            <w:tcW w:type="dxa" w:w="79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8</w:t>
            </w:r>
          </w:p>
        </w:tc>
        <w:tc>
          <w:tcPr>
            <w:tcW w:type="dxa" w:w="2189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WB11 + WB12</w:t>
            </w:r>
          </w:p>
        </w:tc>
        <w:tc>
          <w:tcPr>
            <w:tcW w:type="dxa" w:w="5400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Complete both cycles; finish cumulative review and the WB12 assessment component.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All workbooks and banks complete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9</w:t>
            </w:r>
          </w:p>
        </w:tc>
        <w:tc>
          <w:tcPr>
            <w:tcW w:type="dxa" w:w="2189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Form A + Remediation</w:t>
            </w:r>
          </w:p>
        </w:tc>
        <w:tc>
          <w:tcPr>
            <w:tcW w:type="dxa" w:w="5400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Take Form A under simulated conditions. Review domain results only after submission; build a targeted remediation plan.</w:t>
            </w:r>
          </w:p>
        </w:tc>
        <w:tc>
          <w:tcPr>
            <w:tcW w:type="dxa" w:w="151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Form A submitted; remediation completed</w:t>
            </w:r>
          </w:p>
        </w:tc>
      </w:tr>
      <w:tr>
        <w:trPr>
          <w:cantSplit/>
        </w:trPr>
        <w:tc>
          <w:tcPr>
            <w:tcW w:type="dxa" w:w="79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10</w:t>
            </w:r>
          </w:p>
        </w:tc>
        <w:tc>
          <w:tcPr>
            <w:tcW w:type="dxa" w:w="2189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Form B + Final Readiness</w:t>
            </w:r>
          </w:p>
        </w:tc>
        <w:tc>
          <w:tcPr>
            <w:tcW w:type="dxa" w:w="5400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Take Form B under simulated conditions. Complete final pacing notes, weak-area review, and exam-week plan.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Form B submitted; readiness decision recorded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Fourteen-Week Standard Schedule</w:t>
      </w:r>
    </w:p>
    <w:p>
      <w:pPr>
        <w:spacing w:after="100"/>
      </w:pPr>
      <w:r>
        <w:t>This is the recommended default for most students because it preserves a consistent one-workbook-per-week rhythm.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792"/>
            <w:shd w:fill="17365D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Week</w:t>
            </w:r>
          </w:p>
        </w:tc>
        <w:tc>
          <w:tcPr>
            <w:tcW w:type="dxa" w:w="2189"/>
            <w:shd w:fill="17365D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Primary Focus</w:t>
            </w:r>
          </w:p>
        </w:tc>
        <w:tc>
          <w:tcPr>
            <w:tcW w:type="dxa" w:w="5400"/>
            <w:shd w:fill="17365D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Required Actions</w:t>
            </w:r>
          </w:p>
        </w:tc>
        <w:tc>
          <w:tcPr>
            <w:tcW w:type="dxa" w:w="1512"/>
            <w:shd w:fill="17365D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Completion Evidence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1</w:t>
            </w:r>
          </w:p>
        </w:tc>
        <w:tc>
          <w:tcPr>
            <w:tcW w:type="dxa" w:w="2189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Start Here + WB1</w:t>
            </w:r>
          </w:p>
        </w:tc>
        <w:tc>
          <w:tcPr>
            <w:tcW w:type="dxa" w:w="5400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Choose pace; complete orientation and the full WB1 study cycle.</w:t>
            </w:r>
          </w:p>
        </w:tc>
        <w:tc>
          <w:tcPr>
            <w:tcW w:type="dxa" w:w="151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Pace selected; WB1 complete</w:t>
            </w:r>
          </w:p>
        </w:tc>
      </w:tr>
      <w:tr>
        <w:trPr>
          <w:cantSplit/>
        </w:trPr>
        <w:tc>
          <w:tcPr>
            <w:tcW w:type="dxa" w:w="79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2</w:t>
            </w:r>
          </w:p>
        </w:tc>
        <w:tc>
          <w:tcPr>
            <w:tcW w:type="dxa" w:w="2189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WB2: Values, Ethics, Self-Determination, and Social Justice</w:t>
            </w:r>
          </w:p>
        </w:tc>
        <w:tc>
          <w:tcPr>
            <w:tcW w:type="dxa" w:w="5400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Complete the workbook, completion prompt, 17-question bank, rationale review, and remediation check.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WB2 complete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3</w:t>
            </w:r>
          </w:p>
        </w:tc>
        <w:tc>
          <w:tcPr>
            <w:tcW w:type="dxa" w:w="2189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WB3: Human Development, Diversity, and Person-in-Environment</w:t>
            </w:r>
          </w:p>
        </w:tc>
        <w:tc>
          <w:tcPr>
            <w:tcW w:type="dxa" w:w="5400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Complete the workbook, completion prompt, 17-question bank, rationale review, and remediation check.</w:t>
            </w:r>
          </w:p>
        </w:tc>
        <w:tc>
          <w:tcPr>
            <w:tcW w:type="dxa" w:w="151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WB3 complete</w:t>
            </w:r>
          </w:p>
        </w:tc>
      </w:tr>
      <w:tr>
        <w:trPr>
          <w:cantSplit/>
        </w:trPr>
        <w:tc>
          <w:tcPr>
            <w:tcW w:type="dxa" w:w="79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4</w:t>
            </w:r>
          </w:p>
        </w:tc>
        <w:tc>
          <w:tcPr>
            <w:tcW w:type="dxa" w:w="2189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WB4: Clinical Assessment, Interviewing, and Mental Status</w:t>
            </w:r>
          </w:p>
        </w:tc>
        <w:tc>
          <w:tcPr>
            <w:tcW w:type="dxa" w:w="5400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Complete the workbook, completion prompt, 17-question bank, rationale review, and remediation check.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WB4 complete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5</w:t>
            </w:r>
          </w:p>
        </w:tc>
        <w:tc>
          <w:tcPr>
            <w:tcW w:type="dxa" w:w="2189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WB5: Diagnosis, Medical Factors, and Psychopharmacology</w:t>
            </w:r>
          </w:p>
        </w:tc>
        <w:tc>
          <w:tcPr>
            <w:tcW w:type="dxa" w:w="5400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Complete the workbook, completion prompt, 17-question bank, rationale review, and remediation check.</w:t>
            </w:r>
          </w:p>
        </w:tc>
        <w:tc>
          <w:tcPr>
            <w:tcW w:type="dxa" w:w="151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WB5 complete</w:t>
            </w:r>
          </w:p>
        </w:tc>
      </w:tr>
      <w:tr>
        <w:trPr>
          <w:cantSplit/>
        </w:trPr>
        <w:tc>
          <w:tcPr>
            <w:tcW w:type="dxa" w:w="79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6</w:t>
            </w:r>
          </w:p>
        </w:tc>
        <w:tc>
          <w:tcPr>
            <w:tcW w:type="dxa" w:w="2189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WB6: Crisis, Abuse, and Risk Assessment</w:t>
            </w:r>
          </w:p>
        </w:tc>
        <w:tc>
          <w:tcPr>
            <w:tcW w:type="dxa" w:w="5400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Complete the workbook, completion prompt, 17-question bank, rationale review, and remediation check.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WB6 complete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7</w:t>
            </w:r>
          </w:p>
        </w:tc>
        <w:tc>
          <w:tcPr>
            <w:tcW w:type="dxa" w:w="2189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WB7: Treatment and Service Planning</w:t>
            </w:r>
          </w:p>
        </w:tc>
        <w:tc>
          <w:tcPr>
            <w:tcW w:type="dxa" w:w="5400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Complete the workbook, completion prompt, 17-question bank, rationale review, and remediation check.</w:t>
            </w:r>
          </w:p>
        </w:tc>
        <w:tc>
          <w:tcPr>
            <w:tcW w:type="dxa" w:w="151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WB7 complete</w:t>
            </w:r>
          </w:p>
        </w:tc>
      </w:tr>
      <w:tr>
        <w:trPr>
          <w:cantSplit/>
        </w:trPr>
        <w:tc>
          <w:tcPr>
            <w:tcW w:type="dxa" w:w="79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8</w:t>
            </w:r>
          </w:p>
        </w:tc>
        <w:tc>
          <w:tcPr>
            <w:tcW w:type="dxa" w:w="2189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WB8: Clinical Interventions and Trauma-Informed Practice</w:t>
            </w:r>
          </w:p>
        </w:tc>
        <w:tc>
          <w:tcPr>
            <w:tcW w:type="dxa" w:w="5400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Complete the workbook, completion prompt, 17-question bank, rationale review, and remediation check.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WB8 complete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9</w:t>
            </w:r>
          </w:p>
        </w:tc>
        <w:tc>
          <w:tcPr>
            <w:tcW w:type="dxa" w:w="2189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WB9: Family, Couple, Group, and Parenting Interventions</w:t>
            </w:r>
          </w:p>
        </w:tc>
        <w:tc>
          <w:tcPr>
            <w:tcW w:type="dxa" w:w="5400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Complete the workbook, completion prompt, 17-question bank, rationale review, and remediation check.</w:t>
            </w:r>
          </w:p>
        </w:tc>
        <w:tc>
          <w:tcPr>
            <w:tcW w:type="dxa" w:w="151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WB9 complete</w:t>
            </w:r>
          </w:p>
        </w:tc>
      </w:tr>
      <w:tr>
        <w:trPr>
          <w:cantSplit/>
        </w:trPr>
        <w:tc>
          <w:tcPr>
            <w:tcW w:type="dxa" w:w="79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10</w:t>
            </w:r>
          </w:p>
        </w:tc>
        <w:tc>
          <w:tcPr>
            <w:tcW w:type="dxa" w:w="2189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WB10: Case Management, Advocacy, Resources, and Collaboration</w:t>
            </w:r>
          </w:p>
        </w:tc>
        <w:tc>
          <w:tcPr>
            <w:tcW w:type="dxa" w:w="5400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Complete the workbook, completion prompt, 17-question bank, rationale review, and remediation check.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WB10 complete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11</w:t>
            </w:r>
          </w:p>
        </w:tc>
        <w:tc>
          <w:tcPr>
            <w:tcW w:type="dxa" w:w="2189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WB11: Practice Evaluation, Research, Supervision, and Administration</w:t>
            </w:r>
          </w:p>
        </w:tc>
        <w:tc>
          <w:tcPr>
            <w:tcW w:type="dxa" w:w="5400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Complete the workbook, completion prompt, 17-question bank, rationale review, and remediation check.</w:t>
            </w:r>
          </w:p>
        </w:tc>
        <w:tc>
          <w:tcPr>
            <w:tcW w:type="dxa" w:w="151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WB11 complete</w:t>
            </w:r>
          </w:p>
        </w:tc>
      </w:tr>
      <w:tr>
        <w:trPr>
          <w:cantSplit/>
        </w:trPr>
        <w:tc>
          <w:tcPr>
            <w:tcW w:type="dxa" w:w="79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12</w:t>
            </w:r>
          </w:p>
        </w:tc>
        <w:tc>
          <w:tcPr>
            <w:tcW w:type="dxa" w:w="2189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WB12: Integrated Review and 25-Question Mini-Mock</w:t>
            </w:r>
          </w:p>
        </w:tc>
        <w:tc>
          <w:tcPr>
            <w:tcW w:type="dxa" w:w="5400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Complete the workbook, completion prompt, 17-question bank, rationale review, and remediation check.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WB12 complete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13</w:t>
            </w:r>
          </w:p>
        </w:tc>
        <w:tc>
          <w:tcPr>
            <w:tcW w:type="dxa" w:w="2189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Form A + Targeted Remediation</w:t>
            </w:r>
          </w:p>
        </w:tc>
        <w:tc>
          <w:tcPr>
            <w:tcW w:type="dxa" w:w="5400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Take Form A under simulated conditions; classify misses and return to exact workbook sections.</w:t>
            </w:r>
          </w:p>
        </w:tc>
        <w:tc>
          <w:tcPr>
            <w:tcW w:type="dxa" w:w="151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Form A and remediation complete</w:t>
            </w:r>
          </w:p>
        </w:tc>
      </w:tr>
      <w:tr>
        <w:trPr>
          <w:cantSplit/>
        </w:trPr>
        <w:tc>
          <w:tcPr>
            <w:tcW w:type="dxa" w:w="79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14</w:t>
            </w:r>
          </w:p>
        </w:tc>
        <w:tc>
          <w:tcPr>
            <w:tcW w:type="dxa" w:w="2189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Form B + Final Readiness</w:t>
            </w:r>
          </w:p>
        </w:tc>
        <w:tc>
          <w:tcPr>
            <w:tcW w:type="dxa" w:w="5400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Take Form B under simulated conditions; complete final-week checklist and readiness interpretation.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Form B complete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Eighteen-Week Flexible Schedule</w:t>
      </w:r>
    </w:p>
    <w:p>
      <w:pPr>
        <w:spacing w:after="100"/>
      </w:pPr>
      <w:r>
        <w:t>Use this plan when consistency matters more than speed. The additional weeks create space for catch-up, targeted remediation, and a calmer simulation sequence.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792"/>
            <w:shd w:fill="17365D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Week</w:t>
            </w:r>
          </w:p>
        </w:tc>
        <w:tc>
          <w:tcPr>
            <w:tcW w:type="dxa" w:w="2189"/>
            <w:shd w:fill="17365D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Primary Focus</w:t>
            </w:r>
          </w:p>
        </w:tc>
        <w:tc>
          <w:tcPr>
            <w:tcW w:type="dxa" w:w="5400"/>
            <w:shd w:fill="17365D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Required Actions</w:t>
            </w:r>
          </w:p>
        </w:tc>
        <w:tc>
          <w:tcPr>
            <w:tcW w:type="dxa" w:w="1512"/>
            <w:shd w:fill="17365D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Completion Evidence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1</w:t>
            </w:r>
          </w:p>
        </w:tc>
        <w:tc>
          <w:tcPr>
            <w:tcW w:type="dxa" w:w="2189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Start Here</w:t>
            </w:r>
          </w:p>
        </w:tc>
        <w:tc>
          <w:tcPr>
            <w:tcW w:type="dxa" w:w="5400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Review roadmap and orientation; choose pace; set weekly study blocks; prepare error log.</w:t>
            </w:r>
          </w:p>
        </w:tc>
        <w:tc>
          <w:tcPr>
            <w:tcW w:type="dxa" w:w="151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Orientation complete</w:t>
            </w:r>
          </w:p>
        </w:tc>
      </w:tr>
      <w:tr>
        <w:trPr>
          <w:cantSplit/>
        </w:trPr>
        <w:tc>
          <w:tcPr>
            <w:tcW w:type="dxa" w:w="79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2</w:t>
            </w:r>
          </w:p>
        </w:tc>
        <w:tc>
          <w:tcPr>
            <w:tcW w:type="dxa" w:w="2189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WB1: ASWB Exam Strategy and Applied Reasoning</w:t>
            </w:r>
          </w:p>
        </w:tc>
        <w:tc>
          <w:tcPr>
            <w:tcW w:type="dxa" w:w="5400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Complete the full CTA study cycle and record score, timing, and error type.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WB1 complete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3</w:t>
            </w:r>
          </w:p>
        </w:tc>
        <w:tc>
          <w:tcPr>
            <w:tcW w:type="dxa" w:w="2189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WB2: Values, Ethics, Self-Determination, and Social Justice</w:t>
            </w:r>
          </w:p>
        </w:tc>
        <w:tc>
          <w:tcPr>
            <w:tcW w:type="dxa" w:w="5400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Complete the full CTA study cycle and record score, timing, and error type.</w:t>
            </w:r>
          </w:p>
        </w:tc>
        <w:tc>
          <w:tcPr>
            <w:tcW w:type="dxa" w:w="151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WB2 complete</w:t>
            </w:r>
          </w:p>
        </w:tc>
      </w:tr>
      <w:tr>
        <w:trPr>
          <w:cantSplit/>
        </w:trPr>
        <w:tc>
          <w:tcPr>
            <w:tcW w:type="dxa" w:w="79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4</w:t>
            </w:r>
          </w:p>
        </w:tc>
        <w:tc>
          <w:tcPr>
            <w:tcW w:type="dxa" w:w="2189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WB3: Human Development, Diversity, and Person-in-Environment</w:t>
            </w:r>
          </w:p>
        </w:tc>
        <w:tc>
          <w:tcPr>
            <w:tcW w:type="dxa" w:w="5400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Complete the full CTA study cycle and record score, timing, and error type.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WB3 complete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5</w:t>
            </w:r>
          </w:p>
        </w:tc>
        <w:tc>
          <w:tcPr>
            <w:tcW w:type="dxa" w:w="2189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WB4: Clinical Assessment, Interviewing, and Mental Status</w:t>
            </w:r>
          </w:p>
        </w:tc>
        <w:tc>
          <w:tcPr>
            <w:tcW w:type="dxa" w:w="5400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Complete the full CTA study cycle and record score, timing, and error type.</w:t>
            </w:r>
          </w:p>
        </w:tc>
        <w:tc>
          <w:tcPr>
            <w:tcW w:type="dxa" w:w="151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WB4 complete</w:t>
            </w:r>
          </w:p>
        </w:tc>
      </w:tr>
      <w:tr>
        <w:trPr>
          <w:cantSplit/>
        </w:trPr>
        <w:tc>
          <w:tcPr>
            <w:tcW w:type="dxa" w:w="79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6</w:t>
            </w:r>
          </w:p>
        </w:tc>
        <w:tc>
          <w:tcPr>
            <w:tcW w:type="dxa" w:w="2189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WB5: Diagnosis, Medical Factors, and Psychopharmacology</w:t>
            </w:r>
          </w:p>
        </w:tc>
        <w:tc>
          <w:tcPr>
            <w:tcW w:type="dxa" w:w="5400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Complete the full CTA study cycle and record score, timing, and error type.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WB5 complete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7</w:t>
            </w:r>
          </w:p>
        </w:tc>
        <w:tc>
          <w:tcPr>
            <w:tcW w:type="dxa" w:w="2189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WB6: Crisis, Abuse, and Risk Assessment</w:t>
            </w:r>
          </w:p>
        </w:tc>
        <w:tc>
          <w:tcPr>
            <w:tcW w:type="dxa" w:w="5400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Complete the full CTA study cycle and record score, timing, and error type.</w:t>
            </w:r>
          </w:p>
        </w:tc>
        <w:tc>
          <w:tcPr>
            <w:tcW w:type="dxa" w:w="151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WB6 complete</w:t>
            </w:r>
          </w:p>
        </w:tc>
      </w:tr>
      <w:tr>
        <w:trPr>
          <w:cantSplit/>
        </w:trPr>
        <w:tc>
          <w:tcPr>
            <w:tcW w:type="dxa" w:w="79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8</w:t>
            </w:r>
          </w:p>
        </w:tc>
        <w:tc>
          <w:tcPr>
            <w:tcW w:type="dxa" w:w="2189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WB7: Treatment and Service Planning</w:t>
            </w:r>
          </w:p>
        </w:tc>
        <w:tc>
          <w:tcPr>
            <w:tcW w:type="dxa" w:w="5400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Complete the full CTA study cycle and record score, timing, and error type.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WB7 complete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9</w:t>
            </w:r>
          </w:p>
        </w:tc>
        <w:tc>
          <w:tcPr>
            <w:tcW w:type="dxa" w:w="2189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WB8: Clinical Interventions and Trauma-Informed Practice</w:t>
            </w:r>
          </w:p>
        </w:tc>
        <w:tc>
          <w:tcPr>
            <w:tcW w:type="dxa" w:w="5400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Complete the full CTA study cycle and record score, timing, and error type.</w:t>
            </w:r>
          </w:p>
        </w:tc>
        <w:tc>
          <w:tcPr>
            <w:tcW w:type="dxa" w:w="151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WB8 complete</w:t>
            </w:r>
          </w:p>
        </w:tc>
      </w:tr>
      <w:tr>
        <w:trPr>
          <w:cantSplit/>
        </w:trPr>
        <w:tc>
          <w:tcPr>
            <w:tcW w:type="dxa" w:w="79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10</w:t>
            </w:r>
          </w:p>
        </w:tc>
        <w:tc>
          <w:tcPr>
            <w:tcW w:type="dxa" w:w="2189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WB9: Family, Couple, Group, and Parenting Interventions</w:t>
            </w:r>
          </w:p>
        </w:tc>
        <w:tc>
          <w:tcPr>
            <w:tcW w:type="dxa" w:w="5400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Complete the full CTA study cycle and record score, timing, and error type.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WB9 complete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11</w:t>
            </w:r>
          </w:p>
        </w:tc>
        <w:tc>
          <w:tcPr>
            <w:tcW w:type="dxa" w:w="2189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WB10: Case Management, Advocacy, Resources, and Collaboration</w:t>
            </w:r>
          </w:p>
        </w:tc>
        <w:tc>
          <w:tcPr>
            <w:tcW w:type="dxa" w:w="5400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Complete the full CTA study cycle and record score, timing, and error type.</w:t>
            </w:r>
          </w:p>
        </w:tc>
        <w:tc>
          <w:tcPr>
            <w:tcW w:type="dxa" w:w="151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WB10 complete</w:t>
            </w:r>
          </w:p>
        </w:tc>
      </w:tr>
      <w:tr>
        <w:trPr>
          <w:cantSplit/>
        </w:trPr>
        <w:tc>
          <w:tcPr>
            <w:tcW w:type="dxa" w:w="79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12</w:t>
            </w:r>
          </w:p>
        </w:tc>
        <w:tc>
          <w:tcPr>
            <w:tcW w:type="dxa" w:w="2189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WB11: Practice Evaluation, Research, Supervision, and Administration</w:t>
            </w:r>
          </w:p>
        </w:tc>
        <w:tc>
          <w:tcPr>
            <w:tcW w:type="dxa" w:w="5400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Complete the full CTA study cycle and record score, timing, and error type.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WB11 complete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13</w:t>
            </w:r>
          </w:p>
        </w:tc>
        <w:tc>
          <w:tcPr>
            <w:tcW w:type="dxa" w:w="2189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WB12: Integrated Review and 25-Question Mini-Mock</w:t>
            </w:r>
          </w:p>
        </w:tc>
        <w:tc>
          <w:tcPr>
            <w:tcW w:type="dxa" w:w="5400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Complete the full CTA study cycle and record score, timing, and error type.</w:t>
            </w:r>
          </w:p>
        </w:tc>
        <w:tc>
          <w:tcPr>
            <w:tcW w:type="dxa" w:w="151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WB12 complete</w:t>
            </w:r>
          </w:p>
        </w:tc>
      </w:tr>
      <w:tr>
        <w:trPr>
          <w:cantSplit/>
        </w:trPr>
        <w:tc>
          <w:tcPr>
            <w:tcW w:type="dxa" w:w="79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14</w:t>
            </w:r>
          </w:p>
        </w:tc>
        <w:tc>
          <w:tcPr>
            <w:tcW w:type="dxa" w:w="2189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Cumulative Review and Catch-Up</w:t>
            </w:r>
          </w:p>
        </w:tc>
        <w:tc>
          <w:tcPr>
            <w:tcW w:type="dxa" w:w="5400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Finish incomplete work; revisit repeated error patterns; review quick-reference notes.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All curriculum complete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15</w:t>
            </w:r>
          </w:p>
        </w:tc>
        <w:tc>
          <w:tcPr>
            <w:tcW w:type="dxa" w:w="2189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Form A Simulation</w:t>
            </w:r>
          </w:p>
        </w:tc>
        <w:tc>
          <w:tcPr>
            <w:tcW w:type="dxa" w:w="5400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Take Form A under full simulated conditions; do not preview rationales.</w:t>
            </w:r>
          </w:p>
        </w:tc>
        <w:tc>
          <w:tcPr>
            <w:tcW w:type="dxa" w:w="151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Form A submitted</w:t>
            </w:r>
          </w:p>
        </w:tc>
      </w:tr>
      <w:tr>
        <w:trPr>
          <w:cantSplit/>
        </w:trPr>
        <w:tc>
          <w:tcPr>
            <w:tcW w:type="dxa" w:w="79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16</w:t>
            </w:r>
          </w:p>
        </w:tc>
        <w:tc>
          <w:tcPr>
            <w:tcW w:type="dxa" w:w="2189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Form A Remediation</w:t>
            </w:r>
          </w:p>
        </w:tc>
        <w:tc>
          <w:tcPr>
            <w:tcW w:type="dxa" w:w="5400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Review domain performance; classify misses; complete targeted workbook and rationale review.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Remediation complete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17</w:t>
            </w:r>
          </w:p>
        </w:tc>
        <w:tc>
          <w:tcPr>
            <w:tcW w:type="dxa" w:w="2189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Form B Simulation</w:t>
            </w:r>
          </w:p>
        </w:tc>
        <w:tc>
          <w:tcPr>
            <w:tcW w:type="dxa" w:w="5400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Take Form B under full simulated conditions; preserve pacing and section discipline.</w:t>
            </w:r>
          </w:p>
        </w:tc>
        <w:tc>
          <w:tcPr>
            <w:tcW w:type="dxa" w:w="151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Form B submitted</w:t>
            </w:r>
          </w:p>
        </w:tc>
      </w:tr>
      <w:tr>
        <w:trPr>
          <w:cantSplit/>
        </w:trPr>
        <w:tc>
          <w:tcPr>
            <w:tcW w:type="dxa" w:w="79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18</w:t>
            </w:r>
          </w:p>
        </w:tc>
        <w:tc>
          <w:tcPr>
            <w:tcW w:type="dxa" w:w="2189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Final Readiness and Exam-Week Plan</w:t>
            </w:r>
          </w:p>
        </w:tc>
        <w:tc>
          <w:tcPr>
            <w:tcW w:type="dxa" w:w="5400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Interpret patterns, review only high-priority gaps, finalize logistics and recovery plan.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Readiness plan complete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Workbook Map and Completion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691"/>
            <w:shd w:fill="17365D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No.</w:t>
            </w:r>
          </w:p>
        </w:tc>
        <w:tc>
          <w:tcPr>
            <w:tcW w:type="dxa" w:w="5688"/>
            <w:shd w:fill="17365D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Workbook Topic</w:t>
            </w:r>
          </w:p>
        </w:tc>
        <w:tc>
          <w:tcPr>
            <w:tcW w:type="dxa" w:w="835"/>
            <w:shd w:fill="17365D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Preview</w:t>
            </w:r>
          </w:p>
        </w:tc>
        <w:tc>
          <w:tcPr>
            <w:tcW w:type="dxa" w:w="1008"/>
            <w:shd w:fill="17365D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Workbook</w:t>
            </w:r>
          </w:p>
        </w:tc>
        <w:tc>
          <w:tcPr>
            <w:tcW w:type="dxa" w:w="792"/>
            <w:shd w:fill="17365D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Bank</w:t>
            </w:r>
          </w:p>
        </w:tc>
        <w:tc>
          <w:tcPr>
            <w:tcW w:type="dxa" w:w="1123"/>
            <w:shd w:fill="17365D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Remediation</w:t>
            </w:r>
          </w:p>
        </w:tc>
      </w:tr>
      <w:tr>
        <w:trPr>
          <w:cantSplit/>
        </w:trPr>
        <w:tc>
          <w:tcPr>
            <w:tcW w:type="dxa" w:w="691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WB1</w:t>
            </w:r>
          </w:p>
        </w:tc>
        <w:tc>
          <w:tcPr>
            <w:tcW w:type="dxa" w:w="5688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ASWB Exam Strategy and Applied Reasoning</w:t>
            </w:r>
          </w:p>
        </w:tc>
        <w:tc>
          <w:tcPr>
            <w:tcW w:type="dxa" w:w="835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79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1123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WB2</w:t>
            </w:r>
          </w:p>
        </w:tc>
        <w:tc>
          <w:tcPr>
            <w:tcW w:type="dxa" w:w="5688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Values, Ethics, Self-Determination, and Social Justice</w:t>
            </w:r>
          </w:p>
        </w:tc>
        <w:tc>
          <w:tcPr>
            <w:tcW w:type="dxa" w:w="835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1008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79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1123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691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WB3</w:t>
            </w:r>
          </w:p>
        </w:tc>
        <w:tc>
          <w:tcPr>
            <w:tcW w:type="dxa" w:w="5688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Human Development, Diversity, and Person-in-Environment</w:t>
            </w:r>
          </w:p>
        </w:tc>
        <w:tc>
          <w:tcPr>
            <w:tcW w:type="dxa" w:w="835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79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1123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WB4</w:t>
            </w:r>
          </w:p>
        </w:tc>
        <w:tc>
          <w:tcPr>
            <w:tcW w:type="dxa" w:w="5688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Clinical Assessment, Interviewing, and Mental Status</w:t>
            </w:r>
          </w:p>
        </w:tc>
        <w:tc>
          <w:tcPr>
            <w:tcW w:type="dxa" w:w="835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1008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79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1123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691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WB5</w:t>
            </w:r>
          </w:p>
        </w:tc>
        <w:tc>
          <w:tcPr>
            <w:tcW w:type="dxa" w:w="5688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Diagnosis, Medical Factors, and Psychopharmacology</w:t>
            </w:r>
          </w:p>
        </w:tc>
        <w:tc>
          <w:tcPr>
            <w:tcW w:type="dxa" w:w="835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79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1123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WB6</w:t>
            </w:r>
          </w:p>
        </w:tc>
        <w:tc>
          <w:tcPr>
            <w:tcW w:type="dxa" w:w="5688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Crisis, Abuse, and Risk Assessment</w:t>
            </w:r>
          </w:p>
        </w:tc>
        <w:tc>
          <w:tcPr>
            <w:tcW w:type="dxa" w:w="835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1008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79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1123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691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WB7</w:t>
            </w:r>
          </w:p>
        </w:tc>
        <w:tc>
          <w:tcPr>
            <w:tcW w:type="dxa" w:w="5688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Treatment and Service Planning</w:t>
            </w:r>
          </w:p>
        </w:tc>
        <w:tc>
          <w:tcPr>
            <w:tcW w:type="dxa" w:w="835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79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1123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WB8</w:t>
            </w:r>
          </w:p>
        </w:tc>
        <w:tc>
          <w:tcPr>
            <w:tcW w:type="dxa" w:w="5688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Clinical Interventions and Trauma-Informed Practice</w:t>
            </w:r>
          </w:p>
        </w:tc>
        <w:tc>
          <w:tcPr>
            <w:tcW w:type="dxa" w:w="835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1008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79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1123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691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WB9</w:t>
            </w:r>
          </w:p>
        </w:tc>
        <w:tc>
          <w:tcPr>
            <w:tcW w:type="dxa" w:w="5688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Family, Couple, Group, and Parenting Interventions</w:t>
            </w:r>
          </w:p>
        </w:tc>
        <w:tc>
          <w:tcPr>
            <w:tcW w:type="dxa" w:w="835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79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1123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WB10</w:t>
            </w:r>
          </w:p>
        </w:tc>
        <w:tc>
          <w:tcPr>
            <w:tcW w:type="dxa" w:w="5688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Case Management, Advocacy, Resources, and Collaboration</w:t>
            </w:r>
          </w:p>
        </w:tc>
        <w:tc>
          <w:tcPr>
            <w:tcW w:type="dxa" w:w="835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1008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79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1123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691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WB11</w:t>
            </w:r>
          </w:p>
        </w:tc>
        <w:tc>
          <w:tcPr>
            <w:tcW w:type="dxa" w:w="5688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Practice Evaluation, Research, Supervision, and Administration</w:t>
            </w:r>
          </w:p>
        </w:tc>
        <w:tc>
          <w:tcPr>
            <w:tcW w:type="dxa" w:w="835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79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1123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WB12</w:t>
            </w:r>
          </w:p>
        </w:tc>
        <w:tc>
          <w:tcPr>
            <w:tcW w:type="dxa" w:w="5688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Integrated Review and 25-Question Mini-Mock</w:t>
            </w:r>
          </w:p>
        </w:tc>
        <w:tc>
          <w:tcPr>
            <w:tcW w:type="dxa" w:w="835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1008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792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  <w:tc>
          <w:tcPr>
            <w:tcW w:type="dxa" w:w="1123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[ ]</w:t>
            </w:r>
          </w:p>
        </w:tc>
      </w:tr>
    </w:tbl>
    <w:p>
      <w:pPr>
        <w:spacing w:after="0"/>
      </w:pPr>
    </w:p>
    <w:p>
      <w:r>
        <w:t>Record the bank score, time used, and dominant error type in your error log. Completion means the rationale review and remediation check are finished—not only that the questions were answered.</w:t>
      </w:r>
    </w:p>
    <w:p>
      <w:pPr>
        <w:pStyle w:val="Heading1"/>
      </w:pPr>
      <w:r>
        <w:t>8. Weekly Planning Page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3024"/>
            <w:shd w:fill="17365D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Planning Prompt</w:t>
            </w:r>
          </w:p>
        </w:tc>
        <w:tc>
          <w:tcPr>
            <w:tcW w:type="dxa" w:w="7056"/>
            <w:shd w:fill="17365D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Your Entry</w:t>
            </w:r>
          </w:p>
        </w:tc>
      </w:tr>
      <w:tr>
        <w:trPr>
          <w:cantSplit/>
        </w:trPr>
        <w:tc>
          <w:tcPr>
            <w:tcW w:type="dxa" w:w="3024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Week / dates</w:t>
            </w:r>
          </w:p>
        </w:tc>
        <w:tc>
          <w:tcPr>
            <w:tcW w:type="dxa" w:w="7056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</w:r>
          </w:p>
        </w:tc>
      </w:tr>
      <w:tr>
        <w:trPr>
          <w:cantSplit/>
        </w:trPr>
        <w:tc>
          <w:tcPr>
            <w:tcW w:type="dxa" w:w="3024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Primary workbook or simulation</w:t>
            </w:r>
          </w:p>
        </w:tc>
        <w:tc>
          <w:tcPr>
            <w:tcW w:type="dxa" w:w="7056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</w:r>
          </w:p>
        </w:tc>
      </w:tr>
      <w:tr>
        <w:trPr>
          <w:cantSplit/>
        </w:trPr>
        <w:tc>
          <w:tcPr>
            <w:tcW w:type="dxa" w:w="3024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Protected study blocks</w:t>
            </w:r>
          </w:p>
        </w:tc>
        <w:tc>
          <w:tcPr>
            <w:tcW w:type="dxa" w:w="7056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</w:r>
          </w:p>
        </w:tc>
      </w:tr>
      <w:tr>
        <w:trPr>
          <w:cantSplit/>
        </w:trPr>
        <w:tc>
          <w:tcPr>
            <w:tcW w:type="dxa" w:w="3024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Workbook preview completed</w:t>
            </w:r>
          </w:p>
        </w:tc>
        <w:tc>
          <w:tcPr>
            <w:tcW w:type="dxa" w:w="7056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3024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Workbook completed</w:t>
            </w:r>
          </w:p>
        </w:tc>
        <w:tc>
          <w:tcPr>
            <w:tcW w:type="dxa" w:w="7056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3024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Question bank submitted</w:t>
            </w:r>
          </w:p>
        </w:tc>
        <w:tc>
          <w:tcPr>
            <w:tcW w:type="dxa" w:w="7056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3024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Rationales reviewed</w:t>
            </w:r>
          </w:p>
        </w:tc>
        <w:tc>
          <w:tcPr>
            <w:tcW w:type="dxa" w:w="7056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3024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Top three errors or weak rules</w:t>
            </w:r>
          </w:p>
        </w:tc>
        <w:tc>
          <w:tcPr>
            <w:tcW w:type="dxa" w:w="7056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1.</w:t>
              <w:br/>
              <w:t>2.</w:t>
              <w:br/>
              <w:t>3.</w:t>
            </w:r>
          </w:p>
        </w:tc>
      </w:tr>
      <w:tr>
        <w:trPr>
          <w:cantSplit/>
        </w:trPr>
        <w:tc>
          <w:tcPr>
            <w:tcW w:type="dxa" w:w="3024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Remediation action</w:t>
            </w:r>
          </w:p>
        </w:tc>
        <w:tc>
          <w:tcPr>
            <w:tcW w:type="dxa" w:w="7056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</w:r>
          </w:p>
        </w:tc>
      </w:tr>
      <w:tr>
        <w:trPr>
          <w:cantSplit/>
        </w:trPr>
        <w:tc>
          <w:tcPr>
            <w:tcW w:type="dxa" w:w="3024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Next-week carryover</w:t>
            </w:r>
          </w:p>
        </w:tc>
        <w:tc>
          <w:tcPr>
            <w:tcW w:type="dxa" w:w="7056"/>
            <w:shd w:fill="F3F7FA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Form A and Form B Simulation Rules</w:t>
      </w:r>
    </w:p>
    <w:p>
      <w:pPr>
        <w:pStyle w:val="ListBullet"/>
        <w:spacing w:after="40"/>
      </w:pPr>
      <w:r>
        <w:t>Complete all 12 workbooks and associated practice banks before Form A.</w:t>
      </w:r>
    </w:p>
    <w:p>
      <w:pPr>
        <w:pStyle w:val="ListBullet"/>
        <w:spacing w:after="40"/>
      </w:pPr>
      <w:r>
        <w:t>Use full simulated conditions: protected time, planned breaks, no answer checking, and no outside references.</w:t>
      </w:r>
    </w:p>
    <w:p>
      <w:pPr>
        <w:pStyle w:val="ListBullet"/>
        <w:spacing w:after="40"/>
      </w:pPr>
      <w:r>
        <w:t>Do not treat Form A as casual practice. Its value comes from showing remaining gaps under realistic conditions.</w:t>
      </w:r>
    </w:p>
    <w:p>
      <w:pPr>
        <w:pStyle w:val="ListBullet"/>
        <w:spacing w:after="40"/>
      </w:pPr>
      <w:r>
        <w:t>After Form A, classify misses by content gap, sequencing error, task-word error, distractor attraction, overthinking, or pacing.</w:t>
      </w:r>
    </w:p>
    <w:p>
      <w:pPr>
        <w:pStyle w:val="ListBullet"/>
        <w:spacing w:after="40"/>
      </w:pPr>
      <w:r>
        <w:t>Complete the required remediation before unlocking Form B.</w:t>
      </w:r>
    </w:p>
    <w:p>
      <w:pPr>
        <w:pStyle w:val="ListBullet"/>
        <w:spacing w:after="40"/>
      </w:pPr>
      <w:r>
        <w:t>Use Form B as the final readiness simulation; restrict casual retakes so the result remains meaningful.</w:t>
      </w:r>
    </w:p>
    <w:p>
      <w:pPr>
        <w:pStyle w:val="ListBullet"/>
        <w:spacing w:after="40"/>
      </w:pPr>
      <w:r>
        <w:t>Interpret results as developing, progressing, needs targeted review, or ready for final simulation—not as an official licensing-exam passing score.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4D6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after="40"/>
            </w:pPr>
            <w:r>
              <w:rPr>
                <w:b/>
                <w:color w:val="17365D"/>
              </w:rPr>
              <w:t xml:space="preserve">Protect the diagnostic value:  </w:t>
            </w:r>
            <w:r>
              <w:rPr>
                <w:color w:val="24313D"/>
              </w:rPr>
              <w:t>Never place the answer key behind the student exam or review detailed rationales before the complete attempt is submitted.</w:t>
            </w:r>
          </w:p>
        </w:tc>
        <w:trPr>
          <w:tblHeader/>
        </w:trPr>
      </w:tr>
    </w:tbl>
    <w:p>
      <w:pPr>
        <w:pStyle w:val="Heading1"/>
      </w:pPr>
      <w:r>
        <w:t>10. Final Readiness Checklist</w:t>
      </w:r>
    </w:p>
    <w:p>
      <w:pPr>
        <w:spacing w:after="60"/>
      </w:pPr>
      <w:r>
        <w:t>[ ]  All 12 workbooks are complete.</w:t>
      </w:r>
    </w:p>
    <w:p>
      <w:pPr>
        <w:spacing w:after="60"/>
      </w:pPr>
      <w:r>
        <w:t>[ ]  All 12 workbook question banks were submitted before rationale review.</w:t>
      </w:r>
    </w:p>
    <w:p>
      <w:pPr>
        <w:spacing w:after="60"/>
      </w:pPr>
      <w:r>
        <w:t>[ ]  My error log identifies repeated reasoning patterns, not only missed topics.</w:t>
      </w:r>
    </w:p>
    <w:p>
      <w:pPr>
        <w:spacing w:after="60"/>
      </w:pPr>
      <w:r>
        <w:t>[ ]  I can distinguish assessment, intervention, evaluation, and follow-up decisions.</w:t>
      </w:r>
    </w:p>
    <w:p>
      <w:pPr>
        <w:spacing w:after="60"/>
      </w:pPr>
      <w:r>
        <w:t>[ ]  I can identify what FIRST, NEXT, BEST, and MOST appropriate are asking me to do.</w:t>
      </w:r>
    </w:p>
    <w:p>
      <w:pPr>
        <w:spacing w:after="60"/>
      </w:pPr>
      <w:r>
        <w:t>[ ]  I completed Form A under simulated conditions and finished targeted remediation.</w:t>
      </w:r>
    </w:p>
    <w:p>
      <w:pPr>
        <w:spacing w:after="60"/>
      </w:pPr>
      <w:r>
        <w:t>[ ]  I completed Form B under simulated conditions.</w:t>
      </w:r>
    </w:p>
    <w:p>
      <w:pPr>
        <w:spacing w:after="60"/>
      </w:pPr>
      <w:r>
        <w:t>[ ]  My pacing plan includes recovery steps for decision fatigue or anxiety.</w:t>
      </w:r>
    </w:p>
    <w:p>
      <w:pPr>
        <w:spacing w:after="60"/>
      </w:pPr>
      <w:r>
        <w:t>[ ]  My final review is narrow and targeted rather than a complete restart of the curriculum.</w:t>
      </w:r>
    </w:p>
    <w:p>
      <w:pPr>
        <w:spacing w:after="60"/>
      </w:pPr>
      <w:r>
        <w:t>[ ]  My exam-day logistics, identification, transportation, meals, and sleep plan are confirmed.</w:t>
      </w:r>
    </w:p>
    <w:p>
      <w:pPr>
        <w:pStyle w:val="Heading1"/>
      </w:pPr>
      <w:r>
        <w:t>11. Student Commitment</w:t>
      </w:r>
    </w:p>
    <w:p>
      <w:r>
        <w:t>I will follow the selected schedule, submit practice before reviewing answers, use rationales to repair reasoning, and protect the value of the comprehensive simulations.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160"/>
            <w:shd w:fill="17365D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Selected Pace</w:t>
            </w:r>
          </w:p>
        </w:tc>
        <w:tc>
          <w:tcPr>
            <w:tcW w:type="dxa" w:w="2592"/>
            <w:shd w:fill="17365D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Start Date</w:t>
            </w:r>
          </w:p>
        </w:tc>
        <w:tc>
          <w:tcPr>
            <w:tcW w:type="dxa" w:w="2592"/>
            <w:shd w:fill="17365D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Target Form A Date</w:t>
            </w:r>
          </w:p>
        </w:tc>
        <w:tc>
          <w:tcPr>
            <w:tcW w:type="dxa" w:w="2592"/>
            <w:shd w:fill="17365D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Target Form B Date</w:t>
            </w:r>
          </w:p>
        </w:tc>
      </w:tr>
      <w:tr>
        <w:trPr>
          <w:cantSplit/>
        </w:trPr>
        <w:tc>
          <w:tcPr>
            <w:tcW w:type="dxa" w:w="2160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10 / 14 / 18 weeks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</w:r>
          </w:p>
        </w:tc>
      </w:tr>
    </w:tbl>
    <w:p>
      <w:pPr>
        <w:spacing w:after="0"/>
      </w:pPr>
    </w:p>
    <w:p>
      <w:r>
        <w:br/>
        <w:t>Student name: ____________________________________    Date: ____________________</w:t>
      </w:r>
    </w:p>
    <w:p>
      <w:pPr>
        <w:pStyle w:val="IntenseQuote"/>
      </w:pPr>
      <w:r>
        <w:br/>
        <w:t>This educational review program supports exam preparation but does not guarantee passage, determine licensing eligibility, or replace current official examination and regulatory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8737D"/>
        <w:sz w:val="16"/>
      </w:rPr>
      <w:t xml:space="preserve">Clinical Training Academy |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TASmallCaps"/>
      <w:jc w:val="right"/>
    </w:pPr>
    <w:r>
      <w:t>CLINICAL TRAINING ACADEMY  •  STUDENT SUCCESS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431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7A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20" w:after="80"/>
    </w:pPr>
    <w:rPr>
      <w:rFonts w:asciiTheme="majorHAnsi" w:eastAsiaTheme="majorEastAsia" w:hAnsiTheme="majorHAnsi" w:cstheme="majorBidi" w:ascii="Arial" w:hAnsi="Arial"/>
      <w:b/>
      <w:i/>
      <w:iCs/>
      <w:color w:val="1F7A8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ASmallCaps">
    <w:name w:val="CTA Small Caps"/>
    <w:pPr>
      <w:spacing w:after="40"/>
    </w:pPr>
    <w:rPr>
      <w:rFonts w:ascii="Arial" w:hAnsi="Arial"/>
      <w:b/>
      <w:color w:val="1F7A8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LCSW ASWB Clinical Student Roadmap and Study Schedules</dc:title>
  <dc:subject>10-, 14-, and 18-week study schedules for the ASWB Clinical exam</dc:subject>
  <dc:creator>Clinical Training and Supervision Academy</dc:creator>
  <cp:keywords>CTA, LCSW, ASWB Clinical, exam preparation, August 2026</cp:keywords>
  <dc:description>Initial release package prepared for website and LMS implementation.</dc:description>
  <cp:lastModifiedBy>Clinical Training and Supervision Academy</cp:lastModifiedBy>
  <cp:revision>1</cp:revision>
  <dcterms:created xsi:type="dcterms:W3CDTF">2013-12-23T23:15:00Z</dcterms:created>
  <dcterms:modified xsi:type="dcterms:W3CDTF">2013-12-23T23:15:00Z</dcterms:modified>
  <cp:category/>
</cp:coreProperties>
</file>