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12: Integrated Review and 25-Question Mini-Mock</w:t>
      </w:r>
    </w:p>
    <w:p>
      <w:pPr>
        <w:spacing w:after="240"/>
        <w:jc w:val="center"/>
      </w:pPr>
      <w:r>
        <w:rPr>
          <w:b w:val="0"/>
          <w:i/>
          <w:color w:val="5B6573"/>
          <w:sz w:val="24"/>
        </w:rPr>
        <w:t>How to integrate Values and Ethics, Assessment and Planning, and Intervention and Practice under timed, mixed-question conditions</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Use the first half for integrated review and the second half as a 25-question timed mini-mock. Complete the mini-mock without notes in approximately 50 minutes, record confidence without changing answers impulsively, and then review every rationale. The 25 items are scaled to the current Clinical blueprint at 9 Values and Ethics, 8 Assessment and Planning, and 8 Intervention and Practice questions. This is not a full 122-question examination simulation.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Current Exam Structure and Mini-Mock Note</w:t>
            </w:r>
          </w:p>
          <w:p>
            <w:pPr>
              <w:spacing w:after="0"/>
            </w:pPr>
            <w:r>
              <w:t>For Clinical exams administered on or after August 3, 2026, the ASWB examination contains 122 questions: 110 scored and 12 unscored. It is divided into two 61-question sections with two hours per section and an optional scheduled break after the first section. The Clinical blueprint is 36% Values and Ethics, 32% Assessment and Planning, and 32% Intervention and Practice. This workbook contains a 25-question mini-mock scaled to 9/8/8. It is a learning tool, not a full-length simulation or a predictor of a passing score.</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Practice-Test Boundary</w:t>
            </w:r>
          </w:p>
          <w:p>
            <w:pPr>
              <w:spacing w:after="0"/>
            </w:pPr>
            <w:r>
              <w:t>This CTA mini-mock is an original learning tool. It is shorter than the licensing examination, is not scaled, and cannot predict an official passing score.</w:t>
            </w:r>
          </w:p>
        </w:tc>
      </w:tr>
    </w:tbl>
    <w:p>
      <w:pPr>
        <w:spacing w:after="0"/>
      </w:pPr>
    </w:p>
    <w:p>
      <w:pPr>
        <w:pStyle w:val="Heading1"/>
      </w:pPr>
      <w:r>
        <w:t>Learning Objectives</w:t>
      </w:r>
    </w:p>
    <w:p>
      <w:pPr>
        <w:pStyle w:val="ListBullet"/>
      </w:pPr>
      <w:r>
        <w:t>Identify the content area, professional role, decision word, and stage of practice being tested in mixed Clinical vignettes without adding facts that are not provided.</w:t>
      </w:r>
    </w:p>
    <w:p>
      <w:pPr>
        <w:pStyle w:val="ListBullet"/>
      </w:pPr>
      <w:r>
        <w:t>Apply FIRST, NEXT, BEST, MOST, and INITIAL sequencing while prioritizing safety, medical urgency, legal and ethical duties, capacity, consent, confidentiality, competence, and role clarity.</w:t>
      </w:r>
    </w:p>
    <w:p>
      <w:pPr>
        <w:pStyle w:val="ListBullet"/>
      </w:pPr>
      <w:r>
        <w:t>Integrate self-determination, cultural humility, accessibility, person-in-environment assessment, strengths, structural barriers, and client or client-system participation.</w:t>
      </w:r>
    </w:p>
    <w:p>
      <w:pPr>
        <w:pStyle w:val="ListBullet"/>
      </w:pPr>
      <w:r>
        <w:t>Differentiate engagement, assessment, diagnosis, planning, intervention, referral, coordination, supervision, evaluation, and administration and select the least intrusive effective next step.</w:t>
      </w:r>
    </w:p>
    <w:p>
      <w:pPr>
        <w:pStyle w:val="ListBullet"/>
      </w:pPr>
      <w:r>
        <w:t>Use time, confidence ratings, focused review, and error analysis to strengthen content knowledge, sequencing, distractor recognition, and readiness for a full-length exam simulation.</w:t>
      </w:r>
    </w:p>
    <w:p>
      <w:pPr>
        <w:pStyle w:val="Heading1"/>
      </w:pPr>
      <w:r>
        <w:t>1. The Three Content Areas</w:t>
      </w:r>
    </w:p>
    <w:tbl>
      <w:tblPr>
        <w:tblStyle w:val="TableGrid"/>
        <w:tblW w:type="auto" w:w="0"/>
        <w:jc w:val="center"/>
        <w:tblLayout w:type="fixed"/>
        <w:tblLook w:firstColumn="1" w:firstRow="1" w:lastColumn="0" w:lastRow="0" w:noHBand="0" w:noVBand="1" w:val="04A0"/>
      </w:tblPr>
      <w:tblGrid>
        <w:gridCol w:w="2088"/>
        <w:gridCol w:w="936"/>
        <w:gridCol w:w="4608"/>
        <w:gridCol w:w="2304"/>
      </w:tblGrid>
      <w:tr>
        <w:trPr>
          <w:tblHeader w:val="true"/>
          <w:cantSplit/>
        </w:trPr>
        <w:tc>
          <w:tcPr>
            <w:tcW w:type="dxa" w:w="2520"/>
            <w:shd w:fill="17365D"/>
            <w:tcMar>
              <w:top w:w="100" w:type="dxa"/>
              <w:start w:w="120" w:type="dxa"/>
              <w:bottom w:w="100" w:type="dxa"/>
              <w:end w:w="120" w:type="dxa"/>
            </w:tcMar>
          </w:tcPr>
          <w:p>
            <w:pPr>
              <w:spacing w:after="0"/>
            </w:pPr>
            <w:r>
              <w:rPr>
                <w:b/>
                <w:color w:val="FFFFFF"/>
                <w:sz w:val="16"/>
              </w:rPr>
              <w:t>Content Area</w:t>
            </w:r>
          </w:p>
        </w:tc>
        <w:tc>
          <w:tcPr>
            <w:tcW w:type="dxa" w:w="2520"/>
            <w:shd w:fill="17365D"/>
            <w:tcMar>
              <w:top w:w="100" w:type="dxa"/>
              <w:start w:w="120" w:type="dxa"/>
              <w:bottom w:w="100" w:type="dxa"/>
              <w:end w:w="120" w:type="dxa"/>
            </w:tcMar>
          </w:tcPr>
          <w:p>
            <w:pPr>
              <w:spacing w:after="0"/>
            </w:pPr>
            <w:r>
              <w:rPr>
                <w:b/>
                <w:color w:val="FFFFFF"/>
                <w:sz w:val="16"/>
              </w:rPr>
              <w:t>Weight</w:t>
            </w:r>
          </w:p>
        </w:tc>
        <w:tc>
          <w:tcPr>
            <w:tcW w:type="dxa" w:w="2520"/>
            <w:shd w:fill="17365D"/>
            <w:tcMar>
              <w:top w:w="100" w:type="dxa"/>
              <w:start w:w="120" w:type="dxa"/>
              <w:bottom w:w="100" w:type="dxa"/>
              <w:end w:w="120" w:type="dxa"/>
            </w:tcMar>
          </w:tcPr>
          <w:p>
            <w:pPr>
              <w:spacing w:after="0"/>
            </w:pPr>
            <w:r>
              <w:rPr>
                <w:b/>
                <w:color w:val="FFFFFF"/>
                <w:sz w:val="16"/>
              </w:rPr>
              <w:t>Primary Decision Focus</w:t>
            </w:r>
          </w:p>
        </w:tc>
        <w:tc>
          <w:tcPr>
            <w:tcW w:type="dxa" w:w="2520"/>
            <w:shd w:fill="17365D"/>
            <w:tcMar>
              <w:top w:w="100" w:type="dxa"/>
              <w:start w:w="120" w:type="dxa"/>
              <w:bottom w:w="100" w:type="dxa"/>
              <w:end w:w="120" w:type="dxa"/>
            </w:tcMar>
          </w:tcPr>
          <w:p>
            <w:pPr>
              <w:spacing w:after="0"/>
            </w:pPr>
            <w:r>
              <w:rPr>
                <w:b/>
                <w:color w:val="FFFFFF"/>
                <w:sz w:val="16"/>
              </w:rPr>
              <w:t>Common Distractor</w:t>
            </w:r>
          </w:p>
        </w:tc>
      </w:tr>
      <w:tr>
        <w:trPr>
          <w:cantSplit/>
        </w:trPr>
        <w:tc>
          <w:tcPr>
            <w:tcW w:type="dxa" w:w="2088"/>
            <w:tcMar>
              <w:top w:w="100" w:type="dxa"/>
              <w:start w:w="120" w:type="dxa"/>
              <w:bottom w:w="100" w:type="dxa"/>
              <w:end w:w="120" w:type="dxa"/>
            </w:tcMar>
          </w:tcPr>
          <w:p>
            <w:pPr>
              <w:spacing w:after="0"/>
            </w:pPr>
            <w:r>
              <w:rPr>
                <w:sz w:val="16"/>
              </w:rPr>
              <w:t>Values and Ethics</w:t>
            </w:r>
          </w:p>
        </w:tc>
        <w:tc>
          <w:tcPr>
            <w:tcW w:type="dxa" w:w="936"/>
            <w:tcMar>
              <w:top w:w="100" w:type="dxa"/>
              <w:start w:w="120" w:type="dxa"/>
              <w:bottom w:w="100" w:type="dxa"/>
              <w:end w:w="120" w:type="dxa"/>
            </w:tcMar>
          </w:tcPr>
          <w:p>
            <w:pPr>
              <w:spacing w:after="0"/>
            </w:pPr>
            <w:r>
              <w:rPr>
                <w:sz w:val="16"/>
              </w:rPr>
              <w:t>36%</w:t>
            </w:r>
          </w:p>
        </w:tc>
        <w:tc>
          <w:tcPr>
            <w:tcW w:type="dxa" w:w="4608"/>
            <w:tcMar>
              <w:top w:w="100" w:type="dxa"/>
              <w:start w:w="120" w:type="dxa"/>
              <w:bottom w:w="100" w:type="dxa"/>
              <w:end w:w="120" w:type="dxa"/>
            </w:tcMar>
          </w:tcPr>
          <w:p>
            <w:pPr>
              <w:spacing w:after="0"/>
            </w:pPr>
            <w:r>
              <w:rPr>
                <w:sz w:val="16"/>
              </w:rPr>
              <w:t>Client rights, self-determination, consent, confidentiality, boundaries, professional integrity, diversity and social justice.</w:t>
            </w:r>
          </w:p>
        </w:tc>
        <w:tc>
          <w:tcPr>
            <w:tcW w:type="dxa" w:w="2304"/>
            <w:tcMar>
              <w:top w:w="100" w:type="dxa"/>
              <w:start w:w="120" w:type="dxa"/>
              <w:bottom w:w="100" w:type="dxa"/>
              <w:end w:w="120" w:type="dxa"/>
            </w:tcMar>
          </w:tcPr>
          <w:p>
            <w:pPr>
              <w:spacing w:after="0"/>
            </w:pPr>
            <w:r>
              <w:rPr>
                <w:sz w:val="16"/>
              </w:rPr>
              <w:t>The paternalistic, secretive, punitive, or role-confused option.</w:t>
            </w:r>
          </w:p>
        </w:tc>
      </w:tr>
      <w:tr>
        <w:trPr>
          <w:cantSplit/>
        </w:trPr>
        <w:tc>
          <w:tcPr>
            <w:tcW w:type="dxa" w:w="2088"/>
            <w:tcMar>
              <w:top w:w="100" w:type="dxa"/>
              <w:start w:w="120" w:type="dxa"/>
              <w:bottom w:w="100" w:type="dxa"/>
              <w:end w:w="120" w:type="dxa"/>
            </w:tcMar>
            <w:shd w:fill="F7F8FA"/>
          </w:tcPr>
          <w:p>
            <w:pPr>
              <w:spacing w:after="0"/>
            </w:pPr>
            <w:r>
              <w:rPr>
                <w:sz w:val="16"/>
              </w:rPr>
              <w:t>Assessment and Planning</w:t>
            </w:r>
          </w:p>
        </w:tc>
        <w:tc>
          <w:tcPr>
            <w:tcW w:type="dxa" w:w="936"/>
            <w:tcMar>
              <w:top w:w="100" w:type="dxa"/>
              <w:start w:w="120" w:type="dxa"/>
              <w:bottom w:w="100" w:type="dxa"/>
              <w:end w:w="120" w:type="dxa"/>
            </w:tcMar>
            <w:shd w:fill="F7F8FA"/>
          </w:tcPr>
          <w:p>
            <w:pPr>
              <w:spacing w:after="0"/>
            </w:pPr>
            <w:r>
              <w:rPr>
                <w:sz w:val="16"/>
              </w:rPr>
              <w:t>32%</w:t>
            </w:r>
          </w:p>
        </w:tc>
        <w:tc>
          <w:tcPr>
            <w:tcW w:type="dxa" w:w="4608"/>
            <w:tcMar>
              <w:top w:w="100" w:type="dxa"/>
              <w:start w:w="120" w:type="dxa"/>
              <w:bottom w:w="100" w:type="dxa"/>
              <w:end w:w="120" w:type="dxa"/>
            </w:tcMar>
            <w:shd w:fill="F7F8FA"/>
          </w:tcPr>
          <w:p>
            <w:pPr>
              <w:spacing w:after="0"/>
            </w:pPr>
            <w:r>
              <w:rPr>
                <w:sz w:val="16"/>
              </w:rPr>
              <w:t>Engagement, interviewing, biopsychosocial and person-in-environment assessment, risk, diagnosis, resources, and collaborative planning.</w:t>
            </w:r>
          </w:p>
        </w:tc>
        <w:tc>
          <w:tcPr>
            <w:tcW w:type="dxa" w:w="2304"/>
            <w:tcMar>
              <w:top w:w="100" w:type="dxa"/>
              <w:start w:w="120" w:type="dxa"/>
              <w:bottom w:w="100" w:type="dxa"/>
              <w:end w:w="120" w:type="dxa"/>
            </w:tcMar>
            <w:shd w:fill="F7F8FA"/>
          </w:tcPr>
          <w:p>
            <w:pPr>
              <w:spacing w:after="0"/>
            </w:pPr>
            <w:r>
              <w:rPr>
                <w:sz w:val="16"/>
              </w:rPr>
              <w:t>The intervention selected before enough assessment or safety information.</w:t>
            </w:r>
          </w:p>
        </w:tc>
      </w:tr>
      <w:tr>
        <w:trPr>
          <w:cantSplit/>
        </w:trPr>
        <w:tc>
          <w:tcPr>
            <w:tcW w:type="dxa" w:w="2088"/>
            <w:tcMar>
              <w:top w:w="100" w:type="dxa"/>
              <w:start w:w="120" w:type="dxa"/>
              <w:bottom w:w="100" w:type="dxa"/>
              <w:end w:w="120" w:type="dxa"/>
            </w:tcMar>
          </w:tcPr>
          <w:p>
            <w:pPr>
              <w:spacing w:after="0"/>
            </w:pPr>
            <w:r>
              <w:rPr>
                <w:sz w:val="16"/>
              </w:rPr>
              <w:t>Intervention and Practice</w:t>
            </w:r>
          </w:p>
        </w:tc>
        <w:tc>
          <w:tcPr>
            <w:tcW w:type="dxa" w:w="936"/>
            <w:tcMar>
              <w:top w:w="100" w:type="dxa"/>
              <w:start w:w="120" w:type="dxa"/>
              <w:bottom w:w="100" w:type="dxa"/>
              <w:end w:w="120" w:type="dxa"/>
            </w:tcMar>
          </w:tcPr>
          <w:p>
            <w:pPr>
              <w:spacing w:after="0"/>
            </w:pPr>
            <w:r>
              <w:rPr>
                <w:sz w:val="16"/>
              </w:rPr>
              <w:t>32%</w:t>
            </w:r>
          </w:p>
        </w:tc>
        <w:tc>
          <w:tcPr>
            <w:tcW w:type="dxa" w:w="4608"/>
            <w:tcMar>
              <w:top w:w="100" w:type="dxa"/>
              <w:start w:w="120" w:type="dxa"/>
              <w:bottom w:w="100" w:type="dxa"/>
              <w:end w:w="120" w:type="dxa"/>
            </w:tcMar>
          </w:tcPr>
          <w:p>
            <w:pPr>
              <w:spacing w:after="0"/>
            </w:pPr>
            <w:r>
              <w:rPr>
                <w:sz w:val="16"/>
              </w:rPr>
              <w:t>Clinical and systems interventions, groups and families, case management, advocacy, collaboration, evaluation, research, supervision, and administration.</w:t>
            </w:r>
          </w:p>
        </w:tc>
        <w:tc>
          <w:tcPr>
            <w:tcW w:type="dxa" w:w="2304"/>
            <w:tcMar>
              <w:top w:w="100" w:type="dxa"/>
              <w:start w:w="120" w:type="dxa"/>
              <w:bottom w:w="100" w:type="dxa"/>
              <w:end w:w="120" w:type="dxa"/>
            </w:tcMar>
          </w:tcPr>
          <w:p>
            <w:pPr>
              <w:spacing w:after="0"/>
            </w:pPr>
            <w:r>
              <w:rPr>
                <w:sz w:val="16"/>
              </w:rPr>
              <w:t>The action that is too intensive, too vague, outside role, or missing follow-up.</w:t>
            </w:r>
          </w:p>
        </w:tc>
      </w:tr>
    </w:tbl>
    <w:p>
      <w:pPr>
        <w:spacing w:after="0"/>
      </w:pPr>
    </w:p>
    <w:p>
      <w:pPr>
        <w:pStyle w:val="Heading1"/>
      </w:pPr>
      <w:r>
        <w:t>2. The CLINIC Integrated Reasoning Sequence</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Step</w:t>
            </w:r>
          </w:p>
        </w:tc>
        <w:tc>
          <w:tcPr>
            <w:tcW w:type="dxa" w:w="5040"/>
            <w:shd w:fill="17365D"/>
            <w:tcMar>
              <w:top w:w="100" w:type="dxa"/>
              <w:start w:w="120" w:type="dxa"/>
              <w:bottom w:w="100" w:type="dxa"/>
              <w:end w:w="120" w:type="dxa"/>
            </w:tcMar>
          </w:tcPr>
          <w:p>
            <w:pPr>
              <w:spacing w:after="0"/>
            </w:pPr>
            <w:r>
              <w:rPr>
                <w:b/>
                <w:color w:val="FFFFFF"/>
                <w:sz w:val="16"/>
              </w:rPr>
              <w:t>Question</w:t>
            </w:r>
          </w:p>
        </w:tc>
      </w:tr>
      <w:tr>
        <w:trPr>
          <w:cantSplit/>
        </w:trPr>
        <w:tc>
          <w:tcPr>
            <w:tcW w:type="dxa" w:w="2376"/>
            <w:tcMar>
              <w:top w:w="100" w:type="dxa"/>
              <w:start w:w="120" w:type="dxa"/>
              <w:bottom w:w="100" w:type="dxa"/>
              <w:end w:w="120" w:type="dxa"/>
            </w:tcMar>
          </w:tcPr>
          <w:p>
            <w:pPr>
              <w:spacing w:after="0"/>
            </w:pPr>
            <w:r>
              <w:rPr>
                <w:sz w:val="16"/>
              </w:rPr>
              <w:t>C — Clarify the task</w:t>
            </w:r>
          </w:p>
        </w:tc>
        <w:tc>
          <w:tcPr>
            <w:tcW w:type="dxa" w:w="7560"/>
            <w:tcMar>
              <w:top w:w="100" w:type="dxa"/>
              <w:start w:w="120" w:type="dxa"/>
              <w:bottom w:w="100" w:type="dxa"/>
              <w:end w:w="120" w:type="dxa"/>
            </w:tcMar>
          </w:tcPr>
          <w:p>
            <w:pPr>
              <w:spacing w:after="0"/>
            </w:pPr>
            <w:r>
              <w:rPr>
                <w:sz w:val="16"/>
              </w:rPr>
              <w:t>What does FIRST, NEXT, BEST, MOST, or INITIAL require?</w:t>
            </w:r>
          </w:p>
        </w:tc>
      </w:tr>
      <w:tr>
        <w:trPr>
          <w:cantSplit/>
        </w:trPr>
        <w:tc>
          <w:tcPr>
            <w:tcW w:type="dxa" w:w="2376"/>
            <w:tcMar>
              <w:top w:w="100" w:type="dxa"/>
              <w:start w:w="120" w:type="dxa"/>
              <w:bottom w:w="100" w:type="dxa"/>
              <w:end w:w="120" w:type="dxa"/>
            </w:tcMar>
            <w:shd w:fill="F7F8FA"/>
          </w:tcPr>
          <w:p>
            <w:pPr>
              <w:spacing w:after="0"/>
            </w:pPr>
            <w:r>
              <w:rPr>
                <w:sz w:val="16"/>
              </w:rPr>
              <w:t>L — Locate urgency and limits</w:t>
            </w:r>
          </w:p>
        </w:tc>
        <w:tc>
          <w:tcPr>
            <w:tcW w:type="dxa" w:w="7560"/>
            <w:tcMar>
              <w:top w:w="100" w:type="dxa"/>
              <w:start w:w="120" w:type="dxa"/>
              <w:bottom w:w="100" w:type="dxa"/>
              <w:end w:w="120" w:type="dxa"/>
            </w:tcMar>
            <w:shd w:fill="F7F8FA"/>
          </w:tcPr>
          <w:p>
            <w:pPr>
              <w:spacing w:after="0"/>
            </w:pPr>
            <w:r>
              <w:rPr>
                <w:sz w:val="16"/>
              </w:rPr>
              <w:t>Is there danger, medical urgency, abuse, capacity concern, legal duty, or role limit?</w:t>
            </w:r>
          </w:p>
        </w:tc>
      </w:tr>
      <w:tr>
        <w:trPr>
          <w:cantSplit/>
        </w:trPr>
        <w:tc>
          <w:tcPr>
            <w:tcW w:type="dxa" w:w="2376"/>
            <w:tcMar>
              <w:top w:w="100" w:type="dxa"/>
              <w:start w:w="120" w:type="dxa"/>
              <w:bottom w:w="100" w:type="dxa"/>
              <w:end w:w="120" w:type="dxa"/>
            </w:tcMar>
          </w:tcPr>
          <w:p>
            <w:pPr>
              <w:spacing w:after="0"/>
            </w:pPr>
            <w:r>
              <w:rPr>
                <w:sz w:val="16"/>
              </w:rPr>
              <w:t>I — Identify client and context</w:t>
            </w:r>
          </w:p>
        </w:tc>
        <w:tc>
          <w:tcPr>
            <w:tcW w:type="dxa" w:w="7560"/>
            <w:tcMar>
              <w:top w:w="100" w:type="dxa"/>
              <w:start w:w="120" w:type="dxa"/>
              <w:bottom w:w="100" w:type="dxa"/>
              <w:end w:w="120" w:type="dxa"/>
            </w:tcMar>
          </w:tcPr>
          <w:p>
            <w:pPr>
              <w:spacing w:after="0"/>
            </w:pPr>
            <w:r>
              <w:rPr>
                <w:sz w:val="16"/>
              </w:rPr>
              <w:t>Who is the client or client system, what does the client want, and what environmental factors matter?</w:t>
            </w:r>
          </w:p>
        </w:tc>
      </w:tr>
      <w:tr>
        <w:trPr>
          <w:cantSplit/>
        </w:trPr>
        <w:tc>
          <w:tcPr>
            <w:tcW w:type="dxa" w:w="2376"/>
            <w:tcMar>
              <w:top w:w="100" w:type="dxa"/>
              <w:start w:w="120" w:type="dxa"/>
              <w:bottom w:w="100" w:type="dxa"/>
              <w:end w:w="120" w:type="dxa"/>
            </w:tcMar>
            <w:shd w:fill="F7F8FA"/>
          </w:tcPr>
          <w:p>
            <w:pPr>
              <w:spacing w:after="0"/>
            </w:pPr>
            <w:r>
              <w:rPr>
                <w:sz w:val="16"/>
              </w:rPr>
              <w:t>N — Name the current stage</w:t>
            </w:r>
          </w:p>
        </w:tc>
        <w:tc>
          <w:tcPr>
            <w:tcW w:type="dxa" w:w="7560"/>
            <w:tcMar>
              <w:top w:w="100" w:type="dxa"/>
              <w:start w:w="120" w:type="dxa"/>
              <w:bottom w:w="100" w:type="dxa"/>
              <w:end w:w="120" w:type="dxa"/>
            </w:tcMar>
            <w:shd w:fill="F7F8FA"/>
          </w:tcPr>
          <w:p>
            <w:pPr>
              <w:spacing w:after="0"/>
            </w:pPr>
            <w:r>
              <w:rPr>
                <w:sz w:val="16"/>
              </w:rPr>
              <w:t>Is the vignette asking for engagement, assessment, planning, intervention, coordination, evaluation, supervision, or administration?</w:t>
            </w:r>
          </w:p>
        </w:tc>
      </w:tr>
      <w:tr>
        <w:trPr>
          <w:cantSplit/>
        </w:trPr>
        <w:tc>
          <w:tcPr>
            <w:tcW w:type="dxa" w:w="2376"/>
            <w:tcMar>
              <w:top w:w="100" w:type="dxa"/>
              <w:start w:w="120" w:type="dxa"/>
              <w:bottom w:w="100" w:type="dxa"/>
              <w:end w:w="120" w:type="dxa"/>
            </w:tcMar>
          </w:tcPr>
          <w:p>
            <w:pPr>
              <w:spacing w:after="0"/>
            </w:pPr>
            <w:r>
              <w:rPr>
                <w:sz w:val="16"/>
              </w:rPr>
              <w:t>I — Intervene proportionately</w:t>
            </w:r>
          </w:p>
        </w:tc>
        <w:tc>
          <w:tcPr>
            <w:tcW w:type="dxa" w:w="7560"/>
            <w:tcMar>
              <w:top w:w="100" w:type="dxa"/>
              <w:start w:w="120" w:type="dxa"/>
              <w:bottom w:w="100" w:type="dxa"/>
              <w:end w:w="120" w:type="dxa"/>
            </w:tcMar>
          </w:tcPr>
          <w:p>
            <w:pPr>
              <w:spacing w:after="0"/>
            </w:pPr>
            <w:r>
              <w:rPr>
                <w:sz w:val="16"/>
              </w:rPr>
              <w:t>What is the least intrusive effective action that fits culture, access, readiness, evidence, and role?</w:t>
            </w:r>
          </w:p>
        </w:tc>
      </w:tr>
      <w:tr>
        <w:trPr>
          <w:cantSplit/>
        </w:trPr>
        <w:tc>
          <w:tcPr>
            <w:tcW w:type="dxa" w:w="2376"/>
            <w:tcMar>
              <w:top w:w="100" w:type="dxa"/>
              <w:start w:w="120" w:type="dxa"/>
              <w:bottom w:w="100" w:type="dxa"/>
              <w:end w:w="120" w:type="dxa"/>
            </w:tcMar>
            <w:shd w:fill="F7F8FA"/>
          </w:tcPr>
          <w:p>
            <w:pPr>
              <w:spacing w:after="0"/>
            </w:pPr>
            <w:r>
              <w:rPr>
                <w:sz w:val="16"/>
              </w:rPr>
              <w:t>C — Check collaboration and continuation</w:t>
            </w:r>
          </w:p>
        </w:tc>
        <w:tc>
          <w:tcPr>
            <w:tcW w:type="dxa" w:w="7560"/>
            <w:tcMar>
              <w:top w:w="100" w:type="dxa"/>
              <w:start w:w="120" w:type="dxa"/>
              <w:bottom w:w="100" w:type="dxa"/>
              <w:end w:w="120" w:type="dxa"/>
            </w:tcMar>
            <w:shd w:fill="F7F8FA"/>
          </w:tcPr>
          <w:p>
            <w:pPr>
              <w:spacing w:after="0"/>
            </w:pPr>
            <w:r>
              <w:rPr>
                <w:sz w:val="16"/>
              </w:rPr>
              <w:t>What consent, follow-up, evaluation, documentation, or plan revision is needed?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CLINIC: Clarify → Locate urgency → Identify client and context → Name stage → Intervene proportionately → Check continuation</w:t>
            </w:r>
          </w:p>
        </w:tc>
      </w:tr>
    </w:tbl>
    <w:p>
      <w:pPr>
        <w:spacing w:after="0"/>
      </w:pPr>
    </w:p>
    <w:p>
      <w:pPr>
        <w:pStyle w:val="Heading1"/>
      </w:pPr>
      <w:r>
        <w:t>3. FIRST, NEXT, BEST, MOST, and INITIAL</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Decision Word</w:t>
            </w:r>
          </w:p>
        </w:tc>
        <w:tc>
          <w:tcPr>
            <w:tcW w:type="dxa" w:w="5040"/>
            <w:shd w:fill="17365D"/>
            <w:tcMar>
              <w:top w:w="100" w:type="dxa"/>
              <w:start w:w="120" w:type="dxa"/>
              <w:bottom w:w="100" w:type="dxa"/>
              <w:end w:w="120" w:type="dxa"/>
            </w:tcMar>
          </w:tcPr>
          <w:p>
            <w:pPr>
              <w:spacing w:after="0"/>
            </w:pPr>
            <w:r>
              <w:rPr>
                <w:b/>
                <w:color w:val="FFFFFF"/>
                <w:sz w:val="16"/>
              </w:rPr>
              <w:t>How to Read It</w:t>
            </w:r>
          </w:p>
        </w:tc>
      </w:tr>
      <w:tr>
        <w:trPr>
          <w:cantSplit/>
        </w:trPr>
        <w:tc>
          <w:tcPr>
            <w:tcW w:type="dxa" w:w="2592"/>
            <w:tcMar>
              <w:top w:w="100" w:type="dxa"/>
              <w:start w:w="120" w:type="dxa"/>
              <w:bottom w:w="100" w:type="dxa"/>
              <w:end w:w="120" w:type="dxa"/>
            </w:tcMar>
          </w:tcPr>
          <w:p>
            <w:pPr>
              <w:spacing w:after="0"/>
            </w:pPr>
            <w:r>
              <w:rPr>
                <w:sz w:val="16"/>
              </w:rPr>
              <w:t>FIRST / INITIAL</w:t>
            </w:r>
          </w:p>
        </w:tc>
        <w:tc>
          <w:tcPr>
            <w:tcW w:type="dxa" w:w="7344"/>
            <w:tcMar>
              <w:top w:w="100" w:type="dxa"/>
              <w:start w:w="120" w:type="dxa"/>
              <w:bottom w:w="100" w:type="dxa"/>
              <w:end w:w="120" w:type="dxa"/>
            </w:tcMar>
          </w:tcPr>
          <w:p>
            <w:pPr>
              <w:spacing w:after="0"/>
            </w:pPr>
            <w:r>
              <w:rPr>
                <w:sz w:val="16"/>
              </w:rPr>
              <w:t>Choose the earliest necessary action. Assessment, safety, consent, or role clarification often precedes treatment.</w:t>
            </w:r>
          </w:p>
        </w:tc>
      </w:tr>
      <w:tr>
        <w:trPr>
          <w:cantSplit/>
        </w:trPr>
        <w:tc>
          <w:tcPr>
            <w:tcW w:type="dxa" w:w="2592"/>
            <w:tcMar>
              <w:top w:w="100" w:type="dxa"/>
              <w:start w:w="120" w:type="dxa"/>
              <w:bottom w:w="100" w:type="dxa"/>
              <w:end w:w="120" w:type="dxa"/>
            </w:tcMar>
            <w:shd w:fill="F7F8FA"/>
          </w:tcPr>
          <w:p>
            <w:pPr>
              <w:spacing w:after="0"/>
            </w:pPr>
            <w:r>
              <w:rPr>
                <w:sz w:val="16"/>
              </w:rPr>
              <w:t>NEXT</w:t>
            </w:r>
          </w:p>
        </w:tc>
        <w:tc>
          <w:tcPr>
            <w:tcW w:type="dxa" w:w="7344"/>
            <w:tcMar>
              <w:top w:w="100" w:type="dxa"/>
              <w:start w:w="120" w:type="dxa"/>
              <w:bottom w:w="100" w:type="dxa"/>
              <w:end w:w="120" w:type="dxa"/>
            </w:tcMar>
            <w:shd w:fill="F7F8FA"/>
          </w:tcPr>
          <w:p>
            <w:pPr>
              <w:spacing w:after="0"/>
            </w:pPr>
            <w:r>
              <w:rPr>
                <w:sz w:val="16"/>
              </w:rPr>
              <w:t>Assume appropriate earlier steps in the stem have occurred; select the next logical action without restarting the case.</w:t>
            </w:r>
          </w:p>
        </w:tc>
      </w:tr>
      <w:tr>
        <w:trPr>
          <w:cantSplit/>
        </w:trPr>
        <w:tc>
          <w:tcPr>
            <w:tcW w:type="dxa" w:w="2592"/>
            <w:tcMar>
              <w:top w:w="100" w:type="dxa"/>
              <w:start w:w="120" w:type="dxa"/>
              <w:bottom w:w="100" w:type="dxa"/>
              <w:end w:w="120" w:type="dxa"/>
            </w:tcMar>
          </w:tcPr>
          <w:p>
            <w:pPr>
              <w:spacing w:after="0"/>
            </w:pPr>
            <w:r>
              <w:rPr>
                <w:sz w:val="16"/>
              </w:rPr>
              <w:t>BEST / MOST appropriate</w:t>
            </w:r>
          </w:p>
        </w:tc>
        <w:tc>
          <w:tcPr>
            <w:tcW w:type="dxa" w:w="7344"/>
            <w:tcMar>
              <w:top w:w="100" w:type="dxa"/>
              <w:start w:w="120" w:type="dxa"/>
              <w:bottom w:w="100" w:type="dxa"/>
              <w:end w:w="120" w:type="dxa"/>
            </w:tcMar>
          </w:tcPr>
          <w:p>
            <w:pPr>
              <w:spacing w:after="0"/>
            </w:pPr>
            <w:r>
              <w:rPr>
                <w:sz w:val="16"/>
              </w:rPr>
              <w:t>Compare all plausible options and choose the response that is most ethical, proportionate, collaborative, and supported by the facts.</w:t>
            </w:r>
          </w:p>
        </w:tc>
      </w:tr>
      <w:tr>
        <w:trPr>
          <w:cantSplit/>
        </w:trPr>
        <w:tc>
          <w:tcPr>
            <w:tcW w:type="dxa" w:w="2592"/>
            <w:tcMar>
              <w:top w:w="100" w:type="dxa"/>
              <w:start w:w="120" w:type="dxa"/>
              <w:bottom w:w="100" w:type="dxa"/>
              <w:end w:w="120" w:type="dxa"/>
            </w:tcMar>
            <w:shd w:fill="F7F8FA"/>
          </w:tcPr>
          <w:p>
            <w:pPr>
              <w:spacing w:after="0"/>
            </w:pPr>
            <w:r>
              <w:rPr>
                <w:sz w:val="16"/>
              </w:rPr>
              <w:t>MOST likely / BEST explanation</w:t>
            </w:r>
          </w:p>
        </w:tc>
        <w:tc>
          <w:tcPr>
            <w:tcW w:type="dxa" w:w="7344"/>
            <w:tcMar>
              <w:top w:w="100" w:type="dxa"/>
              <w:start w:w="120" w:type="dxa"/>
              <w:bottom w:w="100" w:type="dxa"/>
              <w:end w:w="120" w:type="dxa"/>
            </w:tcMar>
            <w:shd w:fill="F7F8FA"/>
          </w:tcPr>
          <w:p>
            <w:pPr>
              <w:spacing w:after="0"/>
            </w:pPr>
            <w:r>
              <w:rPr>
                <w:sz w:val="16"/>
              </w:rPr>
              <w:t>Choose the formulation best supported by the pattern; do not add unreported symptoms or motives.</w:t>
            </w:r>
          </w:p>
        </w:tc>
      </w:tr>
    </w:tbl>
    <w:p>
      <w:pPr>
        <w:spacing w:after="0"/>
      </w:pPr>
    </w:p>
    <w:p>
      <w:pPr>
        <w:pStyle w:val="Heading1"/>
      </w:pPr>
      <w:r>
        <w:t>4. Priority Ladder</w:t>
      </w:r>
    </w:p>
    <w:p>
      <w:pPr>
        <w:pStyle w:val="ListNumber"/>
      </w:pPr>
      <w:r>
        <w:t>Immediate safety, medical emergency, abuse, severe impairment, or time-sensitive legal duty.</w:t>
      </w:r>
    </w:p>
    <w:p>
      <w:pPr>
        <w:pStyle w:val="ListNumber"/>
      </w:pPr>
      <w:r>
        <w:t>Capacity, consent, confidentiality, role, jurisdiction, and professional competence.</w:t>
      </w:r>
    </w:p>
    <w:p>
      <w:pPr>
        <w:pStyle w:val="ListNumber"/>
      </w:pPr>
      <w:r>
        <w:t>Engagement and focused assessment of the presenting problem, context, strengths, risk, and client goals.</w:t>
      </w:r>
    </w:p>
    <w:p>
      <w:pPr>
        <w:pStyle w:val="ListNumber"/>
      </w:pPr>
      <w:r>
        <w:t>Collaborative formulation, diagnosis when supported, priorities, measurable goals, and level of care.</w:t>
      </w:r>
    </w:p>
    <w:p>
      <w:pPr>
        <w:pStyle w:val="ListNumber"/>
      </w:pPr>
      <w:r>
        <w:t>Proportionate intervention, referral, coordination, advocacy, or systems action.</w:t>
      </w:r>
    </w:p>
    <w:p>
      <w:pPr>
        <w:pStyle w:val="ListNumber"/>
      </w:pPr>
      <w:r>
        <w:t>Outcome review, plan revision, supervision, documentation, and continuity.</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Do not choose the most intensive action merely because it sounds protective. Choose the least intrusive response that adequately addresses the actual risk and role.</w:t>
            </w:r>
          </w:p>
        </w:tc>
      </w:tr>
    </w:tbl>
    <w:p>
      <w:pPr>
        <w:spacing w:after="0"/>
      </w:pPr>
    </w:p>
    <w:p>
      <w:pPr>
        <w:pStyle w:val="Heading1"/>
      </w:pPr>
      <w:r>
        <w:t>5. Values and Ethics Integration</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High-Yield Principle</w:t>
            </w:r>
          </w:p>
        </w:tc>
        <w:tc>
          <w:tcPr>
            <w:tcW w:type="dxa" w:w="5040"/>
            <w:shd w:fill="17365D"/>
            <w:tcMar>
              <w:top w:w="100" w:type="dxa"/>
              <w:start w:w="120" w:type="dxa"/>
              <w:bottom w:w="100" w:type="dxa"/>
              <w:end w:w="120" w:type="dxa"/>
            </w:tcMar>
          </w:tcPr>
          <w:p>
            <w:pPr>
              <w:spacing w:after="0"/>
            </w:pPr>
            <w:r>
              <w:rPr>
                <w:b/>
                <w:color w:val="FFFFFF"/>
                <w:sz w:val="16"/>
              </w:rPr>
              <w:t>Integrated Application</w:t>
            </w:r>
          </w:p>
        </w:tc>
      </w:tr>
      <w:tr>
        <w:trPr>
          <w:cantSplit/>
        </w:trPr>
        <w:tc>
          <w:tcPr>
            <w:tcW w:type="dxa" w:w="2880"/>
            <w:tcMar>
              <w:top w:w="100" w:type="dxa"/>
              <w:start w:w="120" w:type="dxa"/>
              <w:bottom w:w="100" w:type="dxa"/>
              <w:end w:w="120" w:type="dxa"/>
            </w:tcMar>
          </w:tcPr>
          <w:p>
            <w:pPr>
              <w:spacing w:after="0"/>
            </w:pPr>
            <w:r>
              <w:rPr>
                <w:sz w:val="16"/>
              </w:rPr>
              <w:t>Self-determination</w:t>
            </w:r>
          </w:p>
        </w:tc>
        <w:tc>
          <w:tcPr>
            <w:tcW w:type="dxa" w:w="7056"/>
            <w:tcMar>
              <w:top w:w="100" w:type="dxa"/>
              <w:start w:w="120" w:type="dxa"/>
              <w:bottom w:w="100" w:type="dxa"/>
              <w:end w:w="120" w:type="dxa"/>
            </w:tcMar>
          </w:tcPr>
          <w:p>
            <w:pPr>
              <w:spacing w:after="0"/>
            </w:pPr>
            <w:r>
              <w:rPr>
                <w:sz w:val="16"/>
              </w:rPr>
              <w:t>Assess capacity, understanding, coercion, risk, and alternatives; support informed choice when the client is capable.</w:t>
            </w:r>
          </w:p>
        </w:tc>
      </w:tr>
      <w:tr>
        <w:trPr>
          <w:cantSplit/>
        </w:trPr>
        <w:tc>
          <w:tcPr>
            <w:tcW w:type="dxa" w:w="2880"/>
            <w:tcMar>
              <w:top w:w="100" w:type="dxa"/>
              <w:start w:w="120" w:type="dxa"/>
              <w:bottom w:w="100" w:type="dxa"/>
              <w:end w:w="120" w:type="dxa"/>
            </w:tcMar>
            <w:shd w:fill="F7F8FA"/>
          </w:tcPr>
          <w:p>
            <w:pPr>
              <w:spacing w:after="0"/>
            </w:pPr>
            <w:r>
              <w:rPr>
                <w:sz w:val="16"/>
              </w:rPr>
              <w:t>Dignity, culture, and access</w:t>
            </w:r>
          </w:p>
        </w:tc>
        <w:tc>
          <w:tcPr>
            <w:tcW w:type="dxa" w:w="7056"/>
            <w:tcMar>
              <w:top w:w="100" w:type="dxa"/>
              <w:start w:w="120" w:type="dxa"/>
              <w:bottom w:w="100" w:type="dxa"/>
              <w:end w:w="120" w:type="dxa"/>
            </w:tcMar>
            <w:shd w:fill="F7F8FA"/>
          </w:tcPr>
          <w:p>
            <w:pPr>
              <w:spacing w:after="0"/>
            </w:pPr>
            <w:r>
              <w:rPr>
                <w:sz w:val="16"/>
              </w:rPr>
              <w:t>Use cultural humility, qualified language access, disability accommodation, and collaborative meaning-making.</w:t>
            </w:r>
          </w:p>
        </w:tc>
      </w:tr>
      <w:tr>
        <w:trPr>
          <w:cantSplit/>
        </w:trPr>
        <w:tc>
          <w:tcPr>
            <w:tcW w:type="dxa" w:w="2880"/>
            <w:tcMar>
              <w:top w:w="100" w:type="dxa"/>
              <w:start w:w="120" w:type="dxa"/>
              <w:bottom w:w="100" w:type="dxa"/>
              <w:end w:w="120" w:type="dxa"/>
            </w:tcMar>
          </w:tcPr>
          <w:p>
            <w:pPr>
              <w:spacing w:after="0"/>
            </w:pPr>
            <w:r>
              <w:rPr>
                <w:sz w:val="16"/>
              </w:rPr>
              <w:t>Confidentiality and technology</w:t>
            </w:r>
          </w:p>
        </w:tc>
        <w:tc>
          <w:tcPr>
            <w:tcW w:type="dxa" w:w="7056"/>
            <w:tcMar>
              <w:top w:w="100" w:type="dxa"/>
              <w:start w:w="120" w:type="dxa"/>
              <w:bottom w:w="100" w:type="dxa"/>
              <w:end w:w="120" w:type="dxa"/>
            </w:tcMar>
          </w:tcPr>
          <w:p>
            <w:pPr>
              <w:spacing w:after="0"/>
            </w:pPr>
            <w:r>
              <w:rPr>
                <w:sz w:val="16"/>
              </w:rPr>
              <w:t>Clarify purpose, authorization, applicable law, minimum relevant information, security, and electronic boundaries.</w:t>
            </w:r>
          </w:p>
        </w:tc>
      </w:tr>
      <w:tr>
        <w:trPr>
          <w:cantSplit/>
        </w:trPr>
        <w:tc>
          <w:tcPr>
            <w:tcW w:type="dxa" w:w="2880"/>
            <w:tcMar>
              <w:top w:w="100" w:type="dxa"/>
              <w:start w:w="120" w:type="dxa"/>
              <w:bottom w:w="100" w:type="dxa"/>
              <w:end w:w="120" w:type="dxa"/>
            </w:tcMar>
            <w:shd w:fill="F7F8FA"/>
          </w:tcPr>
          <w:p>
            <w:pPr>
              <w:spacing w:after="0"/>
            </w:pPr>
            <w:r>
              <w:rPr>
                <w:sz w:val="16"/>
              </w:rPr>
              <w:t>Power and boundaries</w:t>
            </w:r>
          </w:p>
        </w:tc>
        <w:tc>
          <w:tcPr>
            <w:tcW w:type="dxa" w:w="7056"/>
            <w:tcMar>
              <w:top w:w="100" w:type="dxa"/>
              <w:start w:w="120" w:type="dxa"/>
              <w:bottom w:w="100" w:type="dxa"/>
              <w:end w:w="120" w:type="dxa"/>
            </w:tcMar>
            <w:shd w:fill="F7F8FA"/>
          </w:tcPr>
          <w:p>
            <w:pPr>
              <w:spacing w:after="0"/>
            </w:pPr>
            <w:r>
              <w:rPr>
                <w:sz w:val="16"/>
              </w:rPr>
              <w:t>Assess influence, exploitation, conflicts, community overlap, self-disclosure, gifts, and role clarity.</w:t>
            </w:r>
          </w:p>
        </w:tc>
      </w:tr>
      <w:tr>
        <w:trPr>
          <w:cantSplit/>
        </w:trPr>
        <w:tc>
          <w:tcPr>
            <w:tcW w:type="dxa" w:w="2880"/>
            <w:tcMar>
              <w:top w:w="100" w:type="dxa"/>
              <w:start w:w="120" w:type="dxa"/>
              <w:bottom w:w="100" w:type="dxa"/>
              <w:end w:w="120" w:type="dxa"/>
            </w:tcMar>
          </w:tcPr>
          <w:p>
            <w:pPr>
              <w:spacing w:after="0"/>
            </w:pPr>
            <w:r>
              <w:rPr>
                <w:sz w:val="16"/>
              </w:rPr>
              <w:t>Professional integrity</w:t>
            </w:r>
          </w:p>
        </w:tc>
        <w:tc>
          <w:tcPr>
            <w:tcW w:type="dxa" w:w="7056"/>
            <w:tcMar>
              <w:top w:w="100" w:type="dxa"/>
              <w:start w:w="120" w:type="dxa"/>
              <w:bottom w:w="100" w:type="dxa"/>
              <w:end w:w="120" w:type="dxa"/>
            </w:tcMar>
          </w:tcPr>
          <w:p>
            <w:pPr>
              <w:spacing w:after="0"/>
            </w:pPr>
            <w:r>
              <w:rPr>
                <w:sz w:val="16"/>
              </w:rPr>
              <w:t>Document and bill accurately, disclose competence limits, use supervision, and resist unethical organizational pressure.</w:t>
            </w:r>
          </w:p>
        </w:tc>
      </w:tr>
      <w:tr>
        <w:trPr>
          <w:cantSplit/>
        </w:trPr>
        <w:tc>
          <w:tcPr>
            <w:tcW w:type="dxa" w:w="2880"/>
            <w:tcMar>
              <w:top w:w="100" w:type="dxa"/>
              <w:start w:w="120" w:type="dxa"/>
              <w:bottom w:w="100" w:type="dxa"/>
              <w:end w:w="120" w:type="dxa"/>
            </w:tcMar>
            <w:shd w:fill="F7F8FA"/>
          </w:tcPr>
          <w:p>
            <w:pPr>
              <w:spacing w:after="0"/>
            </w:pPr>
            <w:r>
              <w:rPr>
                <w:sz w:val="16"/>
              </w:rPr>
              <w:t>Social justice</w:t>
            </w:r>
          </w:p>
        </w:tc>
        <w:tc>
          <w:tcPr>
            <w:tcW w:type="dxa" w:w="7056"/>
            <w:tcMar>
              <w:top w:w="100" w:type="dxa"/>
              <w:start w:w="120" w:type="dxa"/>
              <w:bottom w:w="100" w:type="dxa"/>
              <w:end w:w="120" w:type="dxa"/>
            </w:tcMar>
            <w:shd w:fill="F7F8FA"/>
          </w:tcPr>
          <w:p>
            <w:pPr>
              <w:spacing w:after="0"/>
            </w:pPr>
            <w:r>
              <w:rPr>
                <w:sz w:val="16"/>
              </w:rPr>
              <w:t>Recognize structural barriers and use advocacy or system change while preserving client voice and avoiding assumptions.</w:t>
            </w:r>
          </w:p>
        </w:tc>
      </w:tr>
    </w:tbl>
    <w:p>
      <w:pPr>
        <w:spacing w:after="0"/>
      </w:pPr>
    </w:p>
    <w:p>
      <w:pPr>
        <w:pStyle w:val="Heading1"/>
      </w:pPr>
      <w:r>
        <w:t>6. Assessment and Planning Integration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Assessment Question</w:t>
            </w:r>
          </w:p>
        </w:tc>
        <w:tc>
          <w:tcPr>
            <w:tcW w:type="dxa" w:w="5040"/>
            <w:shd w:fill="17365D"/>
            <w:tcMar>
              <w:top w:w="100" w:type="dxa"/>
              <w:start w:w="120" w:type="dxa"/>
              <w:bottom w:w="100" w:type="dxa"/>
              <w:end w:w="120" w:type="dxa"/>
            </w:tcMar>
          </w:tcPr>
          <w:p>
            <w:pPr>
              <w:spacing w:after="0"/>
            </w:pPr>
            <w:r>
              <w:rPr>
                <w:b/>
                <w:color w:val="FFFFFF"/>
                <w:sz w:val="16"/>
              </w:rPr>
              <w:t>Planning Connection</w:t>
            </w:r>
          </w:p>
        </w:tc>
      </w:tr>
      <w:tr>
        <w:trPr>
          <w:cantSplit/>
        </w:trPr>
        <w:tc>
          <w:tcPr>
            <w:tcW w:type="dxa" w:w="4968"/>
            <w:tcMar>
              <w:top w:w="100" w:type="dxa"/>
              <w:start w:w="120" w:type="dxa"/>
              <w:bottom w:w="100" w:type="dxa"/>
              <w:end w:w="120" w:type="dxa"/>
            </w:tcMar>
          </w:tcPr>
          <w:p>
            <w:pPr>
              <w:spacing w:after="0"/>
            </w:pPr>
            <w:r>
              <w:rPr>
                <w:sz w:val="16"/>
              </w:rPr>
              <w:t>What is happening now, and what changed from baseline?</w:t>
            </w:r>
          </w:p>
        </w:tc>
        <w:tc>
          <w:tcPr>
            <w:tcW w:type="dxa" w:w="4968"/>
            <w:tcMar>
              <w:top w:w="100" w:type="dxa"/>
              <w:start w:w="120" w:type="dxa"/>
              <w:bottom w:w="100" w:type="dxa"/>
              <w:end w:w="120" w:type="dxa"/>
            </w:tcMar>
          </w:tcPr>
          <w:p>
            <w:pPr>
              <w:spacing w:after="0"/>
            </w:pPr>
            <w:r>
              <w:rPr>
                <w:sz w:val="16"/>
              </w:rPr>
              <w:t>Prioritize urgent risks and identify the immediate target.</w:t>
            </w:r>
          </w:p>
        </w:tc>
      </w:tr>
      <w:tr>
        <w:trPr>
          <w:cantSplit/>
        </w:trPr>
        <w:tc>
          <w:tcPr>
            <w:tcW w:type="dxa" w:w="4968"/>
            <w:tcMar>
              <w:top w:w="100" w:type="dxa"/>
              <w:start w:w="120" w:type="dxa"/>
              <w:bottom w:w="100" w:type="dxa"/>
              <w:end w:w="120" w:type="dxa"/>
            </w:tcMar>
            <w:shd w:fill="F7F8FA"/>
          </w:tcPr>
          <w:p>
            <w:pPr>
              <w:spacing w:after="0"/>
            </w:pPr>
            <w:r>
              <w:rPr>
                <w:sz w:val="16"/>
              </w:rPr>
              <w:t>What biological, psychological, social, cultural, developmental, spiritual, and environmental factors contribute?</w:t>
            </w:r>
          </w:p>
        </w:tc>
        <w:tc>
          <w:tcPr>
            <w:tcW w:type="dxa" w:w="4968"/>
            <w:tcMar>
              <w:top w:w="100" w:type="dxa"/>
              <w:start w:w="120" w:type="dxa"/>
              <w:bottom w:w="100" w:type="dxa"/>
              <w:end w:w="120" w:type="dxa"/>
            </w:tcMar>
            <w:shd w:fill="F7F8FA"/>
          </w:tcPr>
          <w:p>
            <w:pPr>
              <w:spacing w:after="0"/>
            </w:pPr>
            <w:r>
              <w:rPr>
                <w:sz w:val="16"/>
              </w:rPr>
              <w:t>Select goals, services, and resources that fit the whole context.</w:t>
            </w:r>
          </w:p>
        </w:tc>
      </w:tr>
      <w:tr>
        <w:trPr>
          <w:cantSplit/>
        </w:trPr>
        <w:tc>
          <w:tcPr>
            <w:tcW w:type="dxa" w:w="4968"/>
            <w:tcMar>
              <w:top w:w="100" w:type="dxa"/>
              <w:start w:w="120" w:type="dxa"/>
              <w:bottom w:w="100" w:type="dxa"/>
              <w:end w:w="120" w:type="dxa"/>
            </w:tcMar>
          </w:tcPr>
          <w:p>
            <w:pPr>
              <w:spacing w:after="0"/>
            </w:pPr>
            <w:r>
              <w:rPr>
                <w:sz w:val="16"/>
              </w:rPr>
              <w:t>What strengths, supports, preferences, and prior responses are present?</w:t>
            </w:r>
          </w:p>
        </w:tc>
        <w:tc>
          <w:tcPr>
            <w:tcW w:type="dxa" w:w="4968"/>
            <w:tcMar>
              <w:top w:w="100" w:type="dxa"/>
              <w:start w:w="120" w:type="dxa"/>
              <w:bottom w:w="100" w:type="dxa"/>
              <w:end w:w="120" w:type="dxa"/>
            </w:tcMar>
          </w:tcPr>
          <w:p>
            <w:pPr>
              <w:spacing w:after="0"/>
            </w:pPr>
            <w:r>
              <w:rPr>
                <w:sz w:val="16"/>
              </w:rPr>
              <w:t>Build feasible strategies and protective factors with the client.</w:t>
            </w:r>
          </w:p>
        </w:tc>
      </w:tr>
      <w:tr>
        <w:trPr>
          <w:cantSplit/>
        </w:trPr>
        <w:tc>
          <w:tcPr>
            <w:tcW w:type="dxa" w:w="4968"/>
            <w:tcMar>
              <w:top w:w="100" w:type="dxa"/>
              <w:start w:w="120" w:type="dxa"/>
              <w:bottom w:w="100" w:type="dxa"/>
              <w:end w:w="120" w:type="dxa"/>
            </w:tcMar>
            <w:shd w:fill="F7F8FA"/>
          </w:tcPr>
          <w:p>
            <w:pPr>
              <w:spacing w:after="0"/>
            </w:pPr>
            <w:r>
              <w:rPr>
                <w:sz w:val="16"/>
              </w:rPr>
              <w:t>What diagnoses or differentials are supported, and what must be ruled out?</w:t>
            </w:r>
          </w:p>
        </w:tc>
        <w:tc>
          <w:tcPr>
            <w:tcW w:type="dxa" w:w="4968"/>
            <w:tcMar>
              <w:top w:w="100" w:type="dxa"/>
              <w:start w:w="120" w:type="dxa"/>
              <w:bottom w:w="100" w:type="dxa"/>
              <w:end w:w="120" w:type="dxa"/>
            </w:tcMar>
            <w:shd w:fill="F7F8FA"/>
          </w:tcPr>
          <w:p>
            <w:pPr>
              <w:spacing w:after="0"/>
            </w:pPr>
            <w:r>
              <w:rPr>
                <w:sz w:val="16"/>
              </w:rPr>
              <w:t>Match treatment and level of care without overpathologizing context.</w:t>
            </w:r>
          </w:p>
        </w:tc>
      </w:tr>
      <w:tr>
        <w:trPr>
          <w:cantSplit/>
        </w:trPr>
        <w:tc>
          <w:tcPr>
            <w:tcW w:type="dxa" w:w="4968"/>
            <w:tcMar>
              <w:top w:w="100" w:type="dxa"/>
              <w:start w:w="120" w:type="dxa"/>
              <w:bottom w:w="100" w:type="dxa"/>
              <w:end w:w="120" w:type="dxa"/>
            </w:tcMar>
          </w:tcPr>
          <w:p>
            <w:pPr>
              <w:spacing w:after="0"/>
            </w:pPr>
            <w:r>
              <w:rPr>
                <w:sz w:val="16"/>
              </w:rPr>
              <w:t>What barriers affect access, adherence, safety, or participation?</w:t>
            </w:r>
          </w:p>
        </w:tc>
        <w:tc>
          <w:tcPr>
            <w:tcW w:type="dxa" w:w="4968"/>
            <w:tcMar>
              <w:top w:w="100" w:type="dxa"/>
              <w:start w:w="120" w:type="dxa"/>
              <w:bottom w:w="100" w:type="dxa"/>
              <w:end w:w="120" w:type="dxa"/>
            </w:tcMar>
          </w:tcPr>
          <w:p>
            <w:pPr>
              <w:spacing w:after="0"/>
            </w:pPr>
            <w:r>
              <w:rPr>
                <w:sz w:val="16"/>
              </w:rPr>
              <w:t>Include case management, advocacy, accommodation, and collaboration.</w:t>
            </w:r>
          </w:p>
        </w:tc>
      </w:tr>
      <w:tr>
        <w:trPr>
          <w:cantSplit/>
        </w:trPr>
        <w:tc>
          <w:tcPr>
            <w:tcW w:type="dxa" w:w="4968"/>
            <w:tcMar>
              <w:top w:w="100" w:type="dxa"/>
              <w:start w:w="120" w:type="dxa"/>
              <w:bottom w:w="100" w:type="dxa"/>
              <w:end w:w="120" w:type="dxa"/>
            </w:tcMar>
            <w:shd w:fill="F7F8FA"/>
          </w:tcPr>
          <w:p>
            <w:pPr>
              <w:spacing w:after="0"/>
            </w:pPr>
            <w:r>
              <w:rPr>
                <w:sz w:val="16"/>
              </w:rPr>
              <w:t>What measurable change matters to the client?</w:t>
            </w:r>
          </w:p>
        </w:tc>
        <w:tc>
          <w:tcPr>
            <w:tcW w:type="dxa" w:w="4968"/>
            <w:tcMar>
              <w:top w:w="100" w:type="dxa"/>
              <w:start w:w="120" w:type="dxa"/>
              <w:bottom w:w="100" w:type="dxa"/>
              <w:end w:w="120" w:type="dxa"/>
            </w:tcMar>
            <w:shd w:fill="F7F8FA"/>
          </w:tcPr>
          <w:p>
            <w:pPr>
              <w:spacing w:after="0"/>
            </w:pPr>
            <w:r>
              <w:rPr>
                <w:sz w:val="16"/>
              </w:rPr>
              <w:t>Create observable objectives and a review schedule.</w:t>
            </w:r>
          </w:p>
        </w:tc>
      </w:tr>
    </w:tbl>
    <w:p>
      <w:pPr>
        <w:spacing w:after="0"/>
      </w:pPr>
    </w:p>
    <w:p>
      <w:pPr>
        <w:pStyle w:val="Heading1"/>
      </w:pPr>
      <w:r>
        <w:t>7. Intervention and Practice Integration</w:t>
      </w:r>
    </w:p>
    <w:tbl>
      <w:tblPr>
        <w:tblStyle w:val="TableGrid"/>
        <w:tblW w:type="auto" w:w="0"/>
        <w:jc w:val="center"/>
        <w:tblLayout w:type="fixed"/>
        <w:tblLook w:firstColumn="1" w:firstRow="1" w:lastColumn="0" w:lastRow="0" w:noHBand="0" w:noVBand="1" w:val="04A0"/>
      </w:tblPr>
      <w:tblGrid>
        <w:gridCol w:w="3096"/>
        <w:gridCol w:w="684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Practice Function</w:t>
            </w:r>
          </w:p>
        </w:tc>
        <w:tc>
          <w:tcPr>
            <w:tcW w:type="dxa" w:w="5040"/>
            <w:shd w:fill="17365D"/>
            <w:tcMar>
              <w:top w:w="100" w:type="dxa"/>
              <w:start w:w="120" w:type="dxa"/>
              <w:bottom w:w="100" w:type="dxa"/>
              <w:end w:w="120" w:type="dxa"/>
            </w:tcMar>
          </w:tcPr>
          <w:p>
            <w:pPr>
              <w:spacing w:after="0"/>
            </w:pPr>
            <w:r>
              <w:rPr>
                <w:b/>
                <w:color w:val="FFFFFF"/>
                <w:sz w:val="16"/>
              </w:rPr>
              <w:t>Best-Answer Features</w:t>
            </w:r>
          </w:p>
        </w:tc>
      </w:tr>
      <w:tr>
        <w:trPr>
          <w:cantSplit/>
        </w:trPr>
        <w:tc>
          <w:tcPr>
            <w:tcW w:type="dxa" w:w="3096"/>
            <w:tcMar>
              <w:top w:w="100" w:type="dxa"/>
              <w:start w:w="120" w:type="dxa"/>
              <w:bottom w:w="100" w:type="dxa"/>
              <w:end w:w="120" w:type="dxa"/>
            </w:tcMar>
          </w:tcPr>
          <w:p>
            <w:pPr>
              <w:spacing w:after="0"/>
            </w:pPr>
            <w:r>
              <w:rPr>
                <w:sz w:val="16"/>
              </w:rPr>
              <w:t>Clinical intervention</w:t>
            </w:r>
          </w:p>
        </w:tc>
        <w:tc>
          <w:tcPr>
            <w:tcW w:type="dxa" w:w="6840"/>
            <w:tcMar>
              <w:top w:w="100" w:type="dxa"/>
              <w:start w:w="120" w:type="dxa"/>
              <w:bottom w:w="100" w:type="dxa"/>
              <w:end w:w="120" w:type="dxa"/>
            </w:tcMar>
          </w:tcPr>
          <w:p>
            <w:pPr>
              <w:spacing w:after="0"/>
            </w:pPr>
            <w:r>
              <w:rPr>
                <w:sz w:val="16"/>
              </w:rPr>
              <w:t>Matched to the formulation, readiness, culture, development, access, evidence, competence, and safety.</w:t>
            </w:r>
          </w:p>
        </w:tc>
      </w:tr>
      <w:tr>
        <w:trPr>
          <w:cantSplit/>
        </w:trPr>
        <w:tc>
          <w:tcPr>
            <w:tcW w:type="dxa" w:w="3096"/>
            <w:tcMar>
              <w:top w:w="100" w:type="dxa"/>
              <w:start w:w="120" w:type="dxa"/>
              <w:bottom w:w="100" w:type="dxa"/>
              <w:end w:w="120" w:type="dxa"/>
            </w:tcMar>
            <w:shd w:fill="F7F8FA"/>
          </w:tcPr>
          <w:p>
            <w:pPr>
              <w:spacing w:after="0"/>
            </w:pPr>
            <w:r>
              <w:rPr>
                <w:sz w:val="16"/>
              </w:rPr>
              <w:t>Family, couple, and group work</w:t>
            </w:r>
          </w:p>
        </w:tc>
        <w:tc>
          <w:tcPr>
            <w:tcW w:type="dxa" w:w="6840"/>
            <w:tcMar>
              <w:top w:w="100" w:type="dxa"/>
              <w:start w:w="120" w:type="dxa"/>
              <w:bottom w:w="100" w:type="dxa"/>
              <w:end w:w="120" w:type="dxa"/>
            </w:tcMar>
            <w:shd w:fill="F7F8FA"/>
          </w:tcPr>
          <w:p>
            <w:pPr>
              <w:spacing w:after="0"/>
            </w:pPr>
            <w:r>
              <w:rPr>
                <w:sz w:val="16"/>
              </w:rPr>
              <w:t>Appropriate screening, voluntariness, role clarity, interactional targets, norms, cohesion, and repair.</w:t>
            </w:r>
          </w:p>
        </w:tc>
      </w:tr>
      <w:tr>
        <w:trPr>
          <w:cantSplit/>
        </w:trPr>
        <w:tc>
          <w:tcPr>
            <w:tcW w:type="dxa" w:w="3096"/>
            <w:tcMar>
              <w:top w:w="100" w:type="dxa"/>
              <w:start w:w="120" w:type="dxa"/>
              <w:bottom w:w="100" w:type="dxa"/>
              <w:end w:w="120" w:type="dxa"/>
            </w:tcMar>
          </w:tcPr>
          <w:p>
            <w:pPr>
              <w:spacing w:after="0"/>
            </w:pPr>
            <w:r>
              <w:rPr>
                <w:sz w:val="16"/>
              </w:rPr>
              <w:t>Case management and advocacy</w:t>
            </w:r>
          </w:p>
        </w:tc>
        <w:tc>
          <w:tcPr>
            <w:tcW w:type="dxa" w:w="6840"/>
            <w:tcMar>
              <w:top w:w="100" w:type="dxa"/>
              <w:start w:w="120" w:type="dxa"/>
              <w:bottom w:w="100" w:type="dxa"/>
              <w:end w:w="120" w:type="dxa"/>
            </w:tcMar>
          </w:tcPr>
          <w:p>
            <w:pPr>
              <w:spacing w:after="0"/>
            </w:pPr>
            <w:r>
              <w:rPr>
                <w:sz w:val="16"/>
              </w:rPr>
              <w:t>Resource match, warm handoff, barrier reduction, client participation, follow-through, and system accountability.</w:t>
            </w:r>
          </w:p>
        </w:tc>
      </w:tr>
      <w:tr>
        <w:trPr>
          <w:cantSplit/>
        </w:trPr>
        <w:tc>
          <w:tcPr>
            <w:tcW w:type="dxa" w:w="3096"/>
            <w:tcMar>
              <w:top w:w="100" w:type="dxa"/>
              <w:start w:w="120" w:type="dxa"/>
              <w:bottom w:w="100" w:type="dxa"/>
              <w:end w:w="120" w:type="dxa"/>
            </w:tcMar>
            <w:shd w:fill="F7F8FA"/>
          </w:tcPr>
          <w:p>
            <w:pPr>
              <w:spacing w:after="0"/>
            </w:pPr>
            <w:r>
              <w:rPr>
                <w:sz w:val="16"/>
              </w:rPr>
              <w:t>Interdisciplinary collaboration</w:t>
            </w:r>
          </w:p>
        </w:tc>
        <w:tc>
          <w:tcPr>
            <w:tcW w:type="dxa" w:w="6840"/>
            <w:tcMar>
              <w:top w:w="100" w:type="dxa"/>
              <w:start w:w="120" w:type="dxa"/>
              <w:bottom w:w="100" w:type="dxa"/>
              <w:end w:w="120" w:type="dxa"/>
            </w:tcMar>
            <w:shd w:fill="F7F8FA"/>
          </w:tcPr>
          <w:p>
            <w:pPr>
              <w:spacing w:after="0"/>
            </w:pPr>
            <w:r>
              <w:rPr>
                <w:sz w:val="16"/>
              </w:rPr>
              <w:t>Consent, clear roles, relevant information, independent judgment, and assigned follow-up.</w:t>
            </w:r>
          </w:p>
        </w:tc>
      </w:tr>
      <w:tr>
        <w:trPr>
          <w:cantSplit/>
        </w:trPr>
        <w:tc>
          <w:tcPr>
            <w:tcW w:type="dxa" w:w="3096"/>
            <w:tcMar>
              <w:top w:w="100" w:type="dxa"/>
              <w:start w:w="120" w:type="dxa"/>
              <w:bottom w:w="100" w:type="dxa"/>
              <w:end w:w="120" w:type="dxa"/>
            </w:tcMar>
          </w:tcPr>
          <w:p>
            <w:pPr>
              <w:spacing w:after="0"/>
            </w:pPr>
            <w:r>
              <w:rPr>
                <w:sz w:val="16"/>
              </w:rPr>
              <w:t>Practice and program evaluation</w:t>
            </w:r>
          </w:p>
        </w:tc>
        <w:tc>
          <w:tcPr>
            <w:tcW w:type="dxa" w:w="6840"/>
            <w:tcMar>
              <w:top w:w="100" w:type="dxa"/>
              <w:start w:w="120" w:type="dxa"/>
              <w:bottom w:w="100" w:type="dxa"/>
              <w:end w:w="120" w:type="dxa"/>
            </w:tcMar>
          </w:tcPr>
          <w:p>
            <w:pPr>
              <w:spacing w:after="0"/>
            </w:pPr>
            <w:r>
              <w:rPr>
                <w:sz w:val="16"/>
              </w:rPr>
              <w:t>Clear question, measurable objective, appropriate data, ethical collection, cautious interpretation, and action.</w:t>
            </w:r>
          </w:p>
        </w:tc>
      </w:tr>
      <w:tr>
        <w:trPr>
          <w:cantSplit/>
        </w:trPr>
        <w:tc>
          <w:tcPr>
            <w:tcW w:type="dxa" w:w="3096"/>
            <w:tcMar>
              <w:top w:w="100" w:type="dxa"/>
              <w:start w:w="120" w:type="dxa"/>
              <w:bottom w:w="100" w:type="dxa"/>
              <w:end w:w="120" w:type="dxa"/>
            </w:tcMar>
            <w:shd w:fill="F7F8FA"/>
          </w:tcPr>
          <w:p>
            <w:pPr>
              <w:spacing w:after="0"/>
            </w:pPr>
            <w:r>
              <w:rPr>
                <w:sz w:val="16"/>
              </w:rPr>
              <w:t>Supervision and administration</w:t>
            </w:r>
          </w:p>
        </w:tc>
        <w:tc>
          <w:tcPr>
            <w:tcW w:type="dxa" w:w="6840"/>
            <w:tcMar>
              <w:top w:w="100" w:type="dxa"/>
              <w:start w:w="120" w:type="dxa"/>
              <w:bottom w:w="100" w:type="dxa"/>
              <w:end w:w="120" w:type="dxa"/>
            </w:tcMar>
            <w:shd w:fill="F7F8FA"/>
          </w:tcPr>
          <w:p>
            <w:pPr>
              <w:spacing w:after="0"/>
            </w:pPr>
            <w:r>
              <w:rPr>
                <w:sz w:val="16"/>
              </w:rPr>
              <w:t>Prompt disclosure of risk and uncertainty, fair process, quality improvement, inclusion, and system-level safeguards.</w:t>
            </w:r>
          </w:p>
        </w:tc>
      </w:tr>
    </w:tbl>
    <w:p>
      <w:pPr>
        <w:spacing w:after="0"/>
      </w:pPr>
    </w:p>
    <w:p>
      <w:pPr>
        <w:pStyle w:val="Heading1"/>
      </w:pPr>
      <w:r>
        <w:t>8. Time, Confidence, and Answer Changes</w:t>
      </w:r>
    </w:p>
    <w:p>
      <w:pPr>
        <w:pStyle w:val="ListBullet"/>
      </w:pPr>
      <w:r>
        <w:t>Use roughly two minutes per question as a planning average, while allowing some questions to take less and others more.</w:t>
      </w:r>
    </w:p>
    <w:p>
      <w:pPr>
        <w:pStyle w:val="ListBullet"/>
      </w:pPr>
      <w:r>
        <w:t>Mark a response before moving on; an unanswered question cannot earn credit.</w:t>
      </w:r>
    </w:p>
    <w:p>
      <w:pPr>
        <w:pStyle w:val="ListBullet"/>
      </w:pPr>
      <w:r>
        <w:t>Use confidence ratings to guide review, not to trigger automatic answer changes.</w:t>
      </w:r>
    </w:p>
    <w:p>
      <w:pPr>
        <w:pStyle w:val="ListBullet"/>
      </w:pPr>
      <w:r>
        <w:t>Change an answer when you identify a specific rule, fact, or sequence that makes the original choice weaker—not merely because another option sounds more sophisticated.</w:t>
      </w:r>
    </w:p>
    <w:p>
      <w:pPr>
        <w:pStyle w:val="ListBullet"/>
      </w:pPr>
      <w:r>
        <w:t>During review, focus on items with a concrete unresolved distinction rather than rereading every question from scratch.</w:t>
      </w:r>
    </w:p>
    <w:p>
      <w:pPr>
        <w:pStyle w:val="Heading1"/>
      </w:pPr>
      <w:r>
        <w:t>9. Common Integrated Exam Traps</w:t>
      </w:r>
    </w:p>
    <w:tbl>
      <w:tblPr>
        <w:tblStyle w:val="TableGrid"/>
        <w:tblW w:type="auto" w:w="0"/>
        <w:jc w:val="center"/>
        <w:tblLayout w:type="fixed"/>
        <w:tblLook w:firstColumn="1" w:firstRow="1" w:lastColumn="0" w:lastRow="0" w:noHBand="0" w:noVBand="1" w:val="04A0"/>
      </w:tblPr>
      <w:tblGrid>
        <w:gridCol w:w="4320"/>
        <w:gridCol w:w="56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Trap</w:t>
            </w:r>
          </w:p>
        </w:tc>
        <w:tc>
          <w:tcPr>
            <w:tcW w:type="dxa" w:w="5040"/>
            <w:shd w:fill="17365D"/>
            <w:tcMar>
              <w:top w:w="100" w:type="dxa"/>
              <w:start w:w="120" w:type="dxa"/>
              <w:bottom w:w="100" w:type="dxa"/>
              <w:end w:w="120" w:type="dxa"/>
            </w:tcMar>
          </w:tcPr>
          <w:p>
            <w:pPr>
              <w:spacing w:after="0"/>
            </w:pPr>
            <w:r>
              <w:rPr>
                <w:b/>
                <w:color w:val="FFFFFF"/>
                <w:sz w:val="16"/>
              </w:rPr>
              <w:t>Correction</w:t>
            </w:r>
          </w:p>
        </w:tc>
      </w:tr>
      <w:tr>
        <w:trPr>
          <w:cantSplit/>
        </w:trPr>
        <w:tc>
          <w:tcPr>
            <w:tcW w:type="dxa" w:w="4320"/>
            <w:tcMar>
              <w:top w:w="100" w:type="dxa"/>
              <w:start w:w="120" w:type="dxa"/>
              <w:bottom w:w="100" w:type="dxa"/>
              <w:end w:w="120" w:type="dxa"/>
            </w:tcMar>
          </w:tcPr>
          <w:p>
            <w:pPr>
              <w:spacing w:after="0"/>
            </w:pPr>
            <w:r>
              <w:rPr>
                <w:sz w:val="16"/>
              </w:rPr>
              <w:t>Acting before assessing immediate risk or medical urgency</w:t>
            </w:r>
          </w:p>
        </w:tc>
        <w:tc>
          <w:tcPr>
            <w:tcW w:type="dxa" w:w="5616"/>
            <w:tcMar>
              <w:top w:w="100" w:type="dxa"/>
              <w:start w:w="120" w:type="dxa"/>
              <w:bottom w:w="100" w:type="dxa"/>
              <w:end w:w="120" w:type="dxa"/>
            </w:tcMar>
          </w:tcPr>
          <w:p>
            <w:pPr>
              <w:spacing w:after="0"/>
            </w:pPr>
            <w:r>
              <w:rPr>
                <w:sz w:val="16"/>
              </w:rPr>
              <w:t>Address safety and acute health needs first.</w:t>
            </w:r>
          </w:p>
        </w:tc>
      </w:tr>
      <w:tr>
        <w:trPr>
          <w:cantSplit/>
        </w:trPr>
        <w:tc>
          <w:tcPr>
            <w:tcW w:type="dxa" w:w="4320"/>
            <w:tcMar>
              <w:top w:w="100" w:type="dxa"/>
              <w:start w:w="120" w:type="dxa"/>
              <w:bottom w:w="100" w:type="dxa"/>
              <w:end w:w="120" w:type="dxa"/>
            </w:tcMar>
            <w:shd w:fill="F7F8FA"/>
          </w:tcPr>
          <w:p>
            <w:pPr>
              <w:spacing w:after="0"/>
            </w:pPr>
            <w:r>
              <w:rPr>
                <w:sz w:val="16"/>
              </w:rPr>
              <w:t>Overriding a capable client because the professional prefers another choice</w:t>
            </w:r>
          </w:p>
        </w:tc>
        <w:tc>
          <w:tcPr>
            <w:tcW w:type="dxa" w:w="5616"/>
            <w:tcMar>
              <w:top w:w="100" w:type="dxa"/>
              <w:start w:w="120" w:type="dxa"/>
              <w:bottom w:w="100" w:type="dxa"/>
              <w:end w:w="120" w:type="dxa"/>
            </w:tcMar>
            <w:shd w:fill="F7F8FA"/>
          </w:tcPr>
          <w:p>
            <w:pPr>
              <w:spacing w:after="0"/>
            </w:pPr>
            <w:r>
              <w:rPr>
                <w:sz w:val="16"/>
              </w:rPr>
              <w:t>Support informed self-determination unless a specific limit applies.</w:t>
            </w:r>
          </w:p>
        </w:tc>
      </w:tr>
      <w:tr>
        <w:trPr>
          <w:cantSplit/>
        </w:trPr>
        <w:tc>
          <w:tcPr>
            <w:tcW w:type="dxa" w:w="4320"/>
            <w:tcMar>
              <w:top w:w="100" w:type="dxa"/>
              <w:start w:w="120" w:type="dxa"/>
              <w:bottom w:w="100" w:type="dxa"/>
              <w:end w:w="120" w:type="dxa"/>
            </w:tcMar>
          </w:tcPr>
          <w:p>
            <w:pPr>
              <w:spacing w:after="0"/>
            </w:pPr>
            <w:r>
              <w:rPr>
                <w:sz w:val="16"/>
              </w:rPr>
              <w:t>Treating culture or environment as background information</w:t>
            </w:r>
          </w:p>
        </w:tc>
        <w:tc>
          <w:tcPr>
            <w:tcW w:type="dxa" w:w="5616"/>
            <w:tcMar>
              <w:top w:w="100" w:type="dxa"/>
              <w:start w:w="120" w:type="dxa"/>
              <w:bottom w:w="100" w:type="dxa"/>
              <w:end w:w="120" w:type="dxa"/>
            </w:tcMar>
          </w:tcPr>
          <w:p>
            <w:pPr>
              <w:spacing w:after="0"/>
            </w:pPr>
            <w:r>
              <w:rPr>
                <w:sz w:val="16"/>
              </w:rPr>
              <w:t>Integrate meaning, access, power, resources, and structural barriers into the plan.</w:t>
            </w:r>
          </w:p>
        </w:tc>
      </w:tr>
      <w:tr>
        <w:trPr>
          <w:cantSplit/>
        </w:trPr>
        <w:tc>
          <w:tcPr>
            <w:tcW w:type="dxa" w:w="4320"/>
            <w:tcMar>
              <w:top w:w="100" w:type="dxa"/>
              <w:start w:w="120" w:type="dxa"/>
              <w:bottom w:w="100" w:type="dxa"/>
              <w:end w:w="120" w:type="dxa"/>
            </w:tcMar>
            <w:shd w:fill="F7F8FA"/>
          </w:tcPr>
          <w:p>
            <w:pPr>
              <w:spacing w:after="0"/>
            </w:pPr>
            <w:r>
              <w:rPr>
                <w:sz w:val="16"/>
              </w:rPr>
              <w:t>Diagnosing from one symptom or without chronology</w:t>
            </w:r>
          </w:p>
        </w:tc>
        <w:tc>
          <w:tcPr>
            <w:tcW w:type="dxa" w:w="5616"/>
            <w:tcMar>
              <w:top w:w="100" w:type="dxa"/>
              <w:start w:w="120" w:type="dxa"/>
              <w:bottom w:w="100" w:type="dxa"/>
              <w:end w:w="120" w:type="dxa"/>
            </w:tcMar>
            <w:shd w:fill="F7F8FA"/>
          </w:tcPr>
          <w:p>
            <w:pPr>
              <w:spacing w:after="0"/>
            </w:pPr>
            <w:r>
              <w:rPr>
                <w:sz w:val="16"/>
              </w:rPr>
              <w:t>Assess pattern, duration, impairment, differential, medical and substance factors, and context.</w:t>
            </w:r>
          </w:p>
        </w:tc>
      </w:tr>
      <w:tr>
        <w:trPr>
          <w:cantSplit/>
        </w:trPr>
        <w:tc>
          <w:tcPr>
            <w:tcW w:type="dxa" w:w="4320"/>
            <w:tcMar>
              <w:top w:w="100" w:type="dxa"/>
              <w:start w:w="120" w:type="dxa"/>
              <w:bottom w:w="100" w:type="dxa"/>
              <w:end w:w="120" w:type="dxa"/>
            </w:tcMar>
          </w:tcPr>
          <w:p>
            <w:pPr>
              <w:spacing w:after="0"/>
            </w:pPr>
            <w:r>
              <w:rPr>
                <w:sz w:val="16"/>
              </w:rPr>
              <w:t>Referring without a warm handoff or barrier assessment</w:t>
            </w:r>
          </w:p>
        </w:tc>
        <w:tc>
          <w:tcPr>
            <w:tcW w:type="dxa" w:w="5616"/>
            <w:tcMar>
              <w:top w:w="100" w:type="dxa"/>
              <w:start w:w="120" w:type="dxa"/>
              <w:bottom w:w="100" w:type="dxa"/>
              <w:end w:w="120" w:type="dxa"/>
            </w:tcMar>
          </w:tcPr>
          <w:p>
            <w:pPr>
              <w:spacing w:after="0"/>
            </w:pPr>
            <w:r>
              <w:rPr>
                <w:sz w:val="16"/>
              </w:rPr>
              <w:t>Match the resource, coordinate with consent, and confirm connection.</w:t>
            </w:r>
          </w:p>
        </w:tc>
      </w:tr>
      <w:tr>
        <w:trPr>
          <w:cantSplit/>
        </w:trPr>
        <w:tc>
          <w:tcPr>
            <w:tcW w:type="dxa" w:w="4320"/>
            <w:tcMar>
              <w:top w:w="100" w:type="dxa"/>
              <w:start w:w="120" w:type="dxa"/>
              <w:bottom w:w="100" w:type="dxa"/>
              <w:end w:w="120" w:type="dxa"/>
            </w:tcMar>
            <w:shd w:fill="F7F8FA"/>
          </w:tcPr>
          <w:p>
            <w:pPr>
              <w:spacing w:after="0"/>
            </w:pPr>
            <w:r>
              <w:rPr>
                <w:sz w:val="16"/>
              </w:rPr>
              <w:t>Using supervision as a substitute for immediate safety action</w:t>
            </w:r>
          </w:p>
        </w:tc>
        <w:tc>
          <w:tcPr>
            <w:tcW w:type="dxa" w:w="5616"/>
            <w:tcMar>
              <w:top w:w="100" w:type="dxa"/>
              <w:start w:w="120" w:type="dxa"/>
              <w:bottom w:w="100" w:type="dxa"/>
              <w:end w:w="120" w:type="dxa"/>
            </w:tcMar>
            <w:shd w:fill="F7F8FA"/>
          </w:tcPr>
          <w:p>
            <w:pPr>
              <w:spacing w:after="0"/>
            </w:pPr>
            <w:r>
              <w:rPr>
                <w:sz w:val="16"/>
              </w:rPr>
              <w:t>Act on urgent duties while obtaining consultation promptly.</w:t>
            </w:r>
          </w:p>
        </w:tc>
      </w:tr>
      <w:tr>
        <w:trPr>
          <w:cantSplit/>
        </w:trPr>
        <w:tc>
          <w:tcPr>
            <w:tcW w:type="dxa" w:w="4320"/>
            <w:tcMar>
              <w:top w:w="100" w:type="dxa"/>
              <w:start w:w="120" w:type="dxa"/>
              <w:bottom w:w="100" w:type="dxa"/>
              <w:end w:w="120" w:type="dxa"/>
            </w:tcMar>
          </w:tcPr>
          <w:p>
            <w:pPr>
              <w:spacing w:after="0"/>
            </w:pPr>
            <w:r>
              <w:rPr>
                <w:sz w:val="16"/>
              </w:rPr>
              <w:t>Selecting an intensive intervention before a less intrusive effective option</w:t>
            </w:r>
          </w:p>
        </w:tc>
        <w:tc>
          <w:tcPr>
            <w:tcW w:type="dxa" w:w="5616"/>
            <w:tcMar>
              <w:top w:w="100" w:type="dxa"/>
              <w:start w:w="120" w:type="dxa"/>
              <w:bottom w:w="100" w:type="dxa"/>
              <w:end w:w="120" w:type="dxa"/>
            </w:tcMar>
          </w:tcPr>
          <w:p>
            <w:pPr>
              <w:spacing w:after="0"/>
            </w:pPr>
            <w:r>
              <w:rPr>
                <w:sz w:val="16"/>
              </w:rPr>
              <w:t>Match intensity to actual acuity, readiness, and level-of-care need.</w:t>
            </w:r>
          </w:p>
        </w:tc>
      </w:tr>
      <w:tr>
        <w:trPr>
          <w:cantSplit/>
        </w:trPr>
        <w:tc>
          <w:tcPr>
            <w:tcW w:type="dxa" w:w="4320"/>
            <w:tcMar>
              <w:top w:w="100" w:type="dxa"/>
              <w:start w:w="120" w:type="dxa"/>
              <w:bottom w:w="100" w:type="dxa"/>
              <w:end w:w="120" w:type="dxa"/>
            </w:tcMar>
            <w:shd w:fill="F7F8FA"/>
          </w:tcPr>
          <w:p>
            <w:pPr>
              <w:spacing w:after="0"/>
            </w:pPr>
            <w:r>
              <w:rPr>
                <w:sz w:val="16"/>
              </w:rPr>
              <w:t>Importing one state’s law into a national question</w:t>
            </w:r>
          </w:p>
        </w:tc>
        <w:tc>
          <w:tcPr>
            <w:tcW w:type="dxa" w:w="5616"/>
            <w:tcMar>
              <w:top w:w="100" w:type="dxa"/>
              <w:start w:w="120" w:type="dxa"/>
              <w:bottom w:w="100" w:type="dxa"/>
              <w:end w:w="120" w:type="dxa"/>
            </w:tcMar>
            <w:shd w:fill="F7F8FA"/>
          </w:tcPr>
          <w:p>
            <w:pPr>
              <w:spacing w:after="0"/>
            </w:pPr>
            <w:r>
              <w:rPr>
                <w:sz w:val="16"/>
              </w:rPr>
              <w:t>Use general ethical and professional principles unless jurisdiction is specified.</w:t>
            </w:r>
          </w:p>
        </w:tc>
      </w:tr>
    </w:tbl>
    <w:p>
      <w:pPr>
        <w:spacing w:after="0"/>
      </w:pPr>
    </w:p>
    <w:p>
      <w:pPr>
        <w:pStyle w:val="Heading1"/>
      </w:pPr>
      <w:r>
        <w:t>10. Mock Preparation Worksheet</w:t>
      </w:r>
    </w:p>
    <w:tbl>
      <w:tblPr>
        <w:tblStyle w:val="TableGrid"/>
        <w:tblW w:type="auto" w:w="0"/>
        <w:jc w:val="center"/>
        <w:tblLayout w:type="fixed"/>
        <w:tblLook w:firstColumn="1" w:firstRow="1" w:lastColumn="0" w:lastRow="0" w:noHBand="0" w:noVBand="1" w:val="04A0"/>
      </w:tblPr>
      <w:tblGrid>
        <w:gridCol w:w="5904"/>
        <w:gridCol w:w="40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Preparation Item</w:t>
            </w:r>
          </w:p>
        </w:tc>
        <w:tc>
          <w:tcPr>
            <w:tcW w:type="dxa" w:w="5040"/>
            <w:shd w:fill="17365D"/>
            <w:tcMar>
              <w:top w:w="100" w:type="dxa"/>
              <w:start w:w="120" w:type="dxa"/>
              <w:bottom w:w="100" w:type="dxa"/>
              <w:end w:w="120" w:type="dxa"/>
            </w:tcMar>
          </w:tcPr>
          <w:p>
            <w:pPr>
              <w:spacing w:after="0"/>
            </w:pPr>
            <w:r>
              <w:rPr>
                <w:b/>
                <w:color w:val="FFFFFF"/>
                <w:sz w:val="16"/>
              </w:rPr>
              <w:t>My Plan</w:t>
            </w:r>
          </w:p>
        </w:tc>
      </w:tr>
      <w:tr>
        <w:trPr>
          <w:cantSplit/>
        </w:trPr>
        <w:tc>
          <w:tcPr>
            <w:tcW w:type="dxa" w:w="5904"/>
            <w:tcMar>
              <w:top w:w="100" w:type="dxa"/>
              <w:start w:w="120" w:type="dxa"/>
              <w:bottom w:w="100" w:type="dxa"/>
              <w:end w:w="120" w:type="dxa"/>
            </w:tcMar>
          </w:tcPr>
          <w:p>
            <w:pPr>
              <w:spacing w:after="0"/>
            </w:pPr>
            <w:r>
              <w:rPr>
                <w:sz w:val="16"/>
              </w:rPr>
              <w:t>Date, start time, and 50-minute stopping time</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Testing environment and interruptions to remove</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Pacing check after question 8 and question 17</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How I will mark low-confidence items</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What will justify changing an answer</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Post-mock review date and weakest content area</w:t>
            </w:r>
          </w:p>
        </w:tc>
        <w:tc>
          <w:tcPr>
            <w:tcW w:type="dxa" w:w="4032"/>
            <w:tcMar>
              <w:top w:w="100" w:type="dxa"/>
              <w:start w:w="120" w:type="dxa"/>
              <w:bottom w:w="100" w:type="dxa"/>
              <w:end w:w="120" w:type="dxa"/>
            </w:tcMar>
            <w:shd w:fill="F7F8FA"/>
          </w:tcPr>
          <w:p>
            <w:pPr>
              <w:spacing w:after="0"/>
            </w:pPr>
            <w:r>
              <w:rPr>
                <w:sz w:val="16"/>
              </w:rPr>
            </w:r>
          </w:p>
        </w:tc>
      </w:tr>
    </w:tbl>
    <w:p>
      <w:pPr>
        <w:spacing w:after="0"/>
      </w:pPr>
    </w:p>
    <w:p>
      <w:pPr>
        <w:pStyle w:val="Heading1"/>
      </w:pPr>
      <w:r>
        <w:t>Chapter Summary</w:t>
      </w:r>
    </w:p>
    <w:p>
      <w:pPr>
        <w:pStyle w:val="ListBullet"/>
      </w:pPr>
      <w:r>
        <w:t>The current Clinical exam contains 122 questions, including 12 unscored items, in two 61-question sections with two hours per section; this workbook provides only a 25-question learning simulation.</w:t>
      </w:r>
    </w:p>
    <w:p>
      <w:pPr>
        <w:pStyle w:val="ListBullet"/>
      </w:pPr>
      <w:r>
        <w:t>Use CLINIC: clarify the client and context, locate immediate priorities, identify the question task, name the practice stage, integrate ethics and person-in-environment factors, and choose the best-supported response.</w:t>
      </w:r>
    </w:p>
    <w:p>
      <w:pPr>
        <w:pStyle w:val="ListBullet"/>
      </w:pPr>
      <w:r>
        <w:t>Safety, acute medical concerns, mandatory duties, capacity, consent, confidentiality, and competence generally precede routine intervention or administrative convenience.</w:t>
      </w:r>
    </w:p>
    <w:p>
      <w:pPr>
        <w:pStyle w:val="ListBullet"/>
      </w:pPr>
      <w:r>
        <w:t>Do not add facts. Use the exact qualifier and distinguish an assessment step from a plan, an intervention from a referral, and consultation from transferring responsibility.</w:t>
      </w:r>
    </w:p>
    <w:p>
      <w:pPr>
        <w:pStyle w:val="ListBullet"/>
      </w:pPr>
      <w:r>
        <w:t>Review errors by content area, missing knowledge, sequence, distractor pattern, and confidence. Change an answer only when a specific fact, principle, or sequence makes the original choice weaker.</w:t>
      </w:r>
    </w:p>
    <w:p>
      <w:pPr>
        <w:pStyle w:val="Heading1"/>
        <w:pageBreakBefore/>
      </w:pPr>
      <w:r>
        <w:t>Integrated 25-Question Mini-Mock Examination</w:t>
      </w:r>
    </w:p>
    <w:p>
      <w:r>
        <w:rPr>
          <w:i w:val="0"/>
        </w:rPr>
        <w:t>Set a 50-minute timer and complete all 25 original CTA items without notes. The distribution scales the 2026 Clinical blueprint to 9 Values and Ethics, 8 Assessment and Planning, and 8 Intervention and Practice questions. Record confidence as you answer, but review rationales only after completing the full set. This mini-mock does not reproduce the two-section structure or predict a passing score.</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7"/>
              </w:rPr>
              <w:t>Question</w:t>
            </w:r>
          </w:p>
        </w:tc>
        <w:tc>
          <w:tcPr>
            <w:tcW w:type="dxa" w:w="2520"/>
            <w:shd w:fill="17365D"/>
            <w:tcMar>
              <w:top w:w="100" w:type="dxa"/>
              <w:start w:w="120" w:type="dxa"/>
              <w:bottom w:w="100" w:type="dxa"/>
              <w:end w:w="120" w:type="dxa"/>
            </w:tcMar>
          </w:tcPr>
          <w:p>
            <w:pPr>
              <w:spacing w:after="0"/>
            </w:pPr>
            <w:r>
              <w:rPr>
                <w:b/>
                <w:color w:val="FFFFFF"/>
                <w:sz w:val="17"/>
              </w:rPr>
              <w:t>Your Answer</w:t>
            </w:r>
          </w:p>
        </w:tc>
        <w:tc>
          <w:tcPr>
            <w:tcW w:type="dxa" w:w="2520"/>
            <w:shd w:fill="17365D"/>
            <w:tcMar>
              <w:top w:w="100" w:type="dxa"/>
              <w:start w:w="120" w:type="dxa"/>
              <w:bottom w:w="100" w:type="dxa"/>
              <w:end w:w="120" w:type="dxa"/>
            </w:tcMar>
          </w:tcPr>
          <w:p>
            <w:pPr>
              <w:spacing w:after="0"/>
            </w:pPr>
            <w:r>
              <w:rPr>
                <w:b/>
                <w:color w:val="FFFFFF"/>
                <w:sz w:val="17"/>
              </w:rPr>
              <w:t>Confidence (1-3)</w:t>
            </w:r>
          </w:p>
        </w:tc>
        <w:tc>
          <w:tcPr>
            <w:tcW w:type="dxa" w:w="2520"/>
            <w:shd w:fill="17365D"/>
            <w:tcMar>
              <w:top w:w="100" w:type="dxa"/>
              <w:start w:w="120" w:type="dxa"/>
              <w:bottom w:w="100" w:type="dxa"/>
              <w:end w:w="120" w:type="dxa"/>
            </w:tcMar>
          </w:tcPr>
          <w:p>
            <w:pPr>
              <w:spacing w:after="0"/>
            </w:pPr>
            <w:r>
              <w:rPr>
                <w:b/>
                <w:color w:val="FFFFFF"/>
                <w:sz w:val="17"/>
              </w:rPr>
              <w:t>Review?</w:t>
            </w:r>
          </w:p>
        </w:tc>
      </w:tr>
      <w:tr>
        <w:trPr>
          <w:cantSplit/>
        </w:trPr>
        <w:tc>
          <w:tcPr>
            <w:tcW w:type="dxa" w:w="1728"/>
            <w:tcMar>
              <w:top w:w="100" w:type="dxa"/>
              <w:start w:w="120" w:type="dxa"/>
              <w:bottom w:w="100" w:type="dxa"/>
              <w:end w:w="120" w:type="dxa"/>
            </w:tcMar>
          </w:tcPr>
          <w:p>
            <w:pPr>
              <w:spacing w:after="0"/>
            </w:pPr>
            <w:r>
              <w:rPr>
                <w:sz w:val="17"/>
              </w:rPr>
              <w:t>1</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2</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3</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4</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5</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6</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7</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8</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9</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10</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11</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12</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13</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14</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15</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16</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17</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18</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19</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20</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21</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22</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23</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24</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25</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bl>
    <w:p>
      <w:pPr>
        <w:spacing w:after="0"/>
      </w:pPr>
    </w:p>
    <w:p>
      <w:pPr>
        <w:keepNext/>
        <w:spacing w:before="120" w:after="40" w:line="240" w:lineRule="auto"/>
      </w:pPr>
      <w:r>
        <w:t>LCSW-WB12-Q001 | Values and Ethics | Reasoning | Moderate | Primary concept: Self-determination and informed choice</w:t>
      </w:r>
    </w:p>
    <w:p>
      <w:pPr>
        <w:keepNext/>
        <w:keepLines/>
        <w:spacing w:before="80"/>
      </w:pPr>
      <w:r>
        <w:rPr>
          <w:b/>
          <w:i w:val="0"/>
        </w:rPr>
        <w:t>1. A capable adult living in a shelter declines a housing placement because it would separate the client from a support network. The social worker believes the placement is safer. What should the social worker do FIRST?</w:t>
      </w:r>
    </w:p>
    <w:p>
      <w:pPr>
        <w:keepNext/>
        <w:keepLines/>
        <w:spacing w:after="20"/>
        <w:ind w:left="259"/>
      </w:pPr>
      <w:r>
        <w:t>A. Explore the client’s reasons, understanding, risks, alternatives, and priorities, then support informed decision-making.</w:t>
      </w:r>
    </w:p>
    <w:p>
      <w:pPr>
        <w:keepNext/>
        <w:keepLines/>
        <w:spacing w:after="20"/>
        <w:ind w:left="259"/>
      </w:pPr>
      <w:r>
        <w:t>B. Accept the refusal without discussing consequences.</w:t>
      </w:r>
    </w:p>
    <w:p>
      <w:pPr>
        <w:keepNext/>
        <w:keepLines/>
        <w:spacing w:after="20"/>
        <w:ind w:left="259"/>
      </w:pPr>
      <w:r>
        <w:t>C. Tell the shelter to require the placement.</w:t>
      </w:r>
    </w:p>
    <w:p>
      <w:pPr>
        <w:keepNext w:val="0"/>
        <w:spacing w:before="0" w:after="120" w:line="240" w:lineRule="auto"/>
      </w:pPr>
      <w:r>
        <w:t>My answer: ______  Confidence: 1  2  3</w:t>
      </w:r>
    </w:p>
    <w:p>
      <w:pPr>
        <w:keepNext/>
        <w:spacing w:before="120" w:after="40" w:line="240" w:lineRule="auto"/>
      </w:pPr>
      <w:r>
        <w:t>LCSW-WB12-Q002 | Values and Ethics | Application | Moderate | Primary concept: Language access and confidentiality</w:t>
      </w:r>
    </w:p>
    <w:p>
      <w:pPr>
        <w:keepNext/>
        <w:keepLines/>
        <w:spacing w:before="80"/>
      </w:pPr>
      <w:r>
        <w:rPr>
          <w:b/>
          <w:i w:val="0"/>
        </w:rPr>
        <w:t>2. A client with limited English proficiency arrives with a 12-year-old child who offers to interpret a trauma assessment. What is the BEST response?</w:t>
      </w:r>
    </w:p>
    <w:p>
      <w:pPr>
        <w:keepNext/>
        <w:keepLines/>
        <w:spacing w:after="20"/>
        <w:ind w:left="259"/>
      </w:pPr>
      <w:r>
        <w:t>A. Use the child because the client brought the child voluntarily.</w:t>
      </w:r>
    </w:p>
    <w:p>
      <w:pPr>
        <w:keepNext/>
        <w:keepLines/>
        <w:spacing w:after="20"/>
        <w:ind w:left="259"/>
      </w:pPr>
      <w:r>
        <w:t>B. Postpone all services indefinitely.</w:t>
      </w:r>
    </w:p>
    <w:p>
      <w:pPr>
        <w:keepNext/>
        <w:keepLines/>
        <w:spacing w:after="20"/>
        <w:ind w:left="259"/>
      </w:pPr>
      <w:r>
        <w:t>C. Arrange a qualified interpreter and explain the role and confidentiality expectations.</w:t>
      </w:r>
    </w:p>
    <w:p>
      <w:pPr>
        <w:keepNext w:val="0"/>
        <w:spacing w:before="0" w:after="120" w:line="240" w:lineRule="auto"/>
      </w:pPr>
      <w:r>
        <w:t>My answer: ______  Confidence: 1  2  3</w:t>
      </w:r>
    </w:p>
    <w:p>
      <w:pPr>
        <w:keepNext/>
        <w:spacing w:before="120" w:after="40" w:line="240" w:lineRule="auto"/>
      </w:pPr>
      <w:r>
        <w:t>LCSW-WB12-Q003 | Values and Ethics | Reasoning | Challenge | Primary concept: Documentation integrity and billing</w:t>
      </w:r>
    </w:p>
    <w:p>
      <w:pPr>
        <w:keepNext/>
        <w:keepLines/>
        <w:spacing w:before="80"/>
      </w:pPr>
      <w:r>
        <w:rPr>
          <w:b/>
          <w:i w:val="0"/>
        </w:rPr>
        <w:t>3. A social worker discovers that a colleague copied the same detailed progress note into several client records and billed services that may not have occurred. What should the social worker do FIRST?</w:t>
      </w:r>
    </w:p>
    <w:p>
      <w:pPr>
        <w:keepNext/>
        <w:keepLines/>
        <w:spacing w:after="20"/>
        <w:ind w:left="259"/>
      </w:pPr>
      <w:r>
        <w:t>A. Delete the colleague’s notes from every record.</w:t>
      </w:r>
    </w:p>
    <w:p>
      <w:pPr>
        <w:keepNext/>
        <w:keepLines/>
        <w:spacing w:after="20"/>
        <w:ind w:left="259"/>
      </w:pPr>
      <w:r>
        <w:t>B. Ignore the issue because the colleague is independently licensed.</w:t>
      </w:r>
    </w:p>
    <w:p>
      <w:pPr>
        <w:keepNext/>
        <w:keepLines/>
        <w:spacing w:after="20"/>
        <w:ind w:left="259"/>
      </w:pPr>
      <w:r>
        <w:t>C. Confront the colleague publicly in a staff meeting.</w:t>
      </w:r>
    </w:p>
    <w:p>
      <w:pPr>
        <w:keepNext/>
        <w:keepLines/>
        <w:spacing w:after="20"/>
        <w:ind w:left="259"/>
      </w:pPr>
      <w:r>
        <w:t>D. Clarify the available facts and urgency, preserve records, and consult the appropriate supervisor or compliance process.</w:t>
      </w:r>
    </w:p>
    <w:p>
      <w:pPr>
        <w:keepNext w:val="0"/>
        <w:spacing w:before="0" w:after="120" w:line="240" w:lineRule="auto"/>
      </w:pPr>
      <w:r>
        <w:t>My answer: ______  Confidence: 1  2  3</w:t>
      </w:r>
    </w:p>
    <w:p>
      <w:pPr>
        <w:keepNext/>
        <w:spacing w:before="120" w:after="40" w:line="240" w:lineRule="auto"/>
      </w:pPr>
      <w:r>
        <w:t>LCSW-WB12-Q004 | Values and Ethics | Application | Moderate | Primary concept: Electronic boundaries and social media</w:t>
      </w:r>
    </w:p>
    <w:p>
      <w:pPr>
        <w:keepNext/>
        <w:keepLines/>
        <w:spacing w:before="80"/>
      </w:pPr>
      <w:r>
        <w:rPr>
          <w:b/>
          <w:i w:val="0"/>
        </w:rPr>
        <w:t>4. A current client sends a friend request to the social worker’s personal social media account. What should the social worker do NEXT?</w:t>
      </w:r>
    </w:p>
    <w:p>
      <w:pPr>
        <w:keepNext/>
        <w:keepLines/>
        <w:spacing w:after="20"/>
        <w:ind w:left="259"/>
      </w:pPr>
      <w:r>
        <w:t>A. Accept the request to strengthen rapport.</w:t>
      </w:r>
    </w:p>
    <w:p>
      <w:pPr>
        <w:keepNext/>
        <w:keepLines/>
        <w:spacing w:after="20"/>
        <w:ind w:left="259"/>
      </w:pPr>
      <w:r>
        <w:t>B. Follow the electronic-communication policy, avoid the personal connection, and discuss the request in treatment if clinically relevant.</w:t>
      </w:r>
    </w:p>
    <w:p>
      <w:pPr>
        <w:keepNext/>
        <w:keepLines/>
        <w:spacing w:after="20"/>
        <w:ind w:left="259"/>
      </w:pPr>
      <w:r>
        <w:t>C. Publicly explain that professional ethics prevent accepting clients.</w:t>
      </w:r>
    </w:p>
    <w:p>
      <w:pPr>
        <w:keepNext w:val="0"/>
        <w:spacing w:before="0" w:after="120" w:line="240" w:lineRule="auto"/>
      </w:pPr>
      <w:r>
        <w:t>My answer: ______  Confidence: 1  2  3</w:t>
      </w:r>
    </w:p>
    <w:p>
      <w:pPr>
        <w:keepNext/>
        <w:spacing w:before="120" w:after="40" w:line="240" w:lineRule="auto"/>
      </w:pPr>
      <w:r>
        <w:t>LCSW-WB12-Q005 | Values and Ethics | Reasoning | Moderate | Primary concept: Multiple relationships in a small community</w:t>
      </w:r>
    </w:p>
    <w:p>
      <w:pPr>
        <w:keepNext/>
        <w:keepLines/>
        <w:spacing w:before="80"/>
      </w:pPr>
      <w:r>
        <w:rPr>
          <w:b/>
          <w:i w:val="0"/>
        </w:rPr>
        <w:t>5. A social worker in a remote community learns that a new client volunteers at the only food distribution site where the social worker also volunteers monthly. What is the BEST response?</w:t>
      </w:r>
    </w:p>
    <w:p>
      <w:pPr>
        <w:keepNext/>
        <w:keepLines/>
        <w:spacing w:after="20"/>
        <w:ind w:left="259"/>
      </w:pPr>
      <w:r>
        <w:t>A. Discuss the overlap, assess power and confidentiality risks, consider alternatives and access, establish boundaries, document, and monitor.</w:t>
      </w:r>
    </w:p>
    <w:p>
      <w:pPr>
        <w:keepNext/>
        <w:keepLines/>
        <w:spacing w:after="20"/>
        <w:ind w:left="259"/>
      </w:pPr>
      <w:r>
        <w:t>B. Terminate immediately because any overlap is unethical.</w:t>
      </w:r>
    </w:p>
    <w:p>
      <w:pPr>
        <w:keepNext/>
        <w:keepLines/>
        <w:spacing w:after="20"/>
        <w:ind w:left="259"/>
      </w:pPr>
      <w:r>
        <w:t>C. Continue without mentioning the overlap.</w:t>
      </w:r>
    </w:p>
    <w:p>
      <w:pPr>
        <w:keepNext w:val="0"/>
        <w:spacing w:before="0" w:after="120" w:line="240" w:lineRule="auto"/>
      </w:pPr>
      <w:r>
        <w:t>My answer: ______  Confidence: 1  2  3</w:t>
      </w:r>
    </w:p>
    <w:p>
      <w:pPr>
        <w:keepNext/>
        <w:spacing w:before="120" w:after="40" w:line="240" w:lineRule="auto"/>
      </w:pPr>
      <w:r>
        <w:t>LCSW-WB12-Q006 | Values and Ethics | Application | Moderate | Primary concept: Gift, culture, power, and boundaries</w:t>
      </w:r>
    </w:p>
    <w:p>
      <w:pPr>
        <w:keepNext/>
        <w:keepLines/>
        <w:spacing w:before="80"/>
      </w:pPr>
      <w:r>
        <w:rPr>
          <w:b/>
          <w:i w:val="0"/>
        </w:rPr>
        <w:t>6. A client offers a small handmade gift associated with a cultural tradition at the end of services. What should the social worker do FIRST?</w:t>
      </w:r>
    </w:p>
    <w:p>
      <w:pPr>
        <w:keepNext/>
        <w:keepLines/>
        <w:spacing w:after="20"/>
        <w:ind w:left="259"/>
      </w:pPr>
      <w:r>
        <w:t>A. Reject all gifts automatically.</w:t>
      </w:r>
    </w:p>
    <w:p>
      <w:pPr>
        <w:keepNext/>
        <w:keepLines/>
        <w:spacing w:after="20"/>
        <w:ind w:left="259"/>
      </w:pPr>
      <w:r>
        <w:t>B. Accept it and post a photo online.</w:t>
      </w:r>
    </w:p>
    <w:p>
      <w:pPr>
        <w:keepNext/>
        <w:keepLines/>
        <w:spacing w:after="20"/>
        <w:ind w:left="259"/>
      </w:pPr>
      <w:r>
        <w:t>C. Explore the meaning, value, cultural context, policy, power, and possible effect on the professional relationship.</w:t>
      </w:r>
    </w:p>
    <w:p>
      <w:pPr>
        <w:keepNext w:val="0"/>
        <w:spacing w:before="0" w:after="120" w:line="240" w:lineRule="auto"/>
      </w:pPr>
      <w:r>
        <w:t>My answer: ______  Confidence: 1  2  3</w:t>
      </w:r>
    </w:p>
    <w:p>
      <w:pPr>
        <w:keepNext/>
        <w:spacing w:before="120" w:after="40" w:line="240" w:lineRule="auto"/>
      </w:pPr>
      <w:r>
        <w:t>LCSW-WB12-Q007 | Values and Ethics | Reasoning | Challenge | Primary concept: Supervisory pressure and ethical responsibility</w:t>
      </w:r>
    </w:p>
    <w:p>
      <w:pPr>
        <w:keepNext/>
        <w:keepLines/>
        <w:spacing w:before="80"/>
      </w:pPr>
      <w:r>
        <w:rPr>
          <w:b/>
          <w:i w:val="0"/>
        </w:rPr>
        <w:t>7. A supervisor tells a social worker to backdate a service plan so an audit will show timely completion. What should the social worker do?</w:t>
      </w:r>
    </w:p>
    <w:p>
      <w:pPr>
        <w:keepNext/>
        <w:keepLines/>
        <w:spacing w:after="20"/>
        <w:ind w:left="259"/>
      </w:pPr>
      <w:r>
        <w:t>A. Follow the instruction because the supervisor is responsible.</w:t>
      </w:r>
    </w:p>
    <w:p>
      <w:pPr>
        <w:keepNext/>
        <w:keepLines/>
        <w:spacing w:after="20"/>
        <w:ind w:left="259"/>
      </w:pPr>
      <w:r>
        <w:t>B. Refuse to falsify the record, make an accurate current entry, and use appropriate supervisory, compliance, or administrative channels.</w:t>
      </w:r>
    </w:p>
    <w:p>
      <w:pPr>
        <w:keepNext/>
        <w:keepLines/>
        <w:spacing w:after="20"/>
        <w:ind w:left="259"/>
      </w:pPr>
      <w:r>
        <w:t>C. Backdate the plan but add a private note explaining why.</w:t>
      </w:r>
    </w:p>
    <w:p>
      <w:pPr>
        <w:keepNext w:val="0"/>
        <w:spacing w:before="0" w:after="120" w:line="240" w:lineRule="auto"/>
      </w:pPr>
      <w:r>
        <w:t>My answer: ______  Confidence: 1  2  3</w:t>
      </w:r>
    </w:p>
    <w:p>
      <w:pPr>
        <w:keepNext/>
        <w:spacing w:before="120" w:after="40" w:line="240" w:lineRule="auto"/>
      </w:pPr>
      <w:r>
        <w:t>LCSW-WB12-Q008 | Values and Ethics | Application | Moderate | Primary concept: Interdisciplinary confidentiality</w:t>
      </w:r>
    </w:p>
    <w:p>
      <w:pPr>
        <w:keepNext/>
        <w:keepLines/>
        <w:spacing w:before="80"/>
      </w:pPr>
      <w:r>
        <w:rPr>
          <w:b/>
          <w:i w:val="0"/>
        </w:rPr>
        <w:t>8. During a hospital team meeting, a staff member asks the social worker to read the client’s complete psychotherapy notes aloud. The client authorized care coordination but not full-note disclosure. What should the social worker do?</w:t>
      </w:r>
    </w:p>
    <w:p>
      <w:pPr>
        <w:keepNext/>
        <w:keepLines/>
        <w:spacing w:after="20"/>
        <w:ind w:left="259"/>
      </w:pPr>
      <w:r>
        <w:t>A. Clarify the care purpose and share only information that is authorized or otherwise permitted and relevant to that purpose.</w:t>
      </w:r>
    </w:p>
    <w:p>
      <w:pPr>
        <w:keepNext/>
        <w:keepLines/>
        <w:spacing w:after="20"/>
        <w:ind w:left="259"/>
      </w:pPr>
      <w:r>
        <w:t>B. Read the notes because all team members work for the hospital.</w:t>
      </w:r>
    </w:p>
    <w:p>
      <w:pPr>
        <w:keepNext/>
        <w:keepLines/>
        <w:spacing w:after="20"/>
        <w:ind w:left="259"/>
      </w:pPr>
      <w:r>
        <w:t>C. Refuse all team communication.</w:t>
      </w:r>
    </w:p>
    <w:p>
      <w:pPr>
        <w:keepNext w:val="0"/>
        <w:spacing w:before="0" w:after="120" w:line="240" w:lineRule="auto"/>
      </w:pPr>
      <w:r>
        <w:t>My answer: ______  Confidence: 1  2  3</w:t>
      </w:r>
    </w:p>
    <w:p>
      <w:pPr>
        <w:keepNext/>
        <w:spacing w:before="120" w:after="40" w:line="240" w:lineRule="auto"/>
      </w:pPr>
      <w:r>
        <w:t>LCSW-WB12-Q009 | Values and Ethics | Reasoning | Challenge | Primary concept: Termination, nonpayment, and continuity</w:t>
      </w:r>
    </w:p>
    <w:p>
      <w:pPr>
        <w:keepNext/>
        <w:keepLines/>
        <w:spacing w:before="80"/>
      </w:pPr>
      <w:r>
        <w:rPr>
          <w:b/>
          <w:i w:val="0"/>
        </w:rPr>
        <w:t>9. A private-practice client has an unpaid balance and reports worsening depression but no current suicidal intent. What is the BEST response?</w:t>
      </w:r>
    </w:p>
    <w:p>
      <w:pPr>
        <w:keepNext/>
        <w:keepLines/>
        <w:spacing w:after="20"/>
        <w:ind w:left="259"/>
      </w:pPr>
      <w:r>
        <w:t>A. End treatment immediately and block all contact.</w:t>
      </w:r>
    </w:p>
    <w:p>
      <w:pPr>
        <w:keepNext/>
        <w:keepLines/>
        <w:spacing w:after="20"/>
        <w:ind w:left="259"/>
      </w:pPr>
      <w:r>
        <w:t>B. Continue indefinitely without addressing payment or treatment planning.</w:t>
      </w:r>
    </w:p>
    <w:p>
      <w:pPr>
        <w:keepNext/>
        <w:keepLines/>
        <w:spacing w:after="20"/>
        <w:ind w:left="259"/>
      </w:pPr>
      <w:r>
        <w:t>C. Contact the client’s employer for payment.</w:t>
      </w:r>
    </w:p>
    <w:p>
      <w:pPr>
        <w:keepNext/>
        <w:keepLines/>
        <w:spacing w:after="20"/>
        <w:ind w:left="259"/>
      </w:pPr>
      <w:r>
        <w:t>D. Discuss the financial issue and options, assess current risk and needs, provide reasonable notice and referrals if ending, and document continuity efforts.</w:t>
      </w:r>
    </w:p>
    <w:p>
      <w:pPr>
        <w:keepNext w:val="0"/>
        <w:spacing w:before="0" w:after="120" w:line="240" w:lineRule="auto"/>
      </w:pPr>
      <w:r>
        <w:t>My answer: ______  Confidence: 1  2  3</w:t>
      </w:r>
    </w:p>
    <w:p>
      <w:pPr>
        <w:keepNext/>
        <w:spacing w:before="120" w:after="40" w:line="240" w:lineRule="auto"/>
      </w:pPr>
      <w:r>
        <w:t>LCSW-WB12-Q010 | Assessment and Planning | Reasoning | Moderate | Primary concept: Acute confusion and medical rule-out</w:t>
      </w:r>
    </w:p>
    <w:p>
      <w:pPr>
        <w:keepNext/>
        <w:keepLines/>
        <w:spacing w:before="80"/>
      </w:pPr>
      <w:r>
        <w:rPr>
          <w:b/>
          <w:i w:val="0"/>
        </w:rPr>
        <w:t>10. An older adult who was oriented yesterday is suddenly confused, unsteady, and unable to follow simple directions. What should the social worker do FIRST?</w:t>
      </w:r>
    </w:p>
    <w:p>
      <w:pPr>
        <w:keepNext/>
        <w:keepLines/>
        <w:spacing w:after="20"/>
        <w:ind w:left="259"/>
      </w:pPr>
      <w:r>
        <w:t>A. Begin a detailed life-review intervention.</w:t>
      </w:r>
    </w:p>
    <w:p>
      <w:pPr>
        <w:keepNext/>
        <w:keepLines/>
        <w:spacing w:after="20"/>
        <w:ind w:left="259"/>
      </w:pPr>
      <w:r>
        <w:t>B. Assume the client has developed dementia.</w:t>
      </w:r>
    </w:p>
    <w:p>
      <w:pPr>
        <w:keepNext/>
        <w:keepLines/>
        <w:spacing w:after="20"/>
        <w:ind w:left="259"/>
      </w:pPr>
      <w:r>
        <w:t>C. Arrange immediate medical and safety assessment for the acute change.</w:t>
      </w:r>
    </w:p>
    <w:p>
      <w:pPr>
        <w:keepNext w:val="0"/>
        <w:spacing w:before="0" w:after="120" w:line="240" w:lineRule="auto"/>
      </w:pPr>
      <w:r>
        <w:t>My answer: ______  Confidence: 1  2  3</w:t>
      </w:r>
    </w:p>
    <w:p>
      <w:pPr>
        <w:keepNext/>
        <w:spacing w:before="120" w:after="40" w:line="240" w:lineRule="auto"/>
      </w:pPr>
      <w:r>
        <w:t>LCSW-WB12-Q011 | Assessment and Planning | Application | Moderate | Primary concept: Trauma-informed inquiry</w:t>
      </w:r>
    </w:p>
    <w:p>
      <w:pPr>
        <w:keepNext/>
        <w:keepLines/>
        <w:spacing w:before="80"/>
      </w:pPr>
      <w:r>
        <w:rPr>
          <w:b/>
          <w:i w:val="0"/>
        </w:rPr>
        <w:t>11. A client becomes visibly distressed when asked for details of a recent assault and says, “I cannot talk about all of it today.” What should the social worker do NEXT?</w:t>
      </w:r>
    </w:p>
    <w:p>
      <w:pPr>
        <w:keepNext/>
        <w:keepLines/>
        <w:spacing w:after="20"/>
        <w:ind w:left="259"/>
      </w:pPr>
      <w:r>
        <w:t>A. Require a complete account so the assessment is valid.</w:t>
      </w:r>
    </w:p>
    <w:p>
      <w:pPr>
        <w:keepNext/>
        <w:keepLines/>
        <w:spacing w:after="20"/>
        <w:ind w:left="259"/>
      </w:pPr>
      <w:r>
        <w:t>B. Validate the response, explain the purpose of needed questions, assess immediate safety, offer choice and pacing, and gather only what is necessary now.</w:t>
      </w:r>
    </w:p>
    <w:p>
      <w:pPr>
        <w:keepNext/>
        <w:keepLines/>
        <w:spacing w:after="20"/>
        <w:ind w:left="259"/>
      </w:pPr>
      <w:r>
        <w:t>C. Avoid ever discussing the assault again.</w:t>
      </w:r>
    </w:p>
    <w:p>
      <w:pPr>
        <w:keepNext w:val="0"/>
        <w:spacing w:before="0" w:after="120" w:line="240" w:lineRule="auto"/>
      </w:pPr>
      <w:r>
        <w:t>My answer: ______  Confidence: 1  2  3</w:t>
      </w:r>
    </w:p>
    <w:p>
      <w:pPr>
        <w:keepNext/>
        <w:spacing w:before="120" w:after="40" w:line="240" w:lineRule="auto"/>
      </w:pPr>
      <w:r>
        <w:t>LCSW-WB12-Q012 | Assessment and Planning | Reasoning | Challenge | Primary concept: Substance use and mood differential</w:t>
      </w:r>
    </w:p>
    <w:p>
      <w:pPr>
        <w:keepNext/>
        <w:keepLines/>
        <w:spacing w:before="80"/>
      </w:pPr>
      <w:r>
        <w:rPr>
          <w:b/>
          <w:i w:val="0"/>
        </w:rPr>
        <w:t>12. A client reports depression, heavy alcohol use, insomnia, and irritability. Symptoms vary across weeks, and the timeline is unclear. What should the social worker do NEXT?</w:t>
      </w:r>
    </w:p>
    <w:p>
      <w:pPr>
        <w:keepNext/>
        <w:keepLines/>
        <w:spacing w:after="20"/>
        <w:ind w:left="259"/>
      </w:pPr>
      <w:r>
        <w:t>A. Clarify chronology, intoxication and withdrawal patterns, periods of reduced use, medical and medication factors, functioning, and safety.</w:t>
      </w:r>
    </w:p>
    <w:p>
      <w:pPr>
        <w:keepNext/>
        <w:keepLines/>
        <w:spacing w:after="20"/>
        <w:ind w:left="259"/>
      </w:pPr>
      <w:r>
        <w:t>B. Diagnose a primary mood disorder immediately.</w:t>
      </w:r>
    </w:p>
    <w:p>
      <w:pPr>
        <w:keepNext/>
        <w:keepLines/>
        <w:spacing w:after="20"/>
        <w:ind w:left="259"/>
      </w:pPr>
      <w:r>
        <w:t>C. Focus only on childhood experiences.</w:t>
      </w:r>
    </w:p>
    <w:p>
      <w:pPr>
        <w:keepNext w:val="0"/>
        <w:spacing w:before="0" w:after="120" w:line="240" w:lineRule="auto"/>
      </w:pPr>
      <w:r>
        <w:t>My answer: ______  Confidence: 1  2  3</w:t>
      </w:r>
    </w:p>
    <w:p>
      <w:pPr>
        <w:keepNext/>
        <w:spacing w:before="120" w:after="40" w:line="240" w:lineRule="auto"/>
      </w:pPr>
      <w:r>
        <w:t>LCSW-WB12-Q013 | Assessment and Planning | Reasoning | Moderate | Primary concept: School refusal and multi-system assessment</w:t>
      </w:r>
    </w:p>
    <w:p>
      <w:pPr>
        <w:keepNext/>
        <w:keepLines/>
        <w:spacing w:before="80"/>
      </w:pPr>
      <w:r>
        <w:rPr>
          <w:b/>
          <w:i w:val="0"/>
        </w:rPr>
        <w:t>13. A 10-year-old has begun refusing school and complaining of stomachaches on weekday mornings. What is the BEST initial assessment approach?</w:t>
      </w:r>
    </w:p>
    <w:p>
      <w:pPr>
        <w:keepNext/>
        <w:keepLines/>
        <w:spacing w:after="20"/>
        <w:ind w:left="259"/>
      </w:pPr>
      <w:r>
        <w:t>A. Assume the child is oppositional and create consequences.</w:t>
      </w:r>
    </w:p>
    <w:p>
      <w:pPr>
        <w:keepNext/>
        <w:keepLines/>
        <w:spacing w:after="20"/>
        <w:ind w:left="259"/>
      </w:pPr>
      <w:r>
        <w:t>B. Ask the school to change the child’s placement immediately.</w:t>
      </w:r>
    </w:p>
    <w:p>
      <w:pPr>
        <w:keepNext/>
        <w:keepLines/>
        <w:spacing w:after="20"/>
        <w:ind w:left="259"/>
      </w:pPr>
      <w:r>
        <w:t>C. Assess the child, caregivers, school context, health, development, peers, learning needs, safety, and the sequence surrounding school mornings.</w:t>
      </w:r>
    </w:p>
    <w:p>
      <w:pPr>
        <w:keepNext w:val="0"/>
        <w:spacing w:before="0" w:after="120" w:line="240" w:lineRule="auto"/>
      </w:pPr>
      <w:r>
        <w:t>My answer: ______  Confidence: 1  2  3</w:t>
      </w:r>
    </w:p>
    <w:p>
      <w:pPr>
        <w:keepNext/>
        <w:spacing w:before="120" w:after="40" w:line="240" w:lineRule="auto"/>
      </w:pPr>
      <w:r>
        <w:t>LCSW-WB12-Q014 | Assessment and Planning | Application | Moderate | Primary concept: Suicide risk assessment</w:t>
      </w:r>
    </w:p>
    <w:p>
      <w:pPr>
        <w:keepNext/>
        <w:keepLines/>
        <w:spacing w:before="80"/>
      </w:pPr>
      <w:r>
        <w:rPr>
          <w:b/>
          <w:i w:val="0"/>
        </w:rPr>
        <w:t>14. A client says, “Sometimes I wish I would not wake up.” What should the social worker do FIRST?</w:t>
      </w:r>
    </w:p>
    <w:p>
      <w:pPr>
        <w:keepNext/>
        <w:keepLines/>
        <w:spacing w:after="20"/>
        <w:ind w:left="259"/>
      </w:pPr>
      <w:r>
        <w:t>A. Change the subject to avoid increasing suicidal thoughts.</w:t>
      </w:r>
    </w:p>
    <w:p>
      <w:pPr>
        <w:keepNext/>
        <w:keepLines/>
        <w:spacing w:after="20"/>
        <w:ind w:left="259"/>
      </w:pPr>
      <w:r>
        <w:t>B. Assess current thoughts, intent, plan, means, history, protective factors, and ability to maintain safety.</w:t>
      </w:r>
    </w:p>
    <w:p>
      <w:pPr>
        <w:keepNext/>
        <w:keepLines/>
        <w:spacing w:after="20"/>
        <w:ind w:left="259"/>
      </w:pPr>
      <w:r>
        <w:t>C. Promise complete confidentiality before asking more.</w:t>
      </w:r>
    </w:p>
    <w:p>
      <w:pPr>
        <w:keepNext w:val="0"/>
        <w:spacing w:before="0" w:after="120" w:line="240" w:lineRule="auto"/>
      </w:pPr>
      <w:r>
        <w:t>My answer: ______  Confidence: 1  2  3</w:t>
      </w:r>
    </w:p>
    <w:p>
      <w:pPr>
        <w:keepNext/>
        <w:spacing w:before="120" w:after="40" w:line="240" w:lineRule="auto"/>
      </w:pPr>
      <w:r>
        <w:t>LCSW-WB12-Q015 | Assessment and Planning | Reasoning | Moderate | Primary concept: Medication effects and professional scope</w:t>
      </w:r>
    </w:p>
    <w:p>
      <w:pPr>
        <w:keepNext/>
        <w:keepLines/>
        <w:spacing w:before="80"/>
      </w:pPr>
      <w:r>
        <w:rPr>
          <w:b/>
          <w:i w:val="0"/>
        </w:rPr>
        <w:t>15. A client taking a new psychiatric medication reports severe dizziness and nearly fainted. What should the social worker do FIRST?</w:t>
      </w:r>
    </w:p>
    <w:p>
      <w:pPr>
        <w:keepNext/>
        <w:keepLines/>
        <w:spacing w:after="20"/>
        <w:ind w:left="259"/>
      </w:pPr>
      <w:r>
        <w:t>A. Assess immediate safety and encourage prompt contact with the prescriber or urgent medical care as indicated.</w:t>
      </w:r>
    </w:p>
    <w:p>
      <w:pPr>
        <w:keepNext/>
        <w:keepLines/>
        <w:spacing w:after="20"/>
        <w:ind w:left="259"/>
      </w:pPr>
      <w:r>
        <w:t>B. Tell the client to stop the medication immediately.</w:t>
      </w:r>
    </w:p>
    <w:p>
      <w:pPr>
        <w:keepNext/>
        <w:keepLines/>
        <w:spacing w:after="20"/>
        <w:ind w:left="259"/>
      </w:pPr>
      <w:r>
        <w:t>C. Reassure the client that side effects always resolve.</w:t>
      </w:r>
    </w:p>
    <w:p>
      <w:pPr>
        <w:keepNext w:val="0"/>
        <w:spacing w:before="0" w:after="120" w:line="240" w:lineRule="auto"/>
      </w:pPr>
      <w:r>
        <w:t>My answer: ______  Confidence: 1  2  3</w:t>
      </w:r>
    </w:p>
    <w:p>
      <w:pPr>
        <w:keepNext/>
        <w:spacing w:before="120" w:after="40" w:line="240" w:lineRule="auto"/>
      </w:pPr>
      <w:r>
        <w:t>LCSW-WB12-Q016 | Assessment and Planning | Reasoning | Challenge | Primary concept: Person-in-environment planning</w:t>
      </w:r>
    </w:p>
    <w:p>
      <w:pPr>
        <w:keepNext/>
        <w:keepLines/>
        <w:spacing w:before="80"/>
      </w:pPr>
      <w:r>
        <w:rPr>
          <w:b/>
          <w:i w:val="0"/>
        </w:rPr>
        <w:t>16. A parent with depression wants to improve energy and parenting consistency but is also facing eviction and unreliable transportation. What is the BEST plan?</w:t>
      </w:r>
    </w:p>
    <w:p>
      <w:pPr>
        <w:keepNext/>
        <w:keepLines/>
        <w:spacing w:after="20"/>
        <w:ind w:left="259"/>
      </w:pPr>
      <w:r>
        <w:t>A. Focus only on cognitive restructuring because environmental needs are not clinical.</w:t>
      </w:r>
    </w:p>
    <w:p>
      <w:pPr>
        <w:keepNext/>
        <w:keepLines/>
        <w:spacing w:after="20"/>
        <w:ind w:left="259"/>
      </w:pPr>
      <w:r>
        <w:t>B. Delay all mental-health intervention until housing is permanent.</w:t>
      </w:r>
    </w:p>
    <w:p>
      <w:pPr>
        <w:keepNext/>
        <w:keepLines/>
        <w:spacing w:after="20"/>
        <w:ind w:left="259"/>
      </w:pPr>
      <w:r>
        <w:t>C. Create goals without the client so the plan is more objective.</w:t>
      </w:r>
    </w:p>
    <w:p>
      <w:pPr>
        <w:keepNext/>
        <w:keepLines/>
        <w:spacing w:after="20"/>
        <w:ind w:left="259"/>
      </w:pPr>
      <w:r>
        <w:t>D. Collaboratively address depressive symptoms and parenting goals while coordinating housing, transportation, and other practical supports with measurable outcomes.</w:t>
      </w:r>
    </w:p>
    <w:p>
      <w:pPr>
        <w:keepNext w:val="0"/>
        <w:spacing w:before="0" w:after="120" w:line="240" w:lineRule="auto"/>
      </w:pPr>
      <w:r>
        <w:t>My answer: ______  Confidence: 1  2  3</w:t>
      </w:r>
    </w:p>
    <w:p>
      <w:pPr>
        <w:keepNext/>
        <w:spacing w:before="120" w:after="40" w:line="240" w:lineRule="auto"/>
      </w:pPr>
      <w:r>
        <w:t>LCSW-WB12-Q017 | Assessment and Planning | Reasoning | Challenge | Primary concept: Conjoint treatment safety</w:t>
      </w:r>
    </w:p>
    <w:p>
      <w:pPr>
        <w:keepNext/>
        <w:keepLines/>
        <w:spacing w:before="80"/>
      </w:pPr>
      <w:r>
        <w:rPr>
          <w:b/>
          <w:i w:val="0"/>
        </w:rPr>
        <w:t>17. A client privately reports that a partner monitors messages and threatens retaliation after sessions. The partner requests immediate couples counseling. What should the social worker do FIRST?</w:t>
      </w:r>
    </w:p>
    <w:p>
      <w:pPr>
        <w:keepNext/>
        <w:keepLines/>
        <w:spacing w:after="20"/>
        <w:ind w:left="259"/>
      </w:pPr>
      <w:r>
        <w:t>A. Begin couples communication training at the next visit.</w:t>
      </w:r>
    </w:p>
    <w:p>
      <w:pPr>
        <w:keepNext/>
        <w:keepLines/>
        <w:spacing w:after="20"/>
        <w:ind w:left="259"/>
      </w:pPr>
      <w:r>
        <w:t>B. Tell the client to disclose the report in front of the partner.</w:t>
      </w:r>
    </w:p>
    <w:p>
      <w:pPr>
        <w:keepNext/>
        <w:keepLines/>
        <w:spacing w:after="20"/>
        <w:ind w:left="259"/>
      </w:pPr>
      <w:r>
        <w:t>C. Assess danger, coercive control, retaliation risk, and the client’s ability to participate safely before considering conjoint treatment.</w:t>
      </w:r>
    </w:p>
    <w:p>
      <w:pPr>
        <w:keepNext w:val="0"/>
        <w:spacing w:before="0" w:after="120" w:line="240" w:lineRule="auto"/>
      </w:pPr>
      <w:r>
        <w:t>My answer: ______  Confidence: 1  2  3</w:t>
      </w:r>
    </w:p>
    <w:p>
      <w:pPr>
        <w:keepNext/>
        <w:spacing w:before="120" w:after="40" w:line="240" w:lineRule="auto"/>
      </w:pPr>
      <w:r>
        <w:t>LCSW-WB12-Q018 | Intervention and Practice | Application | Moderate | Primary concept: Motivational interviewing and ambivalence</w:t>
      </w:r>
    </w:p>
    <w:p>
      <w:pPr>
        <w:keepNext/>
        <w:keepLines/>
        <w:spacing w:before="80"/>
      </w:pPr>
      <w:r>
        <w:rPr>
          <w:b/>
          <w:i w:val="0"/>
        </w:rPr>
        <w:t>18. A client says, “I know drinking causes problems, but it is the only way I relax.” What is the BEST initial response?</w:t>
      </w:r>
    </w:p>
    <w:p>
      <w:pPr>
        <w:keepNext/>
        <w:keepLines/>
        <w:spacing w:after="20"/>
        <w:ind w:left="259"/>
      </w:pPr>
      <w:r>
        <w:t>A. Explain all the reasons the client must stop.</w:t>
      </w:r>
    </w:p>
    <w:p>
      <w:pPr>
        <w:keepNext/>
        <w:keepLines/>
        <w:spacing w:after="20"/>
        <w:ind w:left="259"/>
      </w:pPr>
      <w:r>
        <w:t>B. Explore what the client likes and dislikes about drinking, how it fits with personal goals, and confidence about possible change.</w:t>
      </w:r>
    </w:p>
    <w:p>
      <w:pPr>
        <w:keepNext/>
        <w:keepLines/>
        <w:spacing w:after="20"/>
        <w:ind w:left="259"/>
      </w:pPr>
      <w:r>
        <w:t>C. Require abstinence before continuing services.</w:t>
      </w:r>
    </w:p>
    <w:p>
      <w:pPr>
        <w:keepNext w:val="0"/>
        <w:spacing w:before="0" w:after="120" w:line="240" w:lineRule="auto"/>
      </w:pPr>
      <w:r>
        <w:t>My answer: ______  Confidence: 1  2  3</w:t>
      </w:r>
    </w:p>
    <w:p>
      <w:pPr>
        <w:keepNext/>
        <w:spacing w:before="120" w:after="40" w:line="240" w:lineRule="auto"/>
      </w:pPr>
      <w:r>
        <w:t>LCSW-WB12-Q019 | Intervention and Practice | Application | Moderate | Primary concept: Avoidance and graded behavioral intervention</w:t>
      </w:r>
    </w:p>
    <w:p>
      <w:pPr>
        <w:keepNext/>
        <w:keepLines/>
        <w:spacing w:before="80"/>
      </w:pPr>
      <w:r>
        <w:rPr>
          <w:b/>
          <w:i w:val="0"/>
        </w:rPr>
        <w:t>19. A client with panic has stopped using public transportation and receives short-term relief by avoiding it. Medical causes have been assessed. What intervention is MOST appropriate?</w:t>
      </w:r>
    </w:p>
    <w:p>
      <w:pPr>
        <w:keepNext/>
        <w:keepLines/>
        <w:spacing w:after="20"/>
        <w:ind w:left="259"/>
      </w:pPr>
      <w:r>
        <w:t>A. Develop a collaborative, graded exposure plan with coping skills and progress monitoring.</w:t>
      </w:r>
    </w:p>
    <w:p>
      <w:pPr>
        <w:keepNext/>
        <w:keepLines/>
        <w:spacing w:after="20"/>
        <w:ind w:left="259"/>
      </w:pPr>
      <w:r>
        <w:t>B. Encourage permanent avoidance to prevent distress.</w:t>
      </w:r>
    </w:p>
    <w:p>
      <w:pPr>
        <w:keepNext/>
        <w:keepLines/>
        <w:spacing w:after="20"/>
        <w:ind w:left="259"/>
      </w:pPr>
      <w:r>
        <w:t>C. Reassure the client repeatedly without changing behavior.</w:t>
      </w:r>
    </w:p>
    <w:p>
      <w:pPr>
        <w:keepNext w:val="0"/>
        <w:spacing w:before="0" w:after="120" w:line="240" w:lineRule="auto"/>
      </w:pPr>
      <w:r>
        <w:t>My answer: ______  Confidence: 1  2  3</w:t>
      </w:r>
    </w:p>
    <w:p>
      <w:pPr>
        <w:keepNext/>
        <w:spacing w:before="120" w:after="40" w:line="240" w:lineRule="auto"/>
      </w:pPr>
      <w:r>
        <w:t>LCSW-WB12-Q020 | Intervention and Practice | Reasoning | Challenge | Primary concept: Group process, safety, and repair</w:t>
      </w:r>
    </w:p>
    <w:p>
      <w:pPr>
        <w:keepNext/>
        <w:keepLines/>
        <w:spacing w:before="80"/>
      </w:pPr>
      <w:r>
        <w:rPr>
          <w:b/>
          <w:i w:val="0"/>
        </w:rPr>
        <w:t>20. During a therapy group, one member mocks another member’s disclosure. The targeted member becomes silent. What should the social worker do NEXT?</w:t>
      </w:r>
    </w:p>
    <w:p>
      <w:pPr>
        <w:keepNext/>
        <w:keepLines/>
        <w:spacing w:after="20"/>
        <w:ind w:left="259"/>
      </w:pPr>
      <w:r>
        <w:t>A. Ignore the comment so members can solve it themselves.</w:t>
      </w:r>
    </w:p>
    <w:p>
      <w:pPr>
        <w:keepNext/>
        <w:keepLines/>
        <w:spacing w:after="20"/>
        <w:ind w:left="259"/>
      </w:pPr>
      <w:r>
        <w:t>B. Ask the targeted member to justify feeling hurt.</w:t>
      </w:r>
    </w:p>
    <w:p>
      <w:pPr>
        <w:keepNext/>
        <w:keepLines/>
        <w:spacing w:after="20"/>
        <w:ind w:left="259"/>
      </w:pPr>
      <w:r>
        <w:t>C. Interrupt the behavior, reinforce safety and respect norms, assess impact, and facilitate accountable repair.</w:t>
      </w:r>
    </w:p>
    <w:p>
      <w:pPr>
        <w:keepNext/>
        <w:keepLines/>
        <w:spacing w:after="20"/>
        <w:ind w:left="259"/>
      </w:pPr>
      <w:r>
        <w:t>D. End the entire group permanently.</w:t>
      </w:r>
    </w:p>
    <w:p>
      <w:pPr>
        <w:keepNext w:val="0"/>
        <w:spacing w:before="0" w:after="120" w:line="240" w:lineRule="auto"/>
      </w:pPr>
      <w:r>
        <w:t>My answer: ______  Confidence: 1  2  3</w:t>
      </w:r>
    </w:p>
    <w:p>
      <w:pPr>
        <w:keepNext/>
        <w:spacing w:before="120" w:after="40" w:line="240" w:lineRule="auto"/>
      </w:pPr>
      <w:r>
        <w:t>LCSW-WB12-Q021 | Intervention and Practice | Reasoning | Moderate | Primary concept: Practice evaluation and plan revision</w:t>
      </w:r>
    </w:p>
    <w:p>
      <w:pPr>
        <w:keepNext/>
        <w:keepLines/>
        <w:spacing w:before="80"/>
      </w:pPr>
      <w:r>
        <w:rPr>
          <w:b/>
          <w:i w:val="0"/>
        </w:rPr>
        <w:t>21. A client reports little improvement after six sessions of a structured intervention. What should the social worker do NEXT?</w:t>
      </w:r>
    </w:p>
    <w:p>
      <w:pPr>
        <w:keepNext/>
        <w:keepLines/>
        <w:spacing w:after="20"/>
        <w:ind w:left="259"/>
      </w:pPr>
      <w:r>
        <w:t>A. Continue unchanged because evidence-based methods always require more time.</w:t>
      </w:r>
    </w:p>
    <w:p>
      <w:pPr>
        <w:keepNext/>
        <w:keepLines/>
        <w:spacing w:after="20"/>
        <w:ind w:left="259"/>
      </w:pPr>
      <w:r>
        <w:t>B. Review goals, alliance, adherence, fit, barriers, outcome data, diagnosis and formulation, then revise the plan collaboratively.</w:t>
      </w:r>
    </w:p>
    <w:p>
      <w:pPr>
        <w:keepNext/>
        <w:keepLines/>
        <w:spacing w:after="20"/>
        <w:ind w:left="259"/>
      </w:pPr>
      <w:r>
        <w:t>C. Conclude that the client is resistant.</w:t>
      </w:r>
    </w:p>
    <w:p>
      <w:pPr>
        <w:keepNext w:val="0"/>
        <w:spacing w:before="0" w:after="120" w:line="240" w:lineRule="auto"/>
      </w:pPr>
      <w:r>
        <w:t>My answer: ______  Confidence: 1  2  3</w:t>
      </w:r>
    </w:p>
    <w:p>
      <w:pPr>
        <w:keepNext/>
        <w:spacing w:before="120" w:after="40" w:line="240" w:lineRule="auto"/>
      </w:pPr>
      <w:r>
        <w:t>LCSW-WB12-Q022 | Intervention and Practice | Reasoning | Moderate | Primary concept: Countertransference and supervision</w:t>
      </w:r>
    </w:p>
    <w:p>
      <w:pPr>
        <w:keepNext/>
        <w:keepLines/>
        <w:spacing w:before="80"/>
      </w:pPr>
      <w:r>
        <w:rPr>
          <w:b/>
          <w:i w:val="0"/>
        </w:rPr>
        <w:t>22. A social worker notices unusually strong anger toward a client and has begun becoming rigid in sessions. Safety is not immediately threatened. What should the social worker do FIRST?</w:t>
      </w:r>
    </w:p>
    <w:p>
      <w:pPr>
        <w:keepNext/>
        <w:keepLines/>
        <w:spacing w:after="20"/>
        <w:ind w:left="259"/>
      </w:pPr>
      <w:r>
        <w:t>A. Seek supervision or consultation, examine the reaction and its effect on practice, and adjust the plan to protect objectivity.</w:t>
      </w:r>
    </w:p>
    <w:p>
      <w:pPr>
        <w:keepNext/>
        <w:keepLines/>
        <w:spacing w:after="20"/>
        <w:ind w:left="259"/>
      </w:pPr>
      <w:r>
        <w:t>B. Tell the client the social worker is angry so the client will change.</w:t>
      </w:r>
    </w:p>
    <w:p>
      <w:pPr>
        <w:keepNext/>
        <w:keepLines/>
        <w:spacing w:after="20"/>
        <w:ind w:left="259"/>
      </w:pPr>
      <w:r>
        <w:t>C. Terminate immediately without explanation.</w:t>
      </w:r>
    </w:p>
    <w:p>
      <w:pPr>
        <w:keepNext w:val="0"/>
        <w:spacing w:before="0" w:after="120" w:line="240" w:lineRule="auto"/>
      </w:pPr>
      <w:r>
        <w:t>My answer: ______  Confidence: 1  2  3</w:t>
      </w:r>
    </w:p>
    <w:p>
      <w:pPr>
        <w:keepNext/>
        <w:spacing w:before="120" w:after="40" w:line="240" w:lineRule="auto"/>
      </w:pPr>
      <w:r>
        <w:t>LCSW-WB12-Q023 | Intervention and Practice | Application | Moderate | Primary concept: Warm handoff and resource coordination</w:t>
      </w:r>
    </w:p>
    <w:p>
      <w:pPr>
        <w:keepNext/>
        <w:keepLines/>
        <w:spacing w:before="80"/>
      </w:pPr>
      <w:r>
        <w:rPr>
          <w:b/>
          <w:i w:val="0"/>
        </w:rPr>
        <w:t>23. A client agrees to a substance-use assessment but has no phone, limited transportation, and difficulty completing forms. What is the BEST response?</w:t>
      </w:r>
    </w:p>
    <w:p>
      <w:pPr>
        <w:keepNext/>
        <w:keepLines/>
        <w:spacing w:after="20"/>
        <w:ind w:left="259"/>
      </w:pPr>
      <w:r>
        <w:t>A. Give the client a list of programs and close the case.</w:t>
      </w:r>
    </w:p>
    <w:p>
      <w:pPr>
        <w:keepNext/>
        <w:keepLines/>
        <w:spacing w:after="20"/>
        <w:ind w:left="259"/>
      </w:pPr>
      <w:r>
        <w:t>B. Wait for the client to solve the barriers independently.</w:t>
      </w:r>
    </w:p>
    <w:p>
      <w:pPr>
        <w:keepNext/>
        <w:keepLines/>
        <w:spacing w:after="20"/>
        <w:ind w:left="259"/>
      </w:pPr>
      <w:r>
        <w:t>C. With consent, identify an accessible program, help complete the connection, address transportation and communication barriers, and confirm follow-through.</w:t>
      </w:r>
    </w:p>
    <w:p>
      <w:pPr>
        <w:keepNext w:val="0"/>
        <w:spacing w:before="0" w:after="120" w:line="240" w:lineRule="auto"/>
      </w:pPr>
      <w:r>
        <w:t>My answer: ______  Confidence: 1  2  3</w:t>
      </w:r>
    </w:p>
    <w:p>
      <w:pPr>
        <w:keepNext/>
        <w:spacing w:before="120" w:after="40" w:line="240" w:lineRule="auto"/>
      </w:pPr>
      <w:r>
        <w:t>LCSW-WB12-Q024 | Intervention and Practice | Reasoning | Challenge | Primary concept: Parenting and family intervention</w:t>
      </w:r>
    </w:p>
    <w:p>
      <w:pPr>
        <w:keepNext/>
        <w:keepLines/>
        <w:spacing w:before="80"/>
      </w:pPr>
      <w:r>
        <w:rPr>
          <w:b/>
          <w:i w:val="0"/>
        </w:rPr>
        <w:t>24. Caregivers respond inconsistently to a child’s escalating bedtime behavior: one threatens punishment while the other removes limits. What is the BEST intervention plan?</w:t>
      </w:r>
    </w:p>
    <w:p>
      <w:pPr>
        <w:keepNext/>
        <w:keepLines/>
        <w:spacing w:after="20"/>
        <w:ind w:left="259"/>
      </w:pPr>
      <w:r>
        <w:t>A. Ask the child to decide which caregiver’s rule should apply.</w:t>
      </w:r>
    </w:p>
    <w:p>
      <w:pPr>
        <w:keepNext/>
        <w:keepLines/>
        <w:spacing w:after="20"/>
        <w:ind w:left="259"/>
      </w:pPr>
      <w:r>
        <w:t>B. Focus only on each caregiver’s childhood without changing the current sequence.</w:t>
      </w:r>
    </w:p>
    <w:p>
      <w:pPr>
        <w:keepNext/>
        <w:keepLines/>
        <w:spacing w:after="20"/>
        <w:ind w:left="259"/>
      </w:pPr>
      <w:r>
        <w:t>C. Recommend residential placement immediately.</w:t>
      </w:r>
    </w:p>
    <w:p>
      <w:pPr>
        <w:keepNext/>
        <w:keepLines/>
        <w:spacing w:after="20"/>
        <w:ind w:left="259"/>
      </w:pPr>
      <w:r>
        <w:t>D. Identify the interactional and reinforcement pattern, align caregivers around a developmentally appropriate routine, rehearse consistent responses, and monitor outcomes.</w:t>
      </w:r>
    </w:p>
    <w:p>
      <w:pPr>
        <w:keepNext w:val="0"/>
        <w:spacing w:before="0" w:after="120" w:line="240" w:lineRule="auto"/>
      </w:pPr>
      <w:r>
        <w:t>My answer: ______  Confidence: 1  2  3</w:t>
      </w:r>
    </w:p>
    <w:p>
      <w:pPr>
        <w:keepNext/>
        <w:spacing w:before="120" w:after="40" w:line="240" w:lineRule="auto"/>
      </w:pPr>
      <w:r>
        <w:t>LCSW-WB12-Q025 | Intervention and Practice | Reasoning | Challenge | Primary concept: Administration, equity, and quality improvement</w:t>
      </w:r>
    </w:p>
    <w:p>
      <w:pPr>
        <w:keepNext/>
        <w:keepLines/>
        <w:spacing w:before="80"/>
      </w:pPr>
      <w:r>
        <w:rPr>
          <w:b/>
          <w:i w:val="0"/>
        </w:rPr>
        <w:t>25. A clinic has long intake delays and substantially lower completion rates among clients who require interpreters. What is the BEST administrative response?</w:t>
      </w:r>
    </w:p>
    <w:p>
      <w:pPr>
        <w:keepNext/>
        <w:keepLines/>
        <w:spacing w:after="20"/>
        <w:ind w:left="259"/>
      </w:pPr>
      <w:r>
        <w:t>A. Stop collecting language data so the disparity is not visible.</w:t>
      </w:r>
    </w:p>
    <w:p>
      <w:pPr>
        <w:keepNext/>
        <w:keepLines/>
        <w:spacing w:after="20"/>
        <w:ind w:left="259"/>
      </w:pPr>
      <w:r>
        <w:t>B. Review disaggregated workflow and staffing data, involve affected clients and staff, clarify language-access responsibility, implement targeted changes, and monitor equitable outcomes.</w:t>
      </w:r>
    </w:p>
    <w:p>
      <w:pPr>
        <w:keepNext/>
        <w:keepLines/>
        <w:spacing w:after="20"/>
        <w:ind w:left="259"/>
      </w:pPr>
      <w:r>
        <w:t>C. Refer every client who needs an interpreter elsewhere.</w:t>
      </w:r>
    </w:p>
    <w:p>
      <w:pPr>
        <w:keepNext/>
        <w:keepLines/>
        <w:spacing w:after="20"/>
        <w:ind w:left="259"/>
      </w:pPr>
      <w:r>
        <w:t>D. Evaluate staff only by the total number of closed cases.</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the content area, the decision word, the immediate priority, and the strongest distractor. Then explain why the correct response is better sequenced, more collaborative, and more consistent with client welfare.</w:t>
            </w:r>
          </w:p>
        </w:tc>
      </w:tr>
    </w:tbl>
    <w:p>
      <w:pPr>
        <w:spacing w:after="0"/>
      </w:pPr>
    </w:p>
    <w:p>
      <w:pPr>
        <w:pStyle w:val="Heading2"/>
        <w:keepNext/>
        <w:keepLines/>
        <w:spacing w:before="100" w:after="40"/>
      </w:pPr>
      <w:r>
        <w:rPr>
          <w:b/>
          <w:i w:val="0"/>
          <w:sz w:val="20"/>
        </w:rPr>
        <w:t>Question 1 (LCSW-WB12-Q001)</w:t>
      </w:r>
    </w:p>
    <w:p>
      <w:pPr>
        <w:keepNext/>
        <w:keepLines/>
      </w:pPr>
      <w:r>
        <w:rPr>
          <w:b/>
          <w:i w:val="0"/>
          <w:color w:val="0F7C82"/>
        </w:rPr>
        <w:t>Correct Answer: A</w:t>
      </w:r>
    </w:p>
    <w:p>
      <w:pPr>
        <w:keepNext/>
        <w:keepLines/>
        <w:spacing w:after="40"/>
        <w:ind w:left="173"/>
      </w:pPr>
      <w:r>
        <w:rPr>
          <w:b/>
          <w:i w:val="0"/>
        </w:rPr>
        <w:t>A. Correct. The social worker should assess understanding and safety, explore values and barriers, and support the capable client’s informed choice.</w:t>
      </w:r>
    </w:p>
    <w:p>
      <w:pPr>
        <w:keepNext/>
        <w:keepLines/>
        <w:spacing w:after="40"/>
        <w:ind w:left="173"/>
      </w:pPr>
      <w:r>
        <w:rPr>
          <w:b/>
          <w:i w:val="0"/>
        </w:rPr>
        <w:t>B. Respecting choice includes ensuring that the decision is informed and that alternatives are understood.</w:t>
      </w:r>
    </w:p>
    <w:p>
      <w:pPr>
        <w:keepNext/>
        <w:keepLines/>
        <w:spacing w:after="40"/>
        <w:ind w:left="173"/>
      </w:pPr>
      <w:r>
        <w:rPr>
          <w:b/>
          <w:i w:val="0"/>
        </w:rPr>
        <w:t>C. Coercing placement without legal authority overrides self-determination.</w:t>
      </w:r>
    </w:p>
    <w:p>
      <w:pPr>
        <w:keepLines/>
        <w:spacing w:after="120"/>
        <w:ind w:left="173"/>
      </w:pPr>
      <w:r>
        <w:rPr>
          <w:b/>
          <w:i w:val="0"/>
          <w:color w:val="1F4E78"/>
        </w:rPr>
        <w:t xml:space="preserve">Exam Strategy: </w:t>
      </w:r>
      <w:r>
        <w:rPr>
          <w:b w:val="0"/>
          <w:i/>
        </w:rPr>
        <w:t>Assess capacity, understanding, safety, coercion, and available alternatives; do not replace a capable client’s informed choice with the social worker’s preference.</w:t>
      </w:r>
    </w:p>
    <w:p>
      <w:pPr>
        <w:pStyle w:val="Heading2"/>
        <w:keepNext/>
        <w:keepLines/>
        <w:spacing w:before="100" w:after="40"/>
      </w:pPr>
      <w:r>
        <w:rPr>
          <w:b/>
          <w:i w:val="0"/>
          <w:sz w:val="20"/>
        </w:rPr>
        <w:t>Question 2 (LCSW-WB12-Q002)</w:t>
      </w:r>
    </w:p>
    <w:p>
      <w:pPr>
        <w:keepNext/>
        <w:keepLines/>
      </w:pPr>
      <w:r>
        <w:rPr>
          <w:b/>
          <w:i w:val="0"/>
          <w:color w:val="0F7C82"/>
        </w:rPr>
        <w:t>Correct Answer: C</w:t>
      </w:r>
    </w:p>
    <w:p>
      <w:pPr>
        <w:keepNext/>
        <w:keepLines/>
        <w:spacing w:after="40"/>
        <w:ind w:left="173"/>
      </w:pPr>
      <w:r>
        <w:rPr>
          <w:b/>
          <w:i w:val="0"/>
        </w:rPr>
        <w:t>A. Using a child for sensitive interpretation can compromise accuracy, privacy, and family roles.</w:t>
      </w:r>
    </w:p>
    <w:p>
      <w:pPr>
        <w:keepNext/>
        <w:keepLines/>
        <w:spacing w:after="40"/>
        <w:ind w:left="173"/>
      </w:pPr>
      <w:r>
        <w:rPr>
          <w:b/>
          <w:i w:val="0"/>
        </w:rPr>
        <w:t>B. Services should not be indefinitely withheld when accessible communication can be arranged.</w:t>
      </w:r>
    </w:p>
    <w:p>
      <w:pPr>
        <w:keepNext/>
        <w:keepLines/>
        <w:spacing w:after="40"/>
        <w:ind w:left="173"/>
      </w:pPr>
      <w:r>
        <w:rPr>
          <w:b/>
          <w:i w:val="0"/>
        </w:rPr>
        <w:t>C. Correct. Qualified interpretation supports informed participation, accuracy, and confidentiality.</w:t>
      </w:r>
    </w:p>
    <w:p>
      <w:pPr>
        <w:keepLines/>
        <w:spacing w:after="120"/>
        <w:ind w:left="173"/>
      </w:pPr>
      <w:r>
        <w:rPr>
          <w:b/>
          <w:i w:val="0"/>
          <w:color w:val="1F4E78"/>
        </w:rPr>
        <w:t xml:space="preserve">Exam Strategy: </w:t>
      </w:r>
      <w:r>
        <w:rPr>
          <w:b w:val="0"/>
          <w:i/>
        </w:rPr>
        <w:t>Use qualified interpretation and accessible communication rather than relying on a child or untrained family member for sensitive clinical information.</w:t>
      </w:r>
    </w:p>
    <w:p>
      <w:pPr>
        <w:pStyle w:val="Heading2"/>
        <w:keepNext/>
        <w:keepLines/>
        <w:spacing w:before="100" w:after="40"/>
      </w:pPr>
      <w:r>
        <w:rPr>
          <w:b/>
          <w:i w:val="0"/>
          <w:sz w:val="20"/>
        </w:rPr>
        <w:t>Question 3 (LCSW-WB12-Q003)</w:t>
      </w:r>
    </w:p>
    <w:p>
      <w:pPr>
        <w:keepNext/>
        <w:keepLines/>
      </w:pPr>
      <w:r>
        <w:rPr>
          <w:b/>
          <w:i w:val="0"/>
          <w:color w:val="0F7C82"/>
        </w:rPr>
        <w:t>Correct Answer: D</w:t>
      </w:r>
    </w:p>
    <w:p>
      <w:pPr>
        <w:keepNext/>
        <w:keepLines/>
        <w:spacing w:after="40"/>
        <w:ind w:left="173"/>
      </w:pPr>
      <w:r>
        <w:rPr>
          <w:b/>
          <w:i w:val="0"/>
        </w:rPr>
        <w:t>A. Altering another clinician’s records may destroy evidence and create additional integrity problems.</w:t>
      </w:r>
    </w:p>
    <w:p>
      <w:pPr>
        <w:keepNext/>
        <w:keepLines/>
        <w:spacing w:after="40"/>
        <w:ind w:left="173"/>
      </w:pPr>
      <w:r>
        <w:rPr>
          <w:b/>
          <w:i w:val="0"/>
        </w:rPr>
        <w:t>B. Licensure does not eliminate ethical and organizational accountability.</w:t>
      </w:r>
    </w:p>
    <w:p>
      <w:pPr>
        <w:keepNext/>
        <w:keepLines/>
        <w:spacing w:after="40"/>
        <w:ind w:left="173"/>
      </w:pPr>
      <w:r>
        <w:rPr>
          <w:b/>
          <w:i w:val="0"/>
        </w:rPr>
        <w:t>C. Public confrontation may compromise fairness, confidentiality, and an effective investigation.</w:t>
      </w:r>
    </w:p>
    <w:p>
      <w:pPr>
        <w:keepNext/>
        <w:keepLines/>
        <w:spacing w:after="40"/>
        <w:ind w:left="173"/>
      </w:pPr>
      <w:r>
        <w:rPr>
          <w:b/>
          <w:i w:val="0"/>
        </w:rPr>
        <w:t>D. Correct. The social worker should verify what is known, protect records, and use appropriate supervisory or compliance channels.</w:t>
      </w:r>
    </w:p>
    <w:p>
      <w:pPr>
        <w:keepLines/>
        <w:spacing w:after="120"/>
        <w:ind w:left="173"/>
      </w:pPr>
      <w:r>
        <w:rPr>
          <w:b/>
          <w:i w:val="0"/>
          <w:color w:val="1F4E78"/>
        </w:rPr>
        <w:t xml:space="preserve">Exam Strategy: </w:t>
      </w:r>
      <w:r>
        <w:rPr>
          <w:b w:val="0"/>
          <w:i/>
        </w:rPr>
        <w:t>Do not falsify, backdate, or conceal. Clarify the facts, protect the record, use supervision or compliance channels, and address client impact.</w:t>
      </w:r>
    </w:p>
    <w:p>
      <w:pPr>
        <w:pStyle w:val="Heading2"/>
        <w:keepNext/>
        <w:keepLines/>
        <w:spacing w:before="100" w:after="40"/>
      </w:pPr>
      <w:r>
        <w:rPr>
          <w:b/>
          <w:i w:val="0"/>
          <w:sz w:val="20"/>
        </w:rPr>
        <w:t>Question 4 (LCSW-WB12-Q004)</w:t>
      </w:r>
    </w:p>
    <w:p>
      <w:pPr>
        <w:keepNext/>
        <w:keepLines/>
      </w:pPr>
      <w:r>
        <w:rPr>
          <w:b/>
          <w:i w:val="0"/>
          <w:color w:val="0F7C82"/>
        </w:rPr>
        <w:t>Correct Answer: B</w:t>
      </w:r>
    </w:p>
    <w:p>
      <w:pPr>
        <w:keepNext/>
        <w:keepLines/>
        <w:spacing w:after="40"/>
        <w:ind w:left="173"/>
      </w:pPr>
      <w:r>
        <w:rPr>
          <w:b/>
          <w:i w:val="0"/>
        </w:rPr>
        <w:t>A. A personal online connection can blur roles and expose private information.</w:t>
      </w:r>
    </w:p>
    <w:p>
      <w:pPr>
        <w:keepNext/>
        <w:keepLines/>
        <w:spacing w:after="40"/>
        <w:ind w:left="173"/>
      </w:pPr>
      <w:r>
        <w:rPr>
          <w:b/>
          <w:i w:val="0"/>
        </w:rPr>
        <w:t>B. Correct. A clear policy and clinically appropriate discussion protect boundaries and confidentiality.</w:t>
      </w:r>
    </w:p>
    <w:p>
      <w:pPr>
        <w:keepNext/>
        <w:keepLines/>
        <w:spacing w:after="40"/>
        <w:ind w:left="173"/>
      </w:pPr>
      <w:r>
        <w:rPr>
          <w:b/>
          <w:i w:val="0"/>
        </w:rPr>
        <w:t>C. Publicly identifying the person as a client would breach confidentiality.</w:t>
      </w:r>
    </w:p>
    <w:p>
      <w:pPr>
        <w:keepLines/>
        <w:spacing w:after="120"/>
        <w:ind w:left="173"/>
      </w:pPr>
      <w:r>
        <w:rPr>
          <w:b/>
          <w:i w:val="0"/>
          <w:color w:val="1F4E78"/>
        </w:rPr>
        <w:t xml:space="preserve">Exam Strategy: </w:t>
      </w:r>
      <w:r>
        <w:rPr>
          <w:b w:val="0"/>
          <w:i/>
        </w:rPr>
        <w:t>Protect confidentiality and role clarity; use a clear policy and discuss clinically relevant meaning without creating a personal online relationship.</w:t>
      </w:r>
    </w:p>
    <w:p>
      <w:pPr>
        <w:pStyle w:val="Heading2"/>
        <w:keepNext/>
        <w:keepLines/>
        <w:spacing w:before="100" w:after="40"/>
      </w:pPr>
      <w:r>
        <w:rPr>
          <w:b/>
          <w:i w:val="0"/>
          <w:sz w:val="20"/>
        </w:rPr>
        <w:t>Question 5 (LCSW-WB12-Q005)</w:t>
      </w:r>
    </w:p>
    <w:p>
      <w:pPr>
        <w:keepNext/>
        <w:keepLines/>
      </w:pPr>
      <w:r>
        <w:rPr>
          <w:b/>
          <w:i w:val="0"/>
          <w:color w:val="0F7C82"/>
        </w:rPr>
        <w:t>Correct Answer: A</w:t>
      </w:r>
    </w:p>
    <w:p>
      <w:pPr>
        <w:keepNext/>
        <w:keepLines/>
        <w:spacing w:after="40"/>
        <w:ind w:left="173"/>
      </w:pPr>
      <w:r>
        <w:rPr>
          <w:b/>
          <w:i w:val="0"/>
        </w:rPr>
        <w:t>A. Correct. The social worker should use transparent risk analysis, boundaries, documentation, and ongoing monitoring.</w:t>
      </w:r>
    </w:p>
    <w:p>
      <w:pPr>
        <w:keepNext/>
        <w:keepLines/>
        <w:spacing w:after="40"/>
        <w:ind w:left="173"/>
      </w:pPr>
      <w:r>
        <w:rPr>
          <w:b/>
          <w:i w:val="0"/>
        </w:rPr>
        <w:t>B. Immediate termination may reduce access and is not required for every unavoidable community overlap.</w:t>
      </w:r>
    </w:p>
    <w:p>
      <w:pPr>
        <w:keepNext/>
        <w:keepLines/>
        <w:spacing w:after="40"/>
        <w:ind w:left="173"/>
      </w:pPr>
      <w:r>
        <w:rPr>
          <w:b/>
          <w:i w:val="0"/>
        </w:rPr>
        <w:t>C. Silence prevents informed discussion and boundary planning.</w:t>
      </w:r>
    </w:p>
    <w:p>
      <w:pPr>
        <w:keepLines/>
        <w:spacing w:after="120"/>
        <w:ind w:left="173"/>
      </w:pPr>
      <w:r>
        <w:rPr>
          <w:b/>
          <w:i w:val="0"/>
          <w:color w:val="1F4E78"/>
        </w:rPr>
        <w:t xml:space="preserve">Exam Strategy: </w:t>
      </w:r>
      <w:r>
        <w:rPr>
          <w:b w:val="0"/>
          <w:i/>
        </w:rPr>
        <w:t>Assess power, exploitation, objectivity, alternatives, access, culture, and monitoring instead of assuming every community overlap requires abandonment.</w:t>
      </w:r>
    </w:p>
    <w:p>
      <w:pPr>
        <w:pStyle w:val="Heading2"/>
        <w:keepNext/>
        <w:keepLines/>
        <w:spacing w:before="100" w:after="40"/>
      </w:pPr>
      <w:r>
        <w:rPr>
          <w:b/>
          <w:i w:val="0"/>
          <w:sz w:val="20"/>
        </w:rPr>
        <w:t>Question 6 (LCSW-WB12-Q006)</w:t>
      </w:r>
    </w:p>
    <w:p>
      <w:pPr>
        <w:keepNext/>
        <w:keepLines/>
      </w:pPr>
      <w:r>
        <w:rPr>
          <w:b/>
          <w:i w:val="0"/>
          <w:color w:val="0F7C82"/>
        </w:rPr>
        <w:t>Correct Answer: C</w:t>
      </w:r>
    </w:p>
    <w:p>
      <w:pPr>
        <w:keepNext/>
        <w:keepLines/>
        <w:spacing w:after="40"/>
        <w:ind w:left="173"/>
      </w:pPr>
      <w:r>
        <w:rPr>
          <w:b/>
          <w:i w:val="0"/>
        </w:rPr>
        <w:t>A. An automatic refusal may ignore context and cultural meaning.</w:t>
      </w:r>
    </w:p>
    <w:p>
      <w:pPr>
        <w:keepNext/>
        <w:keepLines/>
        <w:spacing w:after="40"/>
        <w:ind w:left="173"/>
      </w:pPr>
      <w:r>
        <w:rPr>
          <w:b/>
          <w:i w:val="0"/>
        </w:rPr>
        <w:t>B. Public posting can create confidentiality and boundary problems.</w:t>
      </w:r>
    </w:p>
    <w:p>
      <w:pPr>
        <w:keepNext/>
        <w:keepLines/>
        <w:spacing w:after="40"/>
        <w:ind w:left="173"/>
      </w:pPr>
      <w:r>
        <w:rPr>
          <w:b/>
          <w:i w:val="0"/>
        </w:rPr>
        <w:t>C. Correct. The decision should consider culture, value, power, policy, exploitation risk, and clinical impact.</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7 (LCSW-WB12-Q007)</w:t>
      </w:r>
    </w:p>
    <w:p>
      <w:pPr>
        <w:keepNext/>
        <w:keepLines/>
      </w:pPr>
      <w:r>
        <w:rPr>
          <w:b/>
          <w:i w:val="0"/>
          <w:color w:val="0F7C82"/>
        </w:rPr>
        <w:t>Correct Answer: B</w:t>
      </w:r>
    </w:p>
    <w:p>
      <w:pPr>
        <w:keepNext/>
        <w:keepLines/>
        <w:spacing w:after="40"/>
        <w:ind w:left="173"/>
      </w:pPr>
      <w:r>
        <w:rPr>
          <w:b/>
          <w:i w:val="0"/>
        </w:rPr>
        <w:t>A. Supervisory direction does not excuse falsification.</w:t>
      </w:r>
    </w:p>
    <w:p>
      <w:pPr>
        <w:keepNext/>
        <w:keepLines/>
        <w:spacing w:after="40"/>
        <w:ind w:left="173"/>
      </w:pPr>
      <w:r>
        <w:rPr>
          <w:b/>
          <w:i w:val="0"/>
        </w:rPr>
        <w:t>B. Correct. The social worker should preserve accuracy and address the pressure through appropriate channels.</w:t>
      </w:r>
    </w:p>
    <w:p>
      <w:pPr>
        <w:keepNext/>
        <w:keepLines/>
        <w:spacing w:after="40"/>
        <w:ind w:left="173"/>
      </w:pPr>
      <w:r>
        <w:rPr>
          <w:b/>
          <w:i w:val="0"/>
        </w:rPr>
        <w:t>C. A private explanation does not make the backdated record accurate.</w:t>
      </w:r>
    </w:p>
    <w:p>
      <w:pPr>
        <w:keepLines/>
        <w:spacing w:after="120"/>
        <w:ind w:left="173"/>
      </w:pPr>
      <w:r>
        <w:rPr>
          <w:b/>
          <w:i w:val="0"/>
          <w:color w:val="1F4E78"/>
        </w:rPr>
        <w:t xml:space="preserve">Exam Strategy: </w:t>
      </w:r>
      <w:r>
        <w:rPr>
          <w:b w:val="0"/>
          <w:i/>
        </w:rPr>
        <w:t>A supervisor’s instruction does not justify unethical conduct. Clarify, document, escalate through appropriate channels, and protect clients.</w:t>
      </w:r>
    </w:p>
    <w:p>
      <w:pPr>
        <w:pStyle w:val="Heading2"/>
        <w:keepNext/>
        <w:keepLines/>
        <w:spacing w:before="100" w:after="40"/>
      </w:pPr>
      <w:r>
        <w:rPr>
          <w:b/>
          <w:i w:val="0"/>
          <w:sz w:val="20"/>
        </w:rPr>
        <w:t>Question 8 (LCSW-WB12-Q008)</w:t>
      </w:r>
    </w:p>
    <w:p>
      <w:pPr>
        <w:keepNext/>
        <w:keepLines/>
      </w:pPr>
      <w:r>
        <w:rPr>
          <w:b/>
          <w:i w:val="0"/>
          <w:color w:val="0F7C82"/>
        </w:rPr>
        <w:t>Correct Answer: A</w:t>
      </w:r>
    </w:p>
    <w:p>
      <w:pPr>
        <w:keepNext/>
        <w:keepLines/>
        <w:spacing w:after="40"/>
        <w:ind w:left="173"/>
      </w:pPr>
      <w:r>
        <w:rPr>
          <w:b/>
          <w:i w:val="0"/>
        </w:rPr>
        <w:t>A. Correct. The social worker should use the authorization and minimum-relevant-information principle for the coordination purpose.</w:t>
      </w:r>
    </w:p>
    <w:p>
      <w:pPr>
        <w:keepNext/>
        <w:keepLines/>
        <w:spacing w:after="40"/>
        <w:ind w:left="173"/>
      </w:pPr>
      <w:r>
        <w:rPr>
          <w:b/>
          <w:i w:val="0"/>
        </w:rPr>
        <w:t>B. Team membership does not create unlimited access to every detail.</w:t>
      </w:r>
    </w:p>
    <w:p>
      <w:pPr>
        <w:keepNext/>
        <w:keepLines/>
        <w:spacing w:after="40"/>
        <w:ind w:left="173"/>
      </w:pPr>
      <w:r>
        <w:rPr>
          <w:b/>
          <w:i w:val="0"/>
        </w:rPr>
        <w:t>C. Appropriate limited collaboration may be necessary and permitted.</w:t>
      </w:r>
    </w:p>
    <w:p>
      <w:pPr>
        <w:keepLines/>
        <w:spacing w:after="120"/>
        <w:ind w:left="173"/>
      </w:pPr>
      <w:r>
        <w:rPr>
          <w:b/>
          <w:i w:val="0"/>
          <w:color w:val="1F4E78"/>
        </w:rPr>
        <w:t xml:space="preserve">Exam Strategy: </w:t>
      </w:r>
      <w:r>
        <w:rPr>
          <w:b w:val="0"/>
          <w:i/>
        </w:rPr>
        <w:t>Share only what is authorized or otherwise permitted and relevant to the care purpose; team membership is not blanket access.</w:t>
      </w:r>
    </w:p>
    <w:p>
      <w:pPr>
        <w:pStyle w:val="Heading2"/>
        <w:keepNext/>
        <w:keepLines/>
        <w:spacing w:before="100" w:after="40"/>
      </w:pPr>
      <w:r>
        <w:rPr>
          <w:b/>
          <w:i w:val="0"/>
          <w:sz w:val="20"/>
        </w:rPr>
        <w:t>Question 9 (LCSW-WB12-Q009)</w:t>
      </w:r>
    </w:p>
    <w:p>
      <w:pPr>
        <w:keepNext/>
        <w:keepLines/>
      </w:pPr>
      <w:r>
        <w:rPr>
          <w:b/>
          <w:i w:val="0"/>
          <w:color w:val="0F7C82"/>
        </w:rPr>
        <w:t>Correct Answer: D</w:t>
      </w:r>
    </w:p>
    <w:p>
      <w:pPr>
        <w:keepNext/>
        <w:keepLines/>
        <w:spacing w:after="40"/>
        <w:ind w:left="173"/>
      </w:pPr>
      <w:r>
        <w:rPr>
          <w:b/>
          <w:i w:val="0"/>
        </w:rPr>
        <w:t>A. Abrupt termination may create avoidable harm and abandonment concerns.</w:t>
      </w:r>
    </w:p>
    <w:p>
      <w:pPr>
        <w:keepNext/>
        <w:keepLines/>
        <w:spacing w:after="40"/>
        <w:ind w:left="173"/>
      </w:pPr>
      <w:r>
        <w:rPr>
          <w:b/>
          <w:i w:val="0"/>
        </w:rPr>
        <w:t>B. Avoiding the issue does not create a sustainable or transparent plan.</w:t>
      </w:r>
    </w:p>
    <w:p>
      <w:pPr>
        <w:keepNext/>
        <w:keepLines/>
        <w:spacing w:after="40"/>
        <w:ind w:left="173"/>
      </w:pPr>
      <w:r>
        <w:rPr>
          <w:b/>
          <w:i w:val="0"/>
        </w:rPr>
        <w:t>C. Employer contact would generally be an unauthorized disclosure.</w:t>
      </w:r>
    </w:p>
    <w:p>
      <w:pPr>
        <w:keepNext/>
        <w:keepLines/>
        <w:spacing w:after="40"/>
        <w:ind w:left="173"/>
      </w:pPr>
      <w:r>
        <w:rPr>
          <w:b/>
          <w:i w:val="0"/>
        </w:rPr>
        <w:t>D. Correct. The social worker should address both the financial boundary and continuity of care.</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10 (LCSW-WB12-Q010)</w:t>
      </w:r>
    </w:p>
    <w:p>
      <w:pPr>
        <w:keepNext/>
        <w:keepLines/>
      </w:pPr>
      <w:r>
        <w:rPr>
          <w:b/>
          <w:i w:val="0"/>
          <w:color w:val="0F7C82"/>
        </w:rPr>
        <w:t>Correct Answer: C</w:t>
      </w:r>
    </w:p>
    <w:p>
      <w:pPr>
        <w:keepNext/>
        <w:keepLines/>
        <w:spacing w:after="40"/>
        <w:ind w:left="173"/>
      </w:pPr>
      <w:r>
        <w:rPr>
          <w:b/>
          <w:i w:val="0"/>
        </w:rPr>
        <w:t>A. Psychotherapeutic exploration is not the priority during an acute change in cognition and balance.</w:t>
      </w:r>
    </w:p>
    <w:p>
      <w:pPr>
        <w:keepNext/>
        <w:keepLines/>
        <w:spacing w:after="40"/>
        <w:ind w:left="173"/>
      </w:pPr>
      <w:r>
        <w:rPr>
          <w:b/>
          <w:i w:val="0"/>
        </w:rPr>
        <w:t>B. Dementia should not be assumed from an abrupt change.</w:t>
      </w:r>
    </w:p>
    <w:p>
      <w:pPr>
        <w:keepNext/>
        <w:keepLines/>
        <w:spacing w:after="40"/>
        <w:ind w:left="173"/>
      </w:pPr>
      <w:r>
        <w:rPr>
          <w:b/>
          <w:i w:val="0"/>
        </w:rPr>
        <w:t>C. Correct. Sudden confusion and unsteadiness can signal an urgent medical or neurological condition.</w:t>
      </w:r>
    </w:p>
    <w:p>
      <w:pPr>
        <w:keepLines/>
        <w:spacing w:after="120"/>
        <w:ind w:left="173"/>
      </w:pPr>
      <w:r>
        <w:rPr>
          <w:b/>
          <w:i w:val="0"/>
          <w:color w:val="1F4E78"/>
        </w:rPr>
        <w:t xml:space="preserve">Exam Strategy: </w:t>
      </w:r>
      <w:r>
        <w:rPr>
          <w:b w:val="0"/>
          <w:i/>
        </w:rPr>
        <w:t>A sudden change from baseline raises medical or neurological concerns. Prioritize immediate health and safety assessment before psychotherapeutic interpretation.</w:t>
      </w:r>
    </w:p>
    <w:p>
      <w:pPr>
        <w:pStyle w:val="Heading2"/>
        <w:keepNext/>
        <w:keepLines/>
        <w:spacing w:before="100" w:after="40"/>
      </w:pPr>
      <w:r>
        <w:rPr>
          <w:b/>
          <w:i w:val="0"/>
          <w:sz w:val="20"/>
        </w:rPr>
        <w:t>Question 11 (LCSW-WB12-Q011)</w:t>
      </w:r>
    </w:p>
    <w:p>
      <w:pPr>
        <w:keepNext/>
        <w:keepLines/>
      </w:pPr>
      <w:r>
        <w:rPr>
          <w:b/>
          <w:i w:val="0"/>
          <w:color w:val="0F7C82"/>
        </w:rPr>
        <w:t>Correct Answer: B</w:t>
      </w:r>
    </w:p>
    <w:p>
      <w:pPr>
        <w:keepNext/>
        <w:keepLines/>
        <w:spacing w:after="40"/>
        <w:ind w:left="173"/>
      </w:pPr>
      <w:r>
        <w:rPr>
          <w:b/>
          <w:i w:val="0"/>
        </w:rPr>
        <w:t>A. Forced detail can increase distress and undermine engagement.</w:t>
      </w:r>
    </w:p>
    <w:p>
      <w:pPr>
        <w:keepNext/>
        <w:keepLines/>
        <w:spacing w:after="40"/>
        <w:ind w:left="173"/>
      </w:pPr>
      <w:r>
        <w:rPr>
          <w:b/>
          <w:i w:val="0"/>
        </w:rPr>
        <w:t>B. Correct. Trauma-informed assessment balances safety and necessary information with control, pacing, and stabilization.</w:t>
      </w:r>
    </w:p>
    <w:p>
      <w:pPr>
        <w:keepNext/>
        <w:keepLines/>
        <w:spacing w:after="40"/>
        <w:ind w:left="173"/>
      </w:pPr>
      <w:r>
        <w:rPr>
          <w:b/>
          <w:i w:val="0"/>
        </w:rPr>
        <w:t>C. Permanent avoidance may leave important safety and treatment needs unassessed.</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12 (LCSW-WB12-Q012)</w:t>
      </w:r>
    </w:p>
    <w:p>
      <w:pPr>
        <w:keepNext/>
        <w:keepLines/>
      </w:pPr>
      <w:r>
        <w:rPr>
          <w:b/>
          <w:i w:val="0"/>
          <w:color w:val="0F7C82"/>
        </w:rPr>
        <w:t>Correct Answer: A</w:t>
      </w:r>
    </w:p>
    <w:p>
      <w:pPr>
        <w:keepNext/>
        <w:keepLines/>
        <w:spacing w:after="40"/>
        <w:ind w:left="173"/>
      </w:pPr>
      <w:r>
        <w:rPr>
          <w:b/>
          <w:i w:val="0"/>
        </w:rPr>
        <w:t>A. Correct. Chronology and substance, medical, medication, functional, and safety data are essential to differential reasoning.</w:t>
      </w:r>
    </w:p>
    <w:p>
      <w:pPr>
        <w:keepNext/>
        <w:keepLines/>
        <w:spacing w:after="40"/>
        <w:ind w:left="173"/>
      </w:pPr>
      <w:r>
        <w:rPr>
          <w:b/>
          <w:i w:val="0"/>
        </w:rPr>
        <w:t>B. The unclear timeline and substance use make an immediate final diagnosis premature.</w:t>
      </w:r>
    </w:p>
    <w:p>
      <w:pPr>
        <w:keepNext/>
        <w:keepLines/>
        <w:spacing w:after="40"/>
        <w:ind w:left="173"/>
      </w:pPr>
      <w:r>
        <w:rPr>
          <w:b/>
          <w:i w:val="0"/>
        </w:rPr>
        <w:t>C. Developmental history may matter but does not replace current differential assessment.</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13 (LCSW-WB12-Q013)</w:t>
      </w:r>
    </w:p>
    <w:p>
      <w:pPr>
        <w:keepNext/>
        <w:keepLines/>
      </w:pPr>
      <w:r>
        <w:rPr>
          <w:b/>
          <w:i w:val="0"/>
          <w:color w:val="0F7C82"/>
        </w:rPr>
        <w:t>Correct Answer: C</w:t>
      </w:r>
    </w:p>
    <w:p>
      <w:pPr>
        <w:keepNext/>
        <w:keepLines/>
        <w:spacing w:after="40"/>
        <w:ind w:left="173"/>
      </w:pPr>
      <w:r>
        <w:rPr>
          <w:b/>
          <w:i w:val="0"/>
        </w:rPr>
        <w:t>A. A behavior label does not explain the function or context of school refusal.</w:t>
      </w:r>
    </w:p>
    <w:p>
      <w:pPr>
        <w:keepNext/>
        <w:keepLines/>
        <w:spacing w:after="40"/>
        <w:ind w:left="173"/>
      </w:pPr>
      <w:r>
        <w:rPr>
          <w:b/>
          <w:i w:val="0"/>
        </w:rPr>
        <w:t>B. Placement change is premature without a broader assessment.</w:t>
      </w:r>
    </w:p>
    <w:p>
      <w:pPr>
        <w:keepNext/>
        <w:keepLines/>
        <w:spacing w:after="40"/>
        <w:ind w:left="173"/>
      </w:pPr>
      <w:r>
        <w:rPr>
          <w:b/>
          <w:i w:val="0"/>
        </w:rPr>
        <w:t>C. Correct. A multi-system assessment examines health, development, relationships, learning, safety, and reinforcement patterns.</w:t>
      </w:r>
    </w:p>
    <w:p>
      <w:pPr>
        <w:keepLines/>
        <w:spacing w:after="120"/>
        <w:ind w:left="173"/>
      </w:pPr>
      <w:r>
        <w:rPr>
          <w:b/>
          <w:i w:val="0"/>
          <w:color w:val="1F4E78"/>
        </w:rPr>
        <w:t xml:space="preserve">Exam Strategy: </w:t>
      </w:r>
      <w:r>
        <w:rPr>
          <w:b w:val="0"/>
          <w:i/>
        </w:rPr>
        <w:t>Assess the child, caregivers, school, development, safety, health, peer context, learning needs, and reinforcement patterns before selecting one intervention.</w:t>
      </w:r>
    </w:p>
    <w:p>
      <w:pPr>
        <w:pStyle w:val="Heading2"/>
        <w:keepNext/>
        <w:keepLines/>
        <w:spacing w:before="100" w:after="40"/>
      </w:pPr>
      <w:r>
        <w:rPr>
          <w:b/>
          <w:i w:val="0"/>
          <w:sz w:val="20"/>
        </w:rPr>
        <w:t>Question 14 (LCSW-WB12-Q014)</w:t>
      </w:r>
    </w:p>
    <w:p>
      <w:pPr>
        <w:keepNext/>
        <w:keepLines/>
      </w:pPr>
      <w:r>
        <w:rPr>
          <w:b/>
          <w:i w:val="0"/>
          <w:color w:val="0F7C82"/>
        </w:rPr>
        <w:t>Correct Answer: B</w:t>
      </w:r>
    </w:p>
    <w:p>
      <w:pPr>
        <w:keepNext/>
        <w:keepLines/>
        <w:spacing w:after="40"/>
        <w:ind w:left="173"/>
      </w:pPr>
      <w:r>
        <w:rPr>
          <w:b/>
          <w:i w:val="0"/>
        </w:rPr>
        <w:t>A. Avoidance leaves risk unclear.</w:t>
      </w:r>
    </w:p>
    <w:p>
      <w:pPr>
        <w:keepNext/>
        <w:keepLines/>
        <w:spacing w:after="40"/>
        <w:ind w:left="173"/>
      </w:pPr>
      <w:r>
        <w:rPr>
          <w:b/>
          <w:i w:val="0"/>
        </w:rPr>
        <w:t>B. Correct. Direct, structured risk assessment is the first step.</w:t>
      </w:r>
    </w:p>
    <w:p>
      <w:pPr>
        <w:keepNext/>
        <w:keepLines/>
        <w:spacing w:after="40"/>
        <w:ind w:left="173"/>
      </w:pPr>
      <w:r>
        <w:rPr>
          <w:b/>
          <w:i w:val="0"/>
        </w:rPr>
        <w:t>C. The social worker should explain confidentiality limits rather than promise secrecy.</w:t>
      </w:r>
    </w:p>
    <w:p>
      <w:pPr>
        <w:keepLines/>
        <w:spacing w:after="120"/>
        <w:ind w:left="173"/>
      </w:pPr>
      <w:r>
        <w:rPr>
          <w:b/>
          <w:i w:val="0"/>
          <w:color w:val="1F4E78"/>
        </w:rPr>
        <w:t xml:space="preserve">Exam Strategy: </w:t>
      </w:r>
      <w:r>
        <w:rPr>
          <w:b w:val="0"/>
          <w:i/>
        </w:rPr>
        <w:t>Assess current ideation, intent, plan, means, history, protective factors, and ability to maintain safety before moving to routine counseling.</w:t>
      </w:r>
    </w:p>
    <w:p>
      <w:pPr>
        <w:pStyle w:val="Heading2"/>
        <w:keepNext/>
        <w:keepLines/>
        <w:spacing w:before="100" w:after="40"/>
      </w:pPr>
      <w:r>
        <w:rPr>
          <w:b/>
          <w:i w:val="0"/>
          <w:sz w:val="20"/>
        </w:rPr>
        <w:t>Question 15 (LCSW-WB12-Q015)</w:t>
      </w:r>
    </w:p>
    <w:p>
      <w:pPr>
        <w:keepNext/>
        <w:keepLines/>
      </w:pPr>
      <w:r>
        <w:rPr>
          <w:b/>
          <w:i w:val="0"/>
          <w:color w:val="0F7C82"/>
        </w:rPr>
        <w:t>Correct Answer: A</w:t>
      </w:r>
    </w:p>
    <w:p>
      <w:pPr>
        <w:keepNext/>
        <w:keepLines/>
        <w:spacing w:after="40"/>
        <w:ind w:left="173"/>
      </w:pPr>
      <w:r>
        <w:rPr>
          <w:b/>
          <w:i w:val="0"/>
        </w:rPr>
        <w:t>A. Correct. The social worker should address immediate safety and facilitate appropriate medical evaluation.</w:t>
      </w:r>
    </w:p>
    <w:p>
      <w:pPr>
        <w:keepNext/>
        <w:keepLines/>
        <w:spacing w:after="40"/>
        <w:ind w:left="173"/>
      </w:pPr>
      <w:r>
        <w:rPr>
          <w:b/>
          <w:i w:val="0"/>
        </w:rPr>
        <w:t>B. Directing medication changes is outside ordinary social-work scope.</w:t>
      </w:r>
    </w:p>
    <w:p>
      <w:pPr>
        <w:keepNext/>
        <w:keepLines/>
        <w:spacing w:after="40"/>
        <w:ind w:left="173"/>
      </w:pPr>
      <w:r>
        <w:rPr>
          <w:b/>
          <w:i w:val="0"/>
        </w:rPr>
        <w:t>C. Severe dizziness and near-syncope should not be minimized.</w:t>
      </w:r>
    </w:p>
    <w:p>
      <w:pPr>
        <w:keepLines/>
        <w:spacing w:after="120"/>
        <w:ind w:left="173"/>
      </w:pPr>
      <w:r>
        <w:rPr>
          <w:b/>
          <w:i w:val="0"/>
          <w:color w:val="1F4E78"/>
        </w:rPr>
        <w:t xml:space="preserve">Exam Strategy: </w:t>
      </w:r>
      <w:r>
        <w:rPr>
          <w:b w:val="0"/>
          <w:i/>
        </w:rPr>
        <w:t>Assess safety and functioning, encourage prompt prescriber or medical contact, and remain within scope rather than directing medication changes.</w:t>
      </w:r>
    </w:p>
    <w:p>
      <w:pPr>
        <w:pStyle w:val="Heading2"/>
        <w:keepNext/>
        <w:keepLines/>
        <w:spacing w:before="100" w:after="40"/>
      </w:pPr>
      <w:r>
        <w:rPr>
          <w:b/>
          <w:i w:val="0"/>
          <w:sz w:val="20"/>
        </w:rPr>
        <w:t>Question 16 (LCSW-WB12-Q016)</w:t>
      </w:r>
    </w:p>
    <w:p>
      <w:pPr>
        <w:keepNext/>
        <w:keepLines/>
      </w:pPr>
      <w:r>
        <w:rPr>
          <w:b/>
          <w:i w:val="0"/>
          <w:color w:val="0F7C82"/>
        </w:rPr>
        <w:t>Correct Answer: D</w:t>
      </w:r>
    </w:p>
    <w:p>
      <w:pPr>
        <w:keepNext/>
        <w:keepLines/>
        <w:spacing w:after="40"/>
        <w:ind w:left="173"/>
      </w:pPr>
      <w:r>
        <w:rPr>
          <w:b/>
          <w:i w:val="0"/>
        </w:rPr>
        <w:t>A. Environmental barriers directly affect functioning, access, and treatment response.</w:t>
      </w:r>
    </w:p>
    <w:p>
      <w:pPr>
        <w:keepNext/>
        <w:keepLines/>
        <w:spacing w:after="40"/>
        <w:ind w:left="173"/>
      </w:pPr>
      <w:r>
        <w:rPr>
          <w:b/>
          <w:i w:val="0"/>
        </w:rPr>
        <w:t>B. Clinical and resource interventions can often proceed together.</w:t>
      </w:r>
    </w:p>
    <w:p>
      <w:pPr>
        <w:keepNext/>
        <w:keepLines/>
        <w:spacing w:after="40"/>
        <w:ind w:left="173"/>
      </w:pPr>
      <w:r>
        <w:rPr>
          <w:b/>
          <w:i w:val="0"/>
        </w:rPr>
        <w:t>C. Excluding the client undermines self-determination and plan relevance.</w:t>
      </w:r>
    </w:p>
    <w:p>
      <w:pPr>
        <w:keepNext/>
        <w:keepLines/>
        <w:spacing w:after="40"/>
        <w:ind w:left="173"/>
      </w:pPr>
      <w:r>
        <w:rPr>
          <w:b/>
          <w:i w:val="0"/>
        </w:rPr>
        <w:t>D. Correct. A person-in-environment plan integrates clinical and practical needs with client participation and measurable goals.</w:t>
      </w:r>
    </w:p>
    <w:p>
      <w:pPr>
        <w:keepLines/>
        <w:spacing w:after="120"/>
        <w:ind w:left="173"/>
      </w:pPr>
      <w:r>
        <w:rPr>
          <w:b/>
          <w:i w:val="0"/>
          <w:color w:val="1F4E78"/>
        </w:rPr>
        <w:t xml:space="preserve">Exam Strategy: </w:t>
      </w:r>
      <w:r>
        <w:rPr>
          <w:b w:val="0"/>
          <w:i/>
        </w:rPr>
        <w:t>Integrate symptoms, strengths, client goals, environmental barriers, resources, and measurable outcomes rather than treating context as background detail.</w:t>
      </w:r>
    </w:p>
    <w:p>
      <w:pPr>
        <w:pStyle w:val="Heading2"/>
        <w:keepNext/>
        <w:keepLines/>
        <w:spacing w:before="100" w:after="40"/>
      </w:pPr>
      <w:r>
        <w:rPr>
          <w:b/>
          <w:i w:val="0"/>
          <w:sz w:val="20"/>
        </w:rPr>
        <w:t>Question 17 (LCSW-WB12-Q017)</w:t>
      </w:r>
    </w:p>
    <w:p>
      <w:pPr>
        <w:keepNext/>
        <w:keepLines/>
      </w:pPr>
      <w:r>
        <w:rPr>
          <w:b/>
          <w:i w:val="0"/>
          <w:color w:val="0F7C82"/>
        </w:rPr>
        <w:t>Correct Answer: C</w:t>
      </w:r>
    </w:p>
    <w:p>
      <w:pPr>
        <w:keepNext/>
        <w:keepLines/>
        <w:spacing w:after="40"/>
        <w:ind w:left="173"/>
      </w:pPr>
      <w:r>
        <w:rPr>
          <w:b/>
          <w:i w:val="0"/>
        </w:rPr>
        <w:t>A. Communication work can be unsafe when coercion and retaliation are present.</w:t>
      </w:r>
    </w:p>
    <w:p>
      <w:pPr>
        <w:keepNext/>
        <w:keepLines/>
        <w:spacing w:after="40"/>
        <w:ind w:left="173"/>
      </w:pPr>
      <w:r>
        <w:rPr>
          <w:b/>
          <w:i w:val="0"/>
        </w:rPr>
        <w:t>B. Forced disclosure may increase danger.</w:t>
      </w:r>
    </w:p>
    <w:p>
      <w:pPr>
        <w:keepNext/>
        <w:keepLines/>
        <w:spacing w:after="40"/>
        <w:ind w:left="173"/>
      </w:pPr>
      <w:r>
        <w:rPr>
          <w:b/>
          <w:i w:val="0"/>
        </w:rPr>
        <w:t>C. Correct. Safety and voluntariness must be assessed before conjoint treatment.</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18 (LCSW-WB12-Q018)</w:t>
      </w:r>
    </w:p>
    <w:p>
      <w:pPr>
        <w:keepNext/>
        <w:keepLines/>
      </w:pPr>
      <w:r>
        <w:rPr>
          <w:b/>
          <w:i w:val="0"/>
          <w:color w:val="0F7C82"/>
        </w:rPr>
        <w:t>Correct Answer: B</w:t>
      </w:r>
    </w:p>
    <w:p>
      <w:pPr>
        <w:keepNext/>
        <w:keepLines/>
        <w:spacing w:after="40"/>
        <w:ind w:left="173"/>
      </w:pPr>
      <w:r>
        <w:rPr>
          <w:b/>
          <w:i w:val="0"/>
        </w:rPr>
        <w:t>A. Arguing can strengthen resistance and reduce collaboration.</w:t>
      </w:r>
    </w:p>
    <w:p>
      <w:pPr>
        <w:keepNext/>
        <w:keepLines/>
        <w:spacing w:after="40"/>
        <w:ind w:left="173"/>
      </w:pPr>
      <w:r>
        <w:rPr>
          <w:b/>
          <w:i w:val="0"/>
        </w:rPr>
        <w:t>B. Correct. Motivational interviewing explores ambivalence, values, autonomy, and change talk.</w:t>
      </w:r>
    </w:p>
    <w:p>
      <w:pPr>
        <w:keepNext/>
        <w:keepLines/>
        <w:spacing w:after="40"/>
        <w:ind w:left="173"/>
      </w:pPr>
      <w:r>
        <w:rPr>
          <w:b/>
          <w:i w:val="0"/>
        </w:rPr>
        <w:t>C. An automatic abstinence condition may not fit the setting, client goals, or harm-reduction approach.</w:t>
      </w:r>
    </w:p>
    <w:p>
      <w:pPr>
        <w:keepLines/>
        <w:spacing w:after="120"/>
        <w:ind w:left="173"/>
      </w:pPr>
      <w:r>
        <w:rPr>
          <w:b/>
          <w:i w:val="0"/>
          <w:color w:val="1F4E78"/>
        </w:rPr>
        <w:t xml:space="preserve">Exam Strategy: </w:t>
      </w:r>
      <w:r>
        <w:rPr>
          <w:b w:val="0"/>
          <w:i/>
        </w:rPr>
        <w:t>Explore ambivalence, autonomy, values, reasons for change, and confidence instead of arguing or prescribing.</w:t>
      </w:r>
    </w:p>
    <w:p>
      <w:pPr>
        <w:pStyle w:val="Heading2"/>
        <w:keepNext/>
        <w:keepLines/>
        <w:spacing w:before="100" w:after="40"/>
      </w:pPr>
      <w:r>
        <w:rPr>
          <w:b/>
          <w:i w:val="0"/>
          <w:sz w:val="20"/>
        </w:rPr>
        <w:t>Question 19 (LCSW-WB12-Q019)</w:t>
      </w:r>
    </w:p>
    <w:p>
      <w:pPr>
        <w:keepNext/>
        <w:keepLines/>
      </w:pPr>
      <w:r>
        <w:rPr>
          <w:b/>
          <w:i w:val="0"/>
          <w:color w:val="0F7C82"/>
        </w:rPr>
        <w:t>Correct Answer: A</w:t>
      </w:r>
    </w:p>
    <w:p>
      <w:pPr>
        <w:keepNext/>
        <w:keepLines/>
        <w:spacing w:after="40"/>
        <w:ind w:left="173"/>
      </w:pPr>
      <w:r>
        <w:rPr>
          <w:b/>
          <w:i w:val="0"/>
        </w:rPr>
        <w:t>A. Correct. Graded exposure targets the avoidance cycle while monitoring safety, distress, and functioning.</w:t>
      </w:r>
    </w:p>
    <w:p>
      <w:pPr>
        <w:keepNext/>
        <w:keepLines/>
        <w:spacing w:after="40"/>
        <w:ind w:left="173"/>
      </w:pPr>
      <w:r>
        <w:rPr>
          <w:b/>
          <w:i w:val="0"/>
        </w:rPr>
        <w:t>B. Permanent avoidance can reinforce fear and functional restriction.</w:t>
      </w:r>
    </w:p>
    <w:p>
      <w:pPr>
        <w:keepNext/>
        <w:keepLines/>
        <w:spacing w:after="40"/>
        <w:ind w:left="173"/>
      </w:pPr>
      <w:r>
        <w:rPr>
          <w:b/>
          <w:i w:val="0"/>
        </w:rPr>
        <w:t>C. Reassurance alone may maintain dependence and does not test feared predictions.</w:t>
      </w:r>
    </w:p>
    <w:p>
      <w:pPr>
        <w:keepLines/>
        <w:spacing w:after="120"/>
        <w:ind w:left="173"/>
      </w:pPr>
      <w:r>
        <w:rPr>
          <w:b/>
          <w:i w:val="0"/>
          <w:color w:val="1F4E78"/>
        </w:rPr>
        <w:t xml:space="preserve">Exam Strategy: </w:t>
      </w:r>
      <w:r>
        <w:rPr>
          <w:b w:val="0"/>
          <w:i/>
        </w:rPr>
        <w:t>When safe and appropriate, choose graded behavioral change that targets avoidance and includes monitoring rather than reassurance alone.</w:t>
      </w:r>
    </w:p>
    <w:p>
      <w:pPr>
        <w:pStyle w:val="Heading2"/>
        <w:keepNext/>
        <w:keepLines/>
        <w:spacing w:before="100" w:after="40"/>
      </w:pPr>
      <w:r>
        <w:rPr>
          <w:b/>
          <w:i w:val="0"/>
          <w:sz w:val="20"/>
        </w:rPr>
        <w:t>Question 20 (LCSW-WB12-Q020)</w:t>
      </w:r>
    </w:p>
    <w:p>
      <w:pPr>
        <w:keepNext/>
        <w:keepLines/>
      </w:pPr>
      <w:r>
        <w:rPr>
          <w:b/>
          <w:i w:val="0"/>
          <w:color w:val="0F7C82"/>
        </w:rPr>
        <w:t>Correct Answer: C</w:t>
      </w:r>
    </w:p>
    <w:p>
      <w:pPr>
        <w:keepNext/>
        <w:keepLines/>
        <w:spacing w:after="40"/>
        <w:ind w:left="173"/>
      </w:pPr>
      <w:r>
        <w:rPr>
          <w:b/>
          <w:i w:val="0"/>
        </w:rPr>
        <w:t>A. Ignoring harmful behavior can increase shame and damage cohesion.</w:t>
      </w:r>
    </w:p>
    <w:p>
      <w:pPr>
        <w:keepNext/>
        <w:keepLines/>
        <w:spacing w:after="40"/>
        <w:ind w:left="173"/>
      </w:pPr>
      <w:r>
        <w:rPr>
          <w:b/>
          <w:i w:val="0"/>
        </w:rPr>
        <w:t>B. This shifts responsibility to the harmed member.</w:t>
      </w:r>
    </w:p>
    <w:p>
      <w:pPr>
        <w:keepNext/>
        <w:keepLines/>
        <w:spacing w:after="40"/>
        <w:ind w:left="173"/>
      </w:pPr>
      <w:r>
        <w:rPr>
          <w:b/>
          <w:i w:val="0"/>
        </w:rPr>
        <w:t>C. Correct. The facilitator protects safety, names the process, reinforces norms, and supports repair.</w:t>
      </w:r>
    </w:p>
    <w:p>
      <w:pPr>
        <w:keepNext/>
        <w:keepLines/>
        <w:spacing w:after="40"/>
        <w:ind w:left="173"/>
      </w:pPr>
      <w:r>
        <w:rPr>
          <w:b/>
          <w:i w:val="0"/>
        </w:rPr>
        <w:t>D. Permanent termination is disproportionate before appropriate intervention and review.</w:t>
      </w:r>
    </w:p>
    <w:p>
      <w:pPr>
        <w:keepLines/>
        <w:spacing w:after="120"/>
        <w:ind w:left="173"/>
      </w:pPr>
      <w:r>
        <w:rPr>
          <w:b/>
          <w:i w:val="0"/>
          <w:color w:val="1F4E78"/>
        </w:rPr>
        <w:t xml:space="preserve">Exam Strategy: </w:t>
      </w:r>
      <w:r>
        <w:rPr>
          <w:b w:val="0"/>
          <w:i/>
        </w:rPr>
        <w:t>Protect safety, name the process, reinforce norms, assess impact, and facilitate accountable repair without humiliating or abandoning a member.</w:t>
      </w:r>
    </w:p>
    <w:p>
      <w:pPr>
        <w:pStyle w:val="Heading2"/>
        <w:keepNext/>
        <w:keepLines/>
        <w:spacing w:before="100" w:after="40"/>
      </w:pPr>
      <w:r>
        <w:rPr>
          <w:b/>
          <w:i w:val="0"/>
          <w:sz w:val="20"/>
        </w:rPr>
        <w:t>Question 21 (LCSW-WB12-Q021)</w:t>
      </w:r>
    </w:p>
    <w:p>
      <w:pPr>
        <w:keepNext/>
        <w:keepLines/>
      </w:pPr>
      <w:r>
        <w:rPr>
          <w:b/>
          <w:i w:val="0"/>
          <w:color w:val="0F7C82"/>
        </w:rPr>
        <w:t>Correct Answer: B</w:t>
      </w:r>
    </w:p>
    <w:p>
      <w:pPr>
        <w:keepNext/>
        <w:keepLines/>
        <w:spacing w:after="40"/>
        <w:ind w:left="173"/>
      </w:pPr>
      <w:r>
        <w:rPr>
          <w:b/>
          <w:i w:val="0"/>
        </w:rPr>
        <w:t>A. Continuing without evaluation ignores nonresponse data.</w:t>
      </w:r>
    </w:p>
    <w:p>
      <w:pPr>
        <w:keepNext/>
        <w:keepLines/>
        <w:spacing w:after="40"/>
        <w:ind w:left="173"/>
      </w:pPr>
      <w:r>
        <w:rPr>
          <w:b/>
          <w:i w:val="0"/>
        </w:rPr>
        <w:t>B. Correct. The social worker should review multiple explanations and revise the plan with the client.</w:t>
      </w:r>
    </w:p>
    <w:p>
      <w:pPr>
        <w:keepNext/>
        <w:keepLines/>
        <w:spacing w:after="40"/>
        <w:ind w:left="173"/>
      </w:pPr>
      <w:r>
        <w:rPr>
          <w:b/>
          <w:i w:val="0"/>
        </w:rPr>
        <w:t>C. Labeling the client resistant prematurely shifts blame and narrows assessment.</w:t>
      </w:r>
    </w:p>
    <w:p>
      <w:pPr>
        <w:keepLines/>
        <w:spacing w:after="120"/>
        <w:ind w:left="173"/>
      </w:pPr>
      <w:r>
        <w:rPr>
          <w:b/>
          <w:i w:val="0"/>
          <w:color w:val="1F4E78"/>
        </w:rPr>
        <w:t xml:space="preserve">Exam Strategy: </w:t>
      </w:r>
      <w:r>
        <w:rPr>
          <w:b w:val="0"/>
          <w:i/>
        </w:rPr>
        <w:t>Define the target and decision, collect relevant baseline and follow-up data, include client experience, and revise practice based on results.</w:t>
      </w:r>
    </w:p>
    <w:p>
      <w:pPr>
        <w:pStyle w:val="Heading2"/>
        <w:keepNext/>
        <w:keepLines/>
        <w:spacing w:before="100" w:after="40"/>
      </w:pPr>
      <w:r>
        <w:rPr>
          <w:b/>
          <w:i w:val="0"/>
          <w:sz w:val="20"/>
        </w:rPr>
        <w:t>Question 22 (LCSW-WB12-Q022)</w:t>
      </w:r>
    </w:p>
    <w:p>
      <w:pPr>
        <w:keepNext/>
        <w:keepLines/>
      </w:pPr>
      <w:r>
        <w:rPr>
          <w:b/>
          <w:i w:val="0"/>
          <w:color w:val="0F7C82"/>
        </w:rPr>
        <w:t>Correct Answer: A</w:t>
      </w:r>
    </w:p>
    <w:p>
      <w:pPr>
        <w:keepNext/>
        <w:keepLines/>
        <w:spacing w:after="40"/>
        <w:ind w:left="173"/>
      </w:pPr>
      <w:r>
        <w:rPr>
          <w:b/>
          <w:i w:val="0"/>
        </w:rPr>
        <w:t>A. Correct. Recognition, supervision, and practice adjustment are the appropriate first steps when competent care can still be preserved.</w:t>
      </w:r>
    </w:p>
    <w:p>
      <w:pPr>
        <w:keepNext/>
        <w:keepLines/>
        <w:spacing w:after="40"/>
        <w:ind w:left="173"/>
      </w:pPr>
      <w:r>
        <w:rPr>
          <w:b/>
          <w:i w:val="0"/>
        </w:rPr>
        <w:t>B. Discharging the reaction onto the client is not a professional response.</w:t>
      </w:r>
    </w:p>
    <w:p>
      <w:pPr>
        <w:keepNext/>
        <w:keepLines/>
        <w:spacing w:after="40"/>
        <w:ind w:left="173"/>
      </w:pPr>
      <w:r>
        <w:rPr>
          <w:b/>
          <w:i w:val="0"/>
        </w:rPr>
        <w:t>C. Immediate unexplained termination may be unnecessary and harmful.</w:t>
      </w:r>
    </w:p>
    <w:p>
      <w:pPr>
        <w:keepLines/>
        <w:spacing w:after="120"/>
        <w:ind w:left="173"/>
      </w:pPr>
      <w:r>
        <w:rPr>
          <w:b/>
          <w:i w:val="0"/>
          <w:color w:val="1F4E78"/>
        </w:rPr>
        <w:t xml:space="preserve">Exam Strategy: </w:t>
      </w:r>
      <w:r>
        <w:rPr>
          <w:b w:val="0"/>
          <w:i/>
        </w:rPr>
        <w:t>Bring strong reactions and case impact to supervision early while maintaining immediate safety responsibilities.</w:t>
      </w:r>
    </w:p>
    <w:p>
      <w:pPr>
        <w:pStyle w:val="Heading2"/>
        <w:keepNext/>
        <w:keepLines/>
        <w:spacing w:before="100" w:after="40"/>
      </w:pPr>
      <w:r>
        <w:rPr>
          <w:b/>
          <w:i w:val="0"/>
          <w:sz w:val="20"/>
        </w:rPr>
        <w:t>Question 23 (LCSW-WB12-Q023)</w:t>
      </w:r>
    </w:p>
    <w:p>
      <w:pPr>
        <w:keepNext/>
        <w:keepLines/>
      </w:pPr>
      <w:r>
        <w:rPr>
          <w:b/>
          <w:i w:val="0"/>
          <w:color w:val="0F7C82"/>
        </w:rPr>
        <w:t>Correct Answer: C</w:t>
      </w:r>
    </w:p>
    <w:p>
      <w:pPr>
        <w:keepNext/>
        <w:keepLines/>
        <w:spacing w:after="40"/>
        <w:ind w:left="173"/>
      </w:pPr>
      <w:r>
        <w:rPr>
          <w:b/>
          <w:i w:val="0"/>
        </w:rPr>
        <w:t>A. A list alone may not overcome the identified barriers.</w:t>
      </w:r>
    </w:p>
    <w:p>
      <w:pPr>
        <w:keepNext/>
        <w:keepLines/>
        <w:spacing w:after="40"/>
        <w:ind w:left="173"/>
      </w:pPr>
      <w:r>
        <w:rPr>
          <w:b/>
          <w:i w:val="0"/>
        </w:rPr>
        <w:t>B. Ignoring known barriers reduces the likelihood of successful connection.</w:t>
      </w:r>
    </w:p>
    <w:p>
      <w:pPr>
        <w:keepNext/>
        <w:keepLines/>
        <w:spacing w:after="40"/>
        <w:ind w:left="173"/>
      </w:pPr>
      <w:r>
        <w:rPr>
          <w:b/>
          <w:i w:val="0"/>
        </w:rPr>
        <w:t>C. Correct. A warm handoff matches the resource, reduces access barriers, and preserves follow-up.</w:t>
      </w:r>
    </w:p>
    <w:p>
      <w:pPr>
        <w:keepLines/>
        <w:spacing w:after="120"/>
        <w:ind w:left="173"/>
      </w:pPr>
      <w:r>
        <w:rPr>
          <w:b/>
          <w:i w:val="0"/>
          <w:color w:val="1F4E78"/>
        </w:rPr>
        <w:t xml:space="preserve">Exam Strategy: </w:t>
      </w:r>
      <w:r>
        <w:rPr>
          <w:b w:val="0"/>
          <w:i/>
        </w:rPr>
        <w:t>Match the resource, address access barriers, coordinate with consent, confirm connection, and preserve follow-up rather than merely providing a list.</w:t>
      </w:r>
    </w:p>
    <w:p>
      <w:pPr>
        <w:pStyle w:val="Heading2"/>
        <w:keepNext/>
        <w:keepLines/>
        <w:spacing w:before="100" w:after="40"/>
      </w:pPr>
      <w:r>
        <w:rPr>
          <w:b/>
          <w:i w:val="0"/>
          <w:sz w:val="20"/>
        </w:rPr>
        <w:t>Question 24 (LCSW-WB12-Q024)</w:t>
      </w:r>
    </w:p>
    <w:p>
      <w:pPr>
        <w:keepNext/>
        <w:keepLines/>
      </w:pPr>
      <w:r>
        <w:rPr>
          <w:b/>
          <w:i w:val="0"/>
          <w:color w:val="0F7C82"/>
        </w:rPr>
        <w:t>Correct Answer: D</w:t>
      </w:r>
    </w:p>
    <w:p>
      <w:pPr>
        <w:keepNext/>
        <w:keepLines/>
        <w:spacing w:after="40"/>
        <w:ind w:left="173"/>
      </w:pPr>
      <w:r>
        <w:rPr>
          <w:b/>
          <w:i w:val="0"/>
        </w:rPr>
        <w:t>A. This places inappropriate responsibility on the child and preserves caregiver inconsistency.</w:t>
      </w:r>
    </w:p>
    <w:p>
      <w:pPr>
        <w:keepNext/>
        <w:keepLines/>
        <w:spacing w:after="40"/>
        <w:ind w:left="173"/>
      </w:pPr>
      <w:r>
        <w:rPr>
          <w:b/>
          <w:i w:val="0"/>
        </w:rPr>
        <w:t>B. History may inform formulation but does not replace current behavior change.</w:t>
      </w:r>
    </w:p>
    <w:p>
      <w:pPr>
        <w:keepNext/>
        <w:keepLines/>
        <w:spacing w:after="40"/>
        <w:ind w:left="173"/>
      </w:pPr>
      <w:r>
        <w:rPr>
          <w:b/>
          <w:i w:val="0"/>
        </w:rPr>
        <w:t>C. Residential placement is disproportionate to the information provided.</w:t>
      </w:r>
    </w:p>
    <w:p>
      <w:pPr>
        <w:keepNext/>
        <w:keepLines/>
        <w:spacing w:after="40"/>
        <w:ind w:left="173"/>
      </w:pPr>
      <w:r>
        <w:rPr>
          <w:b/>
          <w:i w:val="0"/>
        </w:rPr>
        <w:t>D. Correct. The plan targets the current maintaining sequence, caregiver alignment, developmental fit, and measurable practice.</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2"/>
        <w:keepNext/>
        <w:keepLines/>
        <w:spacing w:before="100" w:after="40"/>
      </w:pPr>
      <w:r>
        <w:rPr>
          <w:b/>
          <w:i w:val="0"/>
          <w:sz w:val="20"/>
        </w:rPr>
        <w:t>Question 25 (LCSW-WB12-Q025)</w:t>
      </w:r>
    </w:p>
    <w:p>
      <w:pPr>
        <w:keepNext/>
        <w:keepLines/>
      </w:pPr>
      <w:r>
        <w:rPr>
          <w:b/>
          <w:i w:val="0"/>
          <w:color w:val="0F7C82"/>
        </w:rPr>
        <w:t>Correct Answer: B</w:t>
      </w:r>
    </w:p>
    <w:p>
      <w:pPr>
        <w:keepNext/>
        <w:keepLines/>
        <w:spacing w:after="40"/>
        <w:ind w:left="173"/>
      </w:pPr>
      <w:r>
        <w:rPr>
          <w:b/>
          <w:i w:val="0"/>
        </w:rPr>
        <w:t>A. Removing data conceals rather than addresses inequity.</w:t>
      </w:r>
    </w:p>
    <w:p>
      <w:pPr>
        <w:keepNext/>
        <w:keepLines/>
        <w:spacing w:after="40"/>
        <w:ind w:left="173"/>
      </w:pPr>
      <w:r>
        <w:rPr>
          <w:b/>
          <w:i w:val="0"/>
        </w:rPr>
        <w:t>B. Correct. Effective improvement combines accurate data, participation, workflow redesign, responsibility, implementation, and outcome monitoring.</w:t>
      </w:r>
    </w:p>
    <w:p>
      <w:pPr>
        <w:keepNext/>
        <w:keepLines/>
        <w:spacing w:after="40"/>
        <w:ind w:left="173"/>
      </w:pPr>
      <w:r>
        <w:rPr>
          <w:b/>
          <w:i w:val="0"/>
        </w:rPr>
        <w:t>C. Automatic referral can create additional access barriers and avoids system improvement.</w:t>
      </w:r>
    </w:p>
    <w:p>
      <w:pPr>
        <w:keepNext/>
        <w:keepLines/>
        <w:spacing w:after="40"/>
        <w:ind w:left="173"/>
      </w:pPr>
      <w:r>
        <w:rPr>
          <w:b/>
          <w:i w:val="0"/>
        </w:rPr>
        <w:t>D. A volume-only metric may worsen quality and disparity.</w:t>
      </w:r>
    </w:p>
    <w:p>
      <w:pPr>
        <w:keepLines/>
        <w:spacing w:after="120"/>
        <w:ind w:left="173"/>
      </w:pPr>
      <w:r>
        <w:rPr>
          <w:b/>
          <w:i w:val="0"/>
          <w:color w:val="1F4E78"/>
        </w:rPr>
        <w:t xml:space="preserve">Exam Strategy: </w:t>
      </w:r>
      <w:r>
        <w:rPr>
          <w:b w:val="0"/>
          <w:i/>
        </w:rPr>
        <w:t>Identify the content area, determine what must happen first, preserve client participation and safety, and choose the response that is best supported and best sequenced.</w:t>
      </w:r>
    </w:p>
    <w:p>
      <w:pPr>
        <w:pStyle w:val="Heading1"/>
      </w:pPr>
      <w:r>
        <w:t>Mini-Mock Score and Readiness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Score Range</w:t>
            </w:r>
          </w:p>
        </w:tc>
        <w:tc>
          <w:tcPr>
            <w:tcW w:type="dxa" w:w="3360"/>
            <w:shd w:fill="17365D"/>
            <w:tcMar>
              <w:top w:w="100" w:type="dxa"/>
              <w:start w:w="120" w:type="dxa"/>
              <w:bottom w:w="100" w:type="dxa"/>
              <w:end w:w="120" w:type="dxa"/>
            </w:tcMar>
          </w:tcPr>
          <w:p>
            <w:pPr>
              <w:spacing w:after="0"/>
            </w:pPr>
            <w:r>
              <w:rPr>
                <w:b/>
                <w:color w:val="FFFFFF"/>
                <w:sz w:val="17"/>
              </w:rPr>
              <w:t>Meaning</w:t>
            </w:r>
          </w:p>
        </w:tc>
        <w:tc>
          <w:tcPr>
            <w:tcW w:type="dxa" w:w="3360"/>
            <w:shd w:fill="17365D"/>
            <w:tcMar>
              <w:top w:w="100" w:type="dxa"/>
              <w:start w:w="120" w:type="dxa"/>
              <w:bottom w:w="100" w:type="dxa"/>
              <w:end w:w="120" w:type="dxa"/>
            </w:tcMar>
          </w:tcPr>
          <w:p>
            <w:pPr>
              <w:spacing w:after="0"/>
            </w:pPr>
            <w:r>
              <w:rPr>
                <w:b/>
                <w:color w:val="FFFFFF"/>
                <w:sz w:val="17"/>
              </w:rPr>
              <w:t>Recommended Next Step</w:t>
            </w:r>
          </w:p>
        </w:tc>
      </w:tr>
      <w:tr>
        <w:trPr>
          <w:cantSplit/>
        </w:trPr>
        <w:tc>
          <w:tcPr>
            <w:tcW w:type="dxa" w:w="1728"/>
            <w:tcMar>
              <w:top w:w="100" w:type="dxa"/>
              <w:start w:w="120" w:type="dxa"/>
              <w:bottom w:w="100" w:type="dxa"/>
              <w:end w:w="120" w:type="dxa"/>
            </w:tcMar>
          </w:tcPr>
          <w:p>
            <w:pPr>
              <w:spacing w:after="0"/>
            </w:pPr>
            <w:r>
              <w:rPr>
                <w:sz w:val="17"/>
              </w:rPr>
              <w:t>22-25</w:t>
            </w:r>
          </w:p>
        </w:tc>
        <w:tc>
          <w:tcPr>
            <w:tcW w:type="dxa" w:w="2880"/>
            <w:tcMar>
              <w:top w:w="100" w:type="dxa"/>
              <w:start w:w="120" w:type="dxa"/>
              <w:bottom w:w="100" w:type="dxa"/>
              <w:end w:w="120" w:type="dxa"/>
            </w:tcMar>
          </w:tcPr>
          <w:p>
            <w:pPr>
              <w:spacing w:after="0"/>
            </w:pPr>
            <w:r>
              <w:rPr>
                <w:sz w:val="17"/>
              </w:rPr>
              <w:t>Strong integrated reasoning</w:t>
            </w:r>
          </w:p>
        </w:tc>
        <w:tc>
          <w:tcPr>
            <w:tcW w:type="dxa" w:w="5328"/>
            <w:tcMar>
              <w:top w:w="100" w:type="dxa"/>
              <w:start w:w="120" w:type="dxa"/>
              <w:bottom w:w="100" w:type="dxa"/>
              <w:end w:w="120" w:type="dxa"/>
            </w:tcMar>
          </w:tcPr>
          <w:p>
            <w:pPr>
              <w:spacing w:after="0"/>
            </w:pPr>
            <w:r>
              <w:rPr>
                <w:sz w:val="17"/>
              </w:rPr>
              <w:t>Review low-confidence items, analyze distractors, and complete a longer timed simulation using the current blueprint.</w:t>
            </w:r>
          </w:p>
        </w:tc>
      </w:tr>
      <w:tr>
        <w:trPr>
          <w:cantSplit/>
        </w:trPr>
        <w:tc>
          <w:tcPr>
            <w:tcW w:type="dxa" w:w="1728"/>
            <w:tcMar>
              <w:top w:w="100" w:type="dxa"/>
              <w:start w:w="120" w:type="dxa"/>
              <w:bottom w:w="100" w:type="dxa"/>
              <w:end w:w="120" w:type="dxa"/>
            </w:tcMar>
            <w:shd w:fill="F7F8FA"/>
          </w:tcPr>
          <w:p>
            <w:pPr>
              <w:spacing w:after="0"/>
            </w:pPr>
            <w:r>
              <w:rPr>
                <w:sz w:val="17"/>
              </w:rPr>
              <w:t>18-21</w:t>
            </w:r>
          </w:p>
        </w:tc>
        <w:tc>
          <w:tcPr>
            <w:tcW w:type="dxa" w:w="2880"/>
            <w:tcMar>
              <w:top w:w="100" w:type="dxa"/>
              <w:start w:w="120" w:type="dxa"/>
              <w:bottom w:w="100" w:type="dxa"/>
              <w:end w:w="120" w:type="dxa"/>
            </w:tcMar>
            <w:shd w:fill="F7F8FA"/>
          </w:tcPr>
          <w:p>
            <w:pPr>
              <w:spacing w:after="0"/>
            </w:pPr>
            <w:r>
              <w:rPr>
                <w:sz w:val="17"/>
              </w:rPr>
              <w:t>Developing readiness</w:t>
            </w:r>
          </w:p>
        </w:tc>
        <w:tc>
          <w:tcPr>
            <w:tcW w:type="dxa" w:w="5328"/>
            <w:tcMar>
              <w:top w:w="100" w:type="dxa"/>
              <w:start w:w="120" w:type="dxa"/>
              <w:bottom w:w="100" w:type="dxa"/>
              <w:end w:w="120" w:type="dxa"/>
            </w:tcMar>
            <w:shd w:fill="F7F8FA"/>
          </w:tcPr>
          <w:p>
            <w:pPr>
              <w:spacing w:after="0"/>
            </w:pPr>
            <w:r>
              <w:rPr>
                <w:sz w:val="17"/>
              </w:rPr>
              <w:t>Target the weakest content area and practice FIRST/NEXT/BEST sequencing with mixed vignettes.</w:t>
            </w:r>
          </w:p>
        </w:tc>
      </w:tr>
      <w:tr>
        <w:trPr>
          <w:cantSplit/>
        </w:trPr>
        <w:tc>
          <w:tcPr>
            <w:tcW w:type="dxa" w:w="1728"/>
            <w:tcMar>
              <w:top w:w="100" w:type="dxa"/>
              <w:start w:w="120" w:type="dxa"/>
              <w:bottom w:w="100" w:type="dxa"/>
              <w:end w:w="120" w:type="dxa"/>
            </w:tcMar>
          </w:tcPr>
          <w:p>
            <w:pPr>
              <w:spacing w:after="0"/>
            </w:pPr>
            <w:r>
              <w:rPr>
                <w:sz w:val="17"/>
              </w:rPr>
              <w:t>13-17</w:t>
            </w:r>
          </w:p>
        </w:tc>
        <w:tc>
          <w:tcPr>
            <w:tcW w:type="dxa" w:w="2880"/>
            <w:tcMar>
              <w:top w:w="100" w:type="dxa"/>
              <w:start w:w="120" w:type="dxa"/>
              <w:bottom w:w="100" w:type="dxa"/>
              <w:end w:w="120" w:type="dxa"/>
            </w:tcMar>
          </w:tcPr>
          <w:p>
            <w:pPr>
              <w:spacing w:after="0"/>
            </w:pPr>
            <w:r>
              <w:rPr>
                <w:sz w:val="17"/>
              </w:rPr>
              <w:t>Important application gaps</w:t>
            </w:r>
          </w:p>
        </w:tc>
        <w:tc>
          <w:tcPr>
            <w:tcW w:type="dxa" w:w="5328"/>
            <w:tcMar>
              <w:top w:w="100" w:type="dxa"/>
              <w:start w:w="120" w:type="dxa"/>
              <w:bottom w:w="100" w:type="dxa"/>
              <w:end w:w="120" w:type="dxa"/>
            </w:tcMar>
          </w:tcPr>
          <w:p>
            <w:pPr>
              <w:spacing w:after="0"/>
            </w:pPr>
            <w:r>
              <w:rPr>
                <w:sz w:val="17"/>
              </w:rPr>
              <w:t>Revisit the three content-area maps, then retake the mock untimed before another timed attempt.</w:t>
            </w:r>
          </w:p>
        </w:tc>
      </w:tr>
      <w:tr>
        <w:trPr>
          <w:cantSplit/>
        </w:trPr>
        <w:tc>
          <w:tcPr>
            <w:tcW w:type="dxa" w:w="1728"/>
            <w:tcMar>
              <w:top w:w="100" w:type="dxa"/>
              <w:start w:w="120" w:type="dxa"/>
              <w:bottom w:w="100" w:type="dxa"/>
              <w:end w:w="120" w:type="dxa"/>
            </w:tcMar>
            <w:shd w:fill="F7F8FA"/>
          </w:tcPr>
          <w:p>
            <w:pPr>
              <w:spacing w:after="0"/>
            </w:pPr>
            <w:r>
              <w:rPr>
                <w:sz w:val="17"/>
              </w:rPr>
              <w:t>0-12</w:t>
            </w:r>
          </w:p>
        </w:tc>
        <w:tc>
          <w:tcPr>
            <w:tcW w:type="dxa" w:w="2880"/>
            <w:tcMar>
              <w:top w:w="100" w:type="dxa"/>
              <w:start w:w="120" w:type="dxa"/>
              <w:bottom w:w="100" w:type="dxa"/>
              <w:end w:w="120" w:type="dxa"/>
            </w:tcMar>
            <w:shd w:fill="F7F8FA"/>
          </w:tcPr>
          <w:p>
            <w:pPr>
              <w:spacing w:after="0"/>
            </w:pPr>
            <w:r>
              <w:rPr>
                <w:sz w:val="17"/>
              </w:rPr>
              <w:t>Foundation needs reinforcement</w:t>
            </w:r>
          </w:p>
        </w:tc>
        <w:tc>
          <w:tcPr>
            <w:tcW w:type="dxa" w:w="5328"/>
            <w:tcMar>
              <w:top w:w="100" w:type="dxa"/>
              <w:start w:w="120" w:type="dxa"/>
              <w:bottom w:w="100" w:type="dxa"/>
              <w:end w:w="120" w:type="dxa"/>
            </w:tcMar>
            <w:shd w:fill="F7F8FA"/>
          </w:tcPr>
          <w:p>
            <w:pPr>
              <w:spacing w:after="0"/>
            </w:pPr>
            <w:r>
              <w:rPr>
                <w:sz w:val="17"/>
              </w:rPr>
              <w:t>Study Values and Ethics, Assessment and Planning, and Intervention and Practice separately before returning to mixed testing.</w:t>
            </w:r>
          </w:p>
        </w:tc>
      </w:tr>
    </w:tbl>
    <w:p>
      <w:pPr>
        <w:spacing w:after="0"/>
      </w:pPr>
    </w:p>
    <w:p>
      <w:pPr>
        <w:pStyle w:val="Heading2"/>
      </w:pPr>
      <w:r>
        <w:t>Content-Area Error Log</w:t>
      </w:r>
    </w:p>
    <w:tbl>
      <w:tblPr>
        <w:tblStyle w:val="TableGrid"/>
        <w:tblW w:type="auto" w:w="0"/>
        <w:jc w:val="center"/>
        <w:tblLayout w:type="fixed"/>
        <w:tblLook w:firstColumn="1" w:firstRow="1" w:lastColumn="0" w:lastRow="0" w:noHBand="0" w:noVBand="1" w:val="04A0"/>
      </w:tblPr>
      <w:tblGrid>
        <w:gridCol w:w="1656"/>
        <w:gridCol w:w="2448"/>
        <w:gridCol w:w="2880"/>
        <w:gridCol w:w="3168"/>
      </w:tblGrid>
      <w:tr>
        <w:trPr>
          <w:tblHeader w:val="true"/>
          <w:cantSplit/>
        </w:trPr>
        <w:tc>
          <w:tcPr>
            <w:tcW w:type="dxa" w:w="2520"/>
            <w:shd w:fill="17365D"/>
            <w:tcMar>
              <w:top w:w="100" w:type="dxa"/>
              <w:start w:w="120" w:type="dxa"/>
              <w:bottom w:w="100" w:type="dxa"/>
              <w:end w:w="120" w:type="dxa"/>
            </w:tcMar>
          </w:tcPr>
          <w:p>
            <w:pPr>
              <w:spacing w:after="0"/>
            </w:pPr>
            <w:r>
              <w:rPr>
                <w:b/>
                <w:color w:val="FFFFFF"/>
                <w:sz w:val="17"/>
              </w:rPr>
              <w:t>Question(s)</w:t>
            </w:r>
          </w:p>
        </w:tc>
        <w:tc>
          <w:tcPr>
            <w:tcW w:type="dxa" w:w="2520"/>
            <w:shd w:fill="17365D"/>
            <w:tcMar>
              <w:top w:w="100" w:type="dxa"/>
              <w:start w:w="120" w:type="dxa"/>
              <w:bottom w:w="100" w:type="dxa"/>
              <w:end w:w="120" w:type="dxa"/>
            </w:tcMar>
          </w:tcPr>
          <w:p>
            <w:pPr>
              <w:spacing w:after="0"/>
            </w:pPr>
            <w:r>
              <w:rPr>
                <w:b/>
                <w:color w:val="FFFFFF"/>
                <w:sz w:val="17"/>
              </w:rPr>
              <w:t>Content Area</w:t>
            </w:r>
          </w:p>
        </w:tc>
        <w:tc>
          <w:tcPr>
            <w:tcW w:type="dxa" w:w="2520"/>
            <w:shd w:fill="17365D"/>
            <w:tcMar>
              <w:top w:w="100" w:type="dxa"/>
              <w:start w:w="120" w:type="dxa"/>
              <w:bottom w:w="100" w:type="dxa"/>
              <w:end w:w="120" w:type="dxa"/>
            </w:tcMar>
          </w:tcPr>
          <w:p>
            <w:pPr>
              <w:spacing w:after="0"/>
            </w:pPr>
            <w:r>
              <w:rPr>
                <w:b/>
                <w:color w:val="FFFFFF"/>
                <w:sz w:val="17"/>
              </w:rPr>
              <w:t>Reasoning Error</w:t>
            </w:r>
          </w:p>
        </w:tc>
        <w:tc>
          <w:tcPr>
            <w:tcW w:type="dxa" w:w="2520"/>
            <w:shd w:fill="17365D"/>
            <w:tcMar>
              <w:top w:w="100" w:type="dxa"/>
              <w:start w:w="120" w:type="dxa"/>
              <w:bottom w:w="100" w:type="dxa"/>
              <w:end w:w="120" w:type="dxa"/>
            </w:tcMar>
          </w:tcPr>
          <w:p>
            <w:pPr>
              <w:spacing w:after="0"/>
            </w:pPr>
            <w:r>
              <w:rPr>
                <w:b/>
                <w:color w:val="FFFFFF"/>
                <w:sz w:val="17"/>
              </w:rPr>
              <w:t>Rule for Next Time</w:t>
            </w:r>
          </w:p>
        </w:tc>
      </w:tr>
      <w:tr>
        <w:trPr>
          <w:cantSplit/>
        </w:trPr>
        <w:tc>
          <w:tcPr>
            <w:tcW w:type="dxa" w:w="1656"/>
            <w:tcMar>
              <w:top w:w="100" w:type="dxa"/>
              <w:start w:w="120" w:type="dxa"/>
              <w:bottom w:w="100" w:type="dxa"/>
              <w:end w:w="120" w:type="dxa"/>
            </w:tcMar>
          </w:tcPr>
          <w:p>
            <w:pPr>
              <w:spacing w:after="0"/>
            </w:pPr>
            <w:r>
              <w:rPr>
                <w:sz w:val="17"/>
              </w:rPr>
            </w:r>
          </w:p>
        </w:tc>
        <w:tc>
          <w:tcPr>
            <w:tcW w:type="dxa" w:w="2448"/>
            <w:tcMar>
              <w:top w:w="100" w:type="dxa"/>
              <w:start w:w="120" w:type="dxa"/>
              <w:bottom w:w="100" w:type="dxa"/>
              <w:end w:w="120" w:type="dxa"/>
            </w:tcMar>
          </w:tcPr>
          <w:p>
            <w:pPr>
              <w:spacing w:after="0"/>
            </w:pPr>
            <w:r>
              <w:rPr>
                <w:sz w:val="17"/>
              </w:rPr>
            </w:r>
          </w:p>
        </w:tc>
        <w:tc>
          <w:tcPr>
            <w:tcW w:type="dxa" w:w="2880"/>
            <w:tcMar>
              <w:top w:w="100" w:type="dxa"/>
              <w:start w:w="120" w:type="dxa"/>
              <w:bottom w:w="100" w:type="dxa"/>
              <w:end w:w="120" w:type="dxa"/>
            </w:tcMar>
          </w:tcPr>
          <w:p>
            <w:pPr>
              <w:spacing w:after="0"/>
            </w:pPr>
            <w:r>
              <w:rPr>
                <w:sz w:val="17"/>
              </w:rPr>
            </w:r>
          </w:p>
        </w:tc>
        <w:tc>
          <w:tcPr>
            <w:tcW w:type="dxa" w:w="3168"/>
            <w:tcMar>
              <w:top w:w="100" w:type="dxa"/>
              <w:start w:w="120" w:type="dxa"/>
              <w:bottom w:w="100" w:type="dxa"/>
              <w:end w:w="120" w:type="dxa"/>
            </w:tcMar>
          </w:tcPr>
          <w:p>
            <w:pPr>
              <w:spacing w:after="0"/>
            </w:pPr>
            <w:r>
              <w:rPr>
                <w:sz w:val="17"/>
              </w:rPr>
            </w:r>
          </w:p>
        </w:tc>
      </w:tr>
      <w:tr>
        <w:trPr>
          <w:cantSplit/>
        </w:trPr>
        <w:tc>
          <w:tcPr>
            <w:tcW w:type="dxa" w:w="1656"/>
            <w:tcMar>
              <w:top w:w="100" w:type="dxa"/>
              <w:start w:w="120" w:type="dxa"/>
              <w:bottom w:w="100" w:type="dxa"/>
              <w:end w:w="120" w:type="dxa"/>
            </w:tcMar>
            <w:shd w:fill="F7F8FA"/>
          </w:tcPr>
          <w:p>
            <w:pPr>
              <w:spacing w:after="0"/>
            </w:pPr>
            <w:r>
              <w:rPr>
                <w:sz w:val="17"/>
              </w:rPr>
            </w:r>
          </w:p>
        </w:tc>
        <w:tc>
          <w:tcPr>
            <w:tcW w:type="dxa" w:w="2448"/>
            <w:tcMar>
              <w:top w:w="100" w:type="dxa"/>
              <w:start w:w="120" w:type="dxa"/>
              <w:bottom w:w="100" w:type="dxa"/>
              <w:end w:w="120" w:type="dxa"/>
            </w:tcMar>
            <w:shd w:fill="F7F8FA"/>
          </w:tcPr>
          <w:p>
            <w:pPr>
              <w:spacing w:after="0"/>
            </w:pPr>
            <w:r>
              <w:rPr>
                <w:sz w:val="17"/>
              </w:rPr>
            </w:r>
          </w:p>
        </w:tc>
        <w:tc>
          <w:tcPr>
            <w:tcW w:type="dxa" w:w="2880"/>
            <w:tcMar>
              <w:top w:w="100" w:type="dxa"/>
              <w:start w:w="120" w:type="dxa"/>
              <w:bottom w:w="100" w:type="dxa"/>
              <w:end w:w="120" w:type="dxa"/>
            </w:tcMar>
            <w:shd w:fill="F7F8FA"/>
          </w:tcPr>
          <w:p>
            <w:pPr>
              <w:spacing w:after="0"/>
            </w:pPr>
            <w:r>
              <w:rPr>
                <w:sz w:val="17"/>
              </w:rPr>
            </w:r>
          </w:p>
        </w:tc>
        <w:tc>
          <w:tcPr>
            <w:tcW w:type="dxa" w:w="3168"/>
            <w:tcMar>
              <w:top w:w="100" w:type="dxa"/>
              <w:start w:w="120" w:type="dxa"/>
              <w:bottom w:w="100" w:type="dxa"/>
              <w:end w:w="120" w:type="dxa"/>
            </w:tcMar>
            <w:shd w:fill="F7F8FA"/>
          </w:tcPr>
          <w:p>
            <w:pPr>
              <w:spacing w:after="0"/>
            </w:pPr>
            <w:r>
              <w:rPr>
                <w:sz w:val="17"/>
              </w:rPr>
            </w:r>
          </w:p>
        </w:tc>
      </w:tr>
    </w:tbl>
    <w:p>
      <w:pPr>
        <w:spacing w:after="0"/>
      </w:pPr>
    </w:p>
    <w:p>
      <w:pPr>
        <w:pStyle w:val="Heading2"/>
      </w:pPr>
      <w:r>
        <w:t>Final Exam-Reasoning Checklist</w:t>
      </w:r>
    </w:p>
    <w:p>
      <w:pPr>
        <w:pStyle w:val="ListBullet"/>
      </w:pPr>
      <w:r>
        <w:t>Did I identify the decision word: FIRST, NEXT, BEST, MOST, or INITIAL?</w:t>
      </w:r>
    </w:p>
    <w:p>
      <w:pPr>
        <w:pStyle w:val="ListBullet"/>
      </w:pPr>
      <w:r>
        <w:t>Did I address immediate safety, medical urgency, legal duties, and capacity before routine intervention?</w:t>
      </w:r>
    </w:p>
    <w:p>
      <w:pPr>
        <w:pStyle w:val="ListBullet"/>
      </w:pPr>
      <w:r>
        <w:t>Did I distinguish assessment from planning and planning from intervention?</w:t>
      </w:r>
    </w:p>
    <w:p>
      <w:pPr>
        <w:pStyle w:val="ListBullet"/>
      </w:pPr>
      <w:r>
        <w:t>Did I preserve self-determination, informed consent, dignity, accessibility, culture, and client participation?</w:t>
      </w:r>
    </w:p>
    <w:p>
      <w:pPr>
        <w:pStyle w:val="ListBullet"/>
      </w:pPr>
      <w:r>
        <w:t>Did I integrate person-in-environment factors, strengths, resources, and structural barriers?</w:t>
      </w:r>
    </w:p>
    <w:p>
      <w:pPr>
        <w:pStyle w:val="ListBullet"/>
      </w:pPr>
      <w:r>
        <w:t>Did I stay within professional role and use supervision, consultation, referral, or collaboration appropriately?</w:t>
      </w:r>
    </w:p>
    <w:p>
      <w:pPr>
        <w:pStyle w:val="ListBullet"/>
      </w:pPr>
      <w:r>
        <w:t>Did I choose the least intrusive effective response and define follow-up or evaluation?</w:t>
      </w:r>
    </w:p>
    <w:p>
      <w:pPr>
        <w:pStyle w:val="ListBullet"/>
      </w:pPr>
      <w:r>
        <w:t>Did I avoid importing a state-specific law when the national question did not identify a jurisdiction?</w:t>
      </w:r>
    </w:p>
    <w:p>
      <w:pPr>
        <w:pStyle w:val="Heading1"/>
      </w:pPr>
      <w:r>
        <w:t>Sources and Currency Note</w:t>
      </w:r>
    </w:p>
    <w:p>
      <w:pPr>
        <w:pStyle w:val="ListBullet"/>
      </w:pPr>
      <w:r>
        <w:t>Association of Social Work Boards. ASWB Examination Guidebook: 2026 Blueprints for Exams Taken on or After August 3, 2026 (May 2026), including current Clinical exam structure, question guidance, content outline, and sample-item explanations.</w:t>
      </w:r>
    </w:p>
    <w:p>
      <w:pPr>
        <w:pStyle w:val="ListBullet"/>
      </w:pPr>
      <w:r>
        <w:t>Association of Social Work Boards. 2026 Changes to the Social Work Licensing Exams and current examination-transition resources (accessed July 24, 2026).</w:t>
      </w:r>
    </w:p>
    <w:p>
      <w:pPr>
        <w:pStyle w:val="ListBullet"/>
      </w:pPr>
      <w:r>
        <w:t>The current Clinical exam contains 122 questions, including 12 unscored questions, and is delivered in two 61-question sections with two hours per section. The Clinical content weights are 36% Values and Ethics, 32% Assessment and Planning, and 32% Intervention and Practice.</w:t>
      </w:r>
    </w:p>
    <w:p>
      <w:pPr>
        <w:pStyle w:val="ListBullet"/>
      </w:pPr>
      <w:r>
        <w:t>All 25 questions in this workbook are original CTA practice items. The 9/8/8 mini-mock is a scaled learning activity, not a full-length ASWB simulation, secure examination content, or a predictor of a passing score.</w:t>
      </w:r>
    </w:p>
    <w:p>
      <w:pPr>
        <w:pStyle w:val="ListBullet"/>
      </w:pPr>
      <w:r>
        <w:t>The ASWB Clinical examination is national. Unless a vignette identifies a jurisdiction or legal rule, use the facts supplied and avoid importing California-specific law. Examination specifications and candidate procedures may change and should be verified with ASWB and the applicable licensing board.</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LCSW Workbook 12 • Integrated Review and 25-Question Mini-Mock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12: Integrated Review and 25-Question Mini-Mock</dc:title>
  <dc:subject>LCSW Exam Preparation Program Student Workbook</dc:subject>
  <dc:creator>Clinical Training Academy</dc:creator>
  <cp:keywords>CTA, LCSW, exam preparation, Workbook 12</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