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drawing>
          <wp:inline xmlns:a="http://schemas.openxmlformats.org/drawingml/2006/main" xmlns:pic="http://schemas.openxmlformats.org/drawingml/2006/picture">
            <wp:extent cx="1143000" cy="826213"/>
            <wp:docPr id="1" name="Picture 1" title="Clinical Training Academy logo" descr="Clinical Training Academy horizontal logo"/>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143000" cy="826213"/>
                    </a:xfrm>
                    <a:prstGeom prst="rect"/>
                  </pic:spPr>
                </pic:pic>
              </a:graphicData>
            </a:graphic>
          </wp:inline>
        </w:drawing>
      </w:r>
    </w:p>
    <w:p>
      <w:pPr>
        <w:spacing w:before="80" w:after="80"/>
        <w:jc w:val="center"/>
      </w:pPr>
      <w:r>
        <w:rPr>
          <w:b/>
          <w:color w:val="0E7490"/>
          <w:sz w:val="18"/>
        </w:rPr>
        <w:t>LCSW ASWB CLINICAL EXAM PREPARATION PROGRAM</w:t>
      </w:r>
    </w:p>
    <w:p>
      <w:pPr>
        <w:spacing w:after="200"/>
        <w:jc w:val="center"/>
      </w:pPr>
      <w:r>
        <w:rPr>
          <w:b/>
          <w:color w:val="C47F00"/>
          <w:sz w:val="22"/>
        </w:rPr>
        <w:t>Student Workbook</w:t>
      </w:r>
    </w:p>
    <w:p>
      <w:pPr>
        <w:pStyle w:val="Title"/>
        <w:spacing w:after="160"/>
        <w:jc w:val="center"/>
      </w:pPr>
      <w:r>
        <w:t>CTA LCSW Workbook 4: Clinical Assessment, Interviewing, and Mental Status</w:t>
      </w:r>
    </w:p>
    <w:p>
      <w:pPr>
        <w:spacing w:after="240"/>
        <w:ind w:left="504" w:right="504"/>
        <w:jc w:val="center"/>
      </w:pPr>
      <w:r>
        <w:rPr>
          <w:i/>
          <w:color w:val="4B5563"/>
          <w:sz w:val="21"/>
        </w:rPr>
        <w:t>Engage clients and client systems, gather sensitive and collateral information, assess mental status, and integrate health, substance, and person-in-environment factors</w:t>
      </w:r>
    </w:p>
    <w:p>
      <w:pPr>
        <w:jc w:val="center"/>
      </w:pPr>
      <w:r>
        <w:rPr>
          <w:color w:val="6B7280"/>
          <w:sz w:val="18"/>
        </w:rPr>
        <w:t>Version 1.0 - July 2026</w:t>
      </w:r>
    </w:p>
    <w:p>
      <w:pPr>
        <w:spacing w:after="0" w:before="0" w:line="240" w:lineRule="auto"/>
      </w:pPr>
      <w:r>
        <w:rPr>
          <w:sz w:val="24"/>
        </w:rPr>
      </w:r>
    </w:p>
    <w:tbl>
      <w:tblPr>
        <w:tblW w:type="auto" w:w="0"/>
        <w:jc w:val="center"/>
        <w:tblLayout w:type="fixed"/>
        <w:tblLook w:firstColumn="1" w:firstRow="1" w:lastColumn="0" w:lastRow="0" w:noHBand="0" w:noVBand="1" w:val="04A0"/>
      </w:tblPr>
      <w:tblGrid>
        <w:gridCol w:w="8352"/>
      </w:tblGrid>
      <w:tr>
        <w:trPr>
          <w:cantSplit w:val="true"/>
        </w:trPr>
        <w:tc>
          <w:tcPr>
            <w:tcW w:type="dxa" w:w="8640"/>
            <w:shd w:fill="FFF7E6" w:val="clear"/>
            <w:tcBorders>
              <w:top w:val="single" w:sz="6" w:color="9EBAD0"/>
              <w:left w:val="single" w:sz="6" w:color="9EBAD0"/>
              <w:bottom w:val="single" w:sz="6" w:color="9EBAD0"/>
              <w:right w:val="single" w:sz="6" w:color="9EBAD0"/>
              <w:insideH w:val="single" w:sz="6" w:color="9EBAD0"/>
              <w:insideV w:val="single" w:sz="6" w:color="9EBAD0"/>
            </w:tcBorders>
            <w:vAlign w:val="center"/>
          </w:tcPr>
          <w:p>
            <w:pPr>
              <w:spacing w:before="100" w:after="100"/>
              <w:jc w:val="left"/>
            </w:pPr>
            <w:r>
              <w:rPr>
                <w:rFonts w:ascii="Aptos" w:hAnsi="Aptos"/>
                <w:b/>
                <w:color w:val="17365D"/>
                <w:sz w:val="19"/>
              </w:rPr>
              <w:t>STUDENT-FACING EXAM PREPARATION MATERIAL</w:t>
            </w:r>
            <w:r>
              <w:rPr>
                <w:rFonts w:ascii="Aptos" w:hAnsi="Aptos"/>
                <w:color w:val="1F2937"/>
                <w:sz w:val="18"/>
              </w:rPr>
              <w:br/>
              <w:t>All practice questions are original CTA items and are not actual licensing-examination questions.</w:t>
            </w:r>
          </w:p>
        </w:tc>
      </w:tr>
    </w:tbl>
    <w:tbl>
      <w:tblPr>
        <w:tblW w:type="auto" w:w="0"/>
        <w:jc w:val="center"/>
        <w:tblLayout w:type="autofit"/>
        <w:tblLook w:firstColumn="1" w:firstRow="1" w:lastColumn="0" w:lastRow="0" w:noHBand="0" w:noVBand="1" w:val="04A0"/>
      </w:tblPr>
      <w:tblGrid>
        <w:gridCol w:w="10080"/>
      </w:tblGrid>
      <w:tr>
        <w:trPr>
          <w:cantSplit w:val="true"/>
        </w:trPr>
        <w:tc>
          <w:tcPr>
            <w:tcW w:type="dxa" w:w="10080"/>
            <w:shd w:fill="EAF5F8" w:val="clear"/>
            <w:tcBorders>
              <w:top w:val="single" w:sz="6" w:color="A7BDC6"/>
              <w:left w:val="single" w:sz="6" w:color="A7BDC6"/>
              <w:bottom w:val="single" w:sz="6" w:color="A7BDC6"/>
              <w:right w:val="single" w:sz="6" w:color="A7BDC6"/>
              <w:insideH w:val="single" w:sz="6" w:color="A7BDC6"/>
              <w:insideV w:val="single" w:sz="6" w:color="A7BDC6"/>
            </w:tcBorders>
            <w:vAlign w:val="center"/>
          </w:tcPr>
          <w:p>
            <w:pPr>
              <w:spacing w:before="100" w:after="100"/>
              <w:jc w:val="left"/>
            </w:pPr>
            <w:r>
              <w:rPr>
                <w:rFonts w:ascii="Aptos" w:hAnsi="Aptos"/>
                <w:b/>
                <w:color w:val="17365D"/>
                <w:sz w:val="19"/>
              </w:rPr>
              <w:t>EDUCATIONAL, NON-AFFILIATION, AND SCOPE NOTICE</w:t>
            </w:r>
            <w:r>
              <w:rPr>
                <w:rFonts w:ascii="Aptos" w:hAnsi="Aptos"/>
                <w:color w:val="1F2937"/>
                <w:sz w:val="18"/>
              </w:rPr>
              <w:br/>
              <w:t>This workbook is an independent educational resource developed by Clinical Training and Supervision Academy. CTA is not affiliated with, endorsed by, or sponsored by the California Board of Behavioral Sciences, Pearson VUE, the Association of Social Work Boards, or any other licensing or testing organization. Completion does not guarantee examination passage. The material is not legal advice, clinical supervision, diagnosis, treatment, or a substitute for consultation with qualified legal, clinical, regulatory, or professional experts. Examination specifications and rules may change; consult current official sources before registering or testing.</w:t>
            </w:r>
          </w:p>
        </w:tc>
      </w:tr>
    </w:tbl>
    <w:p>
      <w:pPr>
        <w:spacing w:after="0" w:before="0" w:line="240" w:lineRule="auto"/>
      </w:pPr>
      <w:r>
        <w:rPr>
          <w:sz w:val="36"/>
        </w:rPr>
      </w:r>
    </w:p>
    <w:p>
      <w:pPr>
        <w:jc w:val="center"/>
      </w:pPr>
      <w:r>
        <w:rPr>
          <w:b/>
          <w:color w:val="17365D"/>
          <w:sz w:val="18"/>
        </w:rPr>
        <w:t>Clinical Training Academy</w:t>
      </w:r>
    </w:p>
    <w:p>
      <w:r>
        <w:br w:type="page"/>
      </w:r>
    </w:p>
    <w:p>
      <w:pPr>
        <w:pStyle w:val="Heading1"/>
        <w:keepNext/>
        <w:keepLines/>
        <w:pageBreakBefore w:val="0"/>
      </w:pPr>
      <w:r>
        <w:t>How to Use This Workbook</w:t>
      </w:r>
    </w:p>
    <w:p>
      <w:pPr>
        <w:spacing w:after="100"/>
      </w:pPr>
      <w:r>
        <w:t>This workbook teaches a practical assessment sequence for clinical social work settings, including voluntary, mandated, medical, school, agency, and community contexts. Focus on what the social worker should assess or clarify before diagnosing, referring, advocating, coordinating, or intervening. Use the person-in-environment lens to connect symptoms and functioning with relationships, resources, access, institutions, and client choice.</w:t>
      </w:r>
    </w:p>
    <w:p>
      <w:pPr>
        <w:spacing w:after="0" w:before="0" w:line="240" w:lineRule="auto"/>
      </w:pPr>
      <w:r>
        <w:rPr>
          <w:sz w:val="6"/>
        </w:rPr>
      </w:r>
    </w:p>
    <w:p>
      <w:pPr>
        <w:pStyle w:val="Heading1"/>
        <w:keepNext/>
        <w:keepLines/>
        <w:pageBreakBefore w:val="0"/>
      </w:pPr>
      <w:r>
        <w:t>Learning Objectives</w:t>
      </w:r>
    </w:p>
    <w:p>
      <w:pPr>
        <w:pStyle w:val="ListBullet"/>
        <w:keepNext w:val="0"/>
        <w:keepLines/>
        <w:pageBreakBefore w:val="0"/>
        <w:spacing w:after="40"/>
      </w:pPr>
      <w:r>
        <w:t>Clarify role, referral context, purpose, limits, and available choices while using accessible interviewing methods that support client participation.</w:t>
      </w:r>
    </w:p>
    <w:p>
      <w:pPr>
        <w:pStyle w:val="ListBullet"/>
        <w:keepNext w:val="0"/>
        <w:keepLines/>
        <w:pageBreakBefore w:val="0"/>
        <w:spacing w:after="40"/>
      </w:pPr>
      <w:r>
        <w:t>Assess presenting concerns, functioning, strengths, needs, motivation, readiness, resources, barriers, resilience, and client-defined priorities.</w:t>
      </w:r>
    </w:p>
    <w:p>
      <w:pPr>
        <w:pStyle w:val="ListBullet"/>
        <w:keepNext w:val="0"/>
        <w:keepLines/>
        <w:pageBreakBefore w:val="0"/>
        <w:spacing w:after="40"/>
      </w:pPr>
      <w:r>
        <w:t>Gather sensitive, collateral, and record-based information transparently and distinguish client report, observation, outside information, inference, and hypothesis.</w:t>
      </w:r>
    </w:p>
    <w:p>
      <w:pPr>
        <w:pStyle w:val="ListBullet"/>
        <w:keepNext w:val="0"/>
        <w:keepLines/>
        <w:pageBreakBefore w:val="0"/>
        <w:spacing w:after="40"/>
      </w:pPr>
      <w:r>
        <w:t>Integrate mental-status findings with medical, neurological, medication, substance-related, developmental, cultural, environmental, and baseline information.</w:t>
      </w:r>
    </w:p>
    <w:p>
      <w:pPr>
        <w:pStyle w:val="ListBullet"/>
        <w:keepNext w:val="0"/>
        <w:keepLines/>
        <w:pageBreakBefore w:val="0"/>
        <w:spacing w:after="40"/>
      </w:pPr>
      <w:r>
        <w:t>Select the least restrictive safe and usable FIRST or NEXT step by addressing urgency, the key information gap, client choice, access, and coordination.</w:t>
      </w:r>
    </w:p>
    <w:p>
      <w:pPr>
        <w:pStyle w:val="Heading1"/>
        <w:keepNext/>
        <w:keepLines/>
        <w:pageBreakBefore w:val="0"/>
      </w:pPr>
      <w:r>
        <w:t>Why This Topic Matters</w:t>
      </w:r>
    </w:p>
    <w:p>
      <w:pPr>
        <w:spacing w:after="100"/>
      </w:pPr>
      <w:r>
        <w:t>Clinical social work assessment is both interpersonal and practical. The social worker must build a usable working relationship while gathering information about symptoms, safety, functioning, relationships, resources, barriers, health, and service systems. The strongest examination answer often identifies the information or condition that must be addressed before a plan can be safe, collaborative, and realistic.</w:t>
      </w:r>
    </w:p>
    <w:tbl>
      <w:tblPr>
        <w:tblW w:type="auto" w:w="0"/>
        <w:jc w:val="center"/>
        <w:tblLayout w:type="fixed"/>
        <w:tblLook w:firstColumn="1" w:firstRow="1" w:lastColumn="0" w:lastRow="0" w:noHBand="0" w:noVBand="1" w:val="04A0"/>
      </w:tblPr>
      <w:tblGrid>
        <w:gridCol w:w="9936"/>
      </w:tblGrid>
      <w:tr>
        <w:trPr>
          <w:cantSplit/>
        </w:trPr>
        <w:tc>
          <w:tcPr>
            <w:tcW w:type="dxa" w:w="10080"/>
            <w:shd w:fill="EAF4F8"/>
            <w:tcMar>
              <w:top w:w="100" w:type="dxa"/>
              <w:start w:w="120" w:type="dxa"/>
              <w:bottom w:w="100" w:type="dxa"/>
              <w:end w:w="120" w:type="dxa"/>
            </w:tcMar>
          </w:tcPr>
          <w:p>
            <w:pPr>
              <w:spacing w:after="40"/>
            </w:pPr>
            <w:r>
              <w:rPr>
                <w:b/>
                <w:color w:val="1F4E78"/>
                <w:sz w:val="17"/>
              </w:rPr>
              <w:t>EXAM POSITION</w:t>
            </w:r>
          </w:p>
          <w:p>
            <w:pPr>
              <w:spacing w:after="0"/>
            </w:pPr>
            <w:r>
              <w:rPr>
                <w:sz w:val="18"/>
              </w:rPr>
              <w:t>In FIRST or NEXT questions, prefer the action that clarifies role, addresses urgent risk or basic needs, involves the client or client system, and gathers the information required for a person-in-environment decision.</w:t>
            </w:r>
          </w:p>
        </w:tc>
      </w:tr>
    </w:tbl>
    <w:p>
      <w:pPr>
        <w:spacing w:after="0" w:before="0" w:line="240" w:lineRule="auto"/>
      </w:pPr>
      <w:r>
        <w:rPr>
          <w:sz w:val="6"/>
        </w:rPr>
      </w:r>
    </w:p>
    <w:p>
      <w:pPr>
        <w:pStyle w:val="Heading1"/>
        <w:keepNext/>
        <w:keepLines/>
        <w:pageBreakBefore w:val="0"/>
      </w:pPr>
      <w:r>
        <w:t>1. Begin With Role Clarity and Engagement</w:t>
      </w:r>
    </w:p>
    <w:p>
      <w:pPr>
        <w:spacing w:after="100"/>
      </w:pPr>
      <w:r>
        <w:t>The social worker first clarifies why the contact is occurring, who requested it, what the setting requires, what the client understands, and which choices remain available. This is especially important in court, school, hospital, child welfare, employee-assistance, and other mandated or externally referred settings.</w:t>
      </w:r>
    </w:p>
    <w:p>
      <w:pPr>
        <w:pStyle w:val="ListBullet"/>
        <w:keepNext w:val="0"/>
        <w:keepLines/>
        <w:pageBreakBefore w:val="0"/>
        <w:spacing w:after="40"/>
      </w:pPr>
      <w:r>
        <w:t>Acknowledge emotion or mistrust without becoming defensive.</w:t>
      </w:r>
    </w:p>
    <w:p>
      <w:pPr>
        <w:pStyle w:val="ListBullet"/>
        <w:keepNext w:val="0"/>
        <w:keepLines/>
        <w:pageBreakBefore w:val="0"/>
        <w:spacing w:after="40"/>
      </w:pPr>
      <w:r>
        <w:t>Explain the purpose of the contact, the social worker’s role, and relevant limits.</w:t>
      </w:r>
    </w:p>
    <w:p>
      <w:pPr>
        <w:pStyle w:val="ListBullet"/>
        <w:keepNext w:val="0"/>
        <w:keepLines/>
        <w:pageBreakBefore w:val="0"/>
        <w:spacing w:after="40"/>
      </w:pPr>
      <w:r>
        <w:t>Invite the client’s understanding, perspective, priorities, and questions.</w:t>
      </w:r>
    </w:p>
    <w:p>
      <w:pPr>
        <w:pStyle w:val="ListBullet"/>
        <w:keepNext w:val="0"/>
        <w:keepLines/>
        <w:pageBreakBefore w:val="0"/>
        <w:spacing w:after="40"/>
      </w:pPr>
      <w:r>
        <w:t>Use accessible language and qualified language assistance when needed.</w:t>
      </w:r>
    </w:p>
    <w:p>
      <w:pPr>
        <w:pStyle w:val="ListBullet"/>
        <w:keepNext w:val="0"/>
        <w:keepLines/>
        <w:pageBreakBefore w:val="0"/>
        <w:spacing w:after="40"/>
      </w:pPr>
      <w:r>
        <w:t>Address immediate safety or basic-needs urgency before routine history gathering.</w:t>
      </w:r>
    </w:p>
    <w:tbl>
      <w:tblPr>
        <w:tblW w:type="auto" w:w="0"/>
        <w:jc w:val="center"/>
        <w:tblLayout w:type="fixed"/>
        <w:tblLook w:firstColumn="1" w:firstRow="1" w:lastColumn="0" w:lastRow="0" w:noHBand="0" w:noVBand="1" w:val="04A0"/>
      </w:tblPr>
      <w:tblGrid>
        <w:gridCol w:w="9936"/>
      </w:tblGrid>
      <w:tr>
        <w:trPr>
          <w:cantSplit/>
        </w:trPr>
        <w:tc>
          <w:tcPr>
            <w:tcW w:type="dxa" w:w="10080"/>
            <w:shd w:fill="FFF2CC"/>
            <w:tcMar>
              <w:top w:w="100" w:type="dxa"/>
              <w:start w:w="120" w:type="dxa"/>
              <w:bottom w:w="100" w:type="dxa"/>
              <w:end w:w="120" w:type="dxa"/>
            </w:tcMar>
          </w:tcPr>
          <w:p>
            <w:pPr>
              <w:spacing w:after="40"/>
            </w:pPr>
            <w:r>
              <w:rPr>
                <w:b/>
                <w:color w:val="1F4E78"/>
                <w:sz w:val="17"/>
              </w:rPr>
              <w:t>CORE RULE</w:t>
            </w:r>
          </w:p>
          <w:p>
            <w:pPr>
              <w:spacing w:after="0"/>
            </w:pPr>
            <w:r>
              <w:rPr>
                <w:sz w:val="18"/>
              </w:rPr>
              <w:t>Transparency builds usable engagement. A mandated context changes the frame, not the client’s need for dignity and participation.</w:t>
            </w:r>
          </w:p>
        </w:tc>
      </w:tr>
    </w:tbl>
    <w:p>
      <w:pPr>
        <w:spacing w:after="0" w:before="0" w:line="240" w:lineRule="auto"/>
      </w:pPr>
      <w:r>
        <w:rPr>
          <w:sz w:val="6"/>
        </w:rPr>
      </w:r>
    </w:p>
    <w:p>
      <w:pPr>
        <w:pStyle w:val="Heading1"/>
        <w:keepNext/>
        <w:keepLines/>
        <w:pageBreakBefore w:val="0"/>
      </w:pPr>
      <w:r>
        <w:t>2. Interviewing Techniques and Accessible Communication</w:t>
      </w:r>
    </w:p>
    <w:tbl>
      <w:tblPr>
        <w:tblW w:type="auto" w:w="0"/>
        <w:jc w:val="center"/>
        <w:tblLayout w:type="fixed"/>
        <w:tblLook w:firstColumn="1" w:firstRow="1" w:lastColumn="0" w:lastRow="0" w:noHBand="0" w:noVBand="1" w:val="04A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3360"/>
        <w:gridCol w:w="3360"/>
        <w:gridCol w:w="3360"/>
      </w:tblGrid>
      <w:tr>
        <w:trPr>
          <w:tblHeader w:val="true"/>
          <w:cantSplit/>
        </w:trPr>
        <w:tc>
          <w:tcPr>
            <w:tcW w:type="dxa" w:w="1944"/>
            <w:shd w:fill="17365D"/>
            <w:tcMar>
              <w:top w:w="75" w:type="dxa"/>
              <w:start w:w="80" w:type="dxa"/>
              <w:bottom w:w="75" w:type="dxa"/>
              <w:end w:w="80" w:type="dxa"/>
            </w:tcMar>
          </w:tcPr>
          <w:p>
            <w:pPr>
              <w:jc w:val="left"/>
            </w:pPr>
            <w:r>
              <w:rPr>
                <w:b/>
                <w:color w:val="FFFFFF"/>
                <w:sz w:val="16"/>
              </w:rPr>
              <w:t>Technique</w:t>
            </w:r>
          </w:p>
        </w:tc>
        <w:tc>
          <w:tcPr>
            <w:tcW w:type="dxa" w:w="3312"/>
            <w:shd w:fill="17365D"/>
            <w:tcMar>
              <w:top w:w="75" w:type="dxa"/>
              <w:start w:w="80" w:type="dxa"/>
              <w:bottom w:w="75" w:type="dxa"/>
              <w:end w:w="80" w:type="dxa"/>
            </w:tcMar>
          </w:tcPr>
          <w:p>
            <w:pPr>
              <w:jc w:val="left"/>
            </w:pPr>
            <w:r>
              <w:rPr>
                <w:b/>
                <w:color w:val="FFFFFF"/>
                <w:sz w:val="16"/>
              </w:rPr>
              <w:t>Primary Purpose</w:t>
            </w:r>
          </w:p>
        </w:tc>
        <w:tc>
          <w:tcPr>
            <w:tcW w:type="dxa" w:w="4680"/>
            <w:shd w:fill="17365D"/>
            <w:tcMar>
              <w:top w:w="75" w:type="dxa"/>
              <w:start w:w="80" w:type="dxa"/>
              <w:bottom w:w="75" w:type="dxa"/>
              <w:end w:w="80" w:type="dxa"/>
            </w:tcMar>
          </w:tcPr>
          <w:p>
            <w:pPr>
              <w:jc w:val="left"/>
            </w:pPr>
            <w:r>
              <w:rPr>
                <w:b/>
                <w:color w:val="FFFFFF"/>
                <w:sz w:val="16"/>
              </w:rPr>
              <w:t>Exam Use</w:t>
            </w:r>
          </w:p>
        </w:tc>
      </w:tr>
      <w:tr>
        <w:trPr>
          <w:cantSplit/>
        </w:trPr>
        <w:tc>
          <w:tcPr>
            <w:tcW w:type="dxa" w:w="1944"/>
            <w:tcMar>
              <w:top w:w="65" w:type="dxa"/>
              <w:start w:w="75" w:type="dxa"/>
              <w:bottom w:w="65" w:type="dxa"/>
              <w:end w:w="75" w:type="dxa"/>
            </w:tcMar>
          </w:tcPr>
          <w:p>
            <w:pPr>
              <w:spacing w:after="0"/>
            </w:pPr>
            <w:r>
              <w:rPr>
                <w:sz w:val="16"/>
              </w:rPr>
              <w:t>Open question</w:t>
            </w:r>
          </w:p>
        </w:tc>
        <w:tc>
          <w:tcPr>
            <w:tcW w:type="dxa" w:w="3312"/>
            <w:tcMar>
              <w:top w:w="65" w:type="dxa"/>
              <w:start w:w="75" w:type="dxa"/>
              <w:bottom w:w="65" w:type="dxa"/>
              <w:end w:w="75" w:type="dxa"/>
            </w:tcMar>
          </w:tcPr>
          <w:p>
            <w:pPr>
              <w:spacing w:after="0"/>
            </w:pPr>
            <w:r>
              <w:rPr>
                <w:sz w:val="16"/>
              </w:rPr>
              <w:t>Invites the client’s narrative and meaning.</w:t>
            </w:r>
          </w:p>
        </w:tc>
        <w:tc>
          <w:tcPr>
            <w:tcW w:type="dxa" w:w="4680"/>
            <w:tcMar>
              <w:top w:w="65" w:type="dxa"/>
              <w:start w:w="75" w:type="dxa"/>
              <w:bottom w:w="65" w:type="dxa"/>
              <w:end w:w="75" w:type="dxa"/>
            </w:tcMar>
          </w:tcPr>
          <w:p>
            <w:pPr>
              <w:spacing w:after="0"/>
            </w:pPr>
            <w:r>
              <w:rPr>
                <w:sz w:val="16"/>
              </w:rPr>
              <w:t>Use early when the topic is broad and safety does not require immediate specificity.</w:t>
            </w:r>
          </w:p>
        </w:tc>
      </w:tr>
      <w:tr>
        <w:trPr>
          <w:cantSplit/>
        </w:trPr>
        <w:tc>
          <w:tcPr>
            <w:tcW w:type="dxa" w:w="1944"/>
            <w:tcMar>
              <w:top w:w="65" w:type="dxa"/>
              <w:start w:w="75" w:type="dxa"/>
              <w:bottom w:w="65" w:type="dxa"/>
              <w:end w:w="75" w:type="dxa"/>
            </w:tcMar>
            <w:shd w:fill="F2F2F2"/>
          </w:tcPr>
          <w:p>
            <w:pPr>
              <w:spacing w:after="0"/>
            </w:pPr>
            <w:r>
              <w:rPr>
                <w:sz w:val="16"/>
              </w:rPr>
              <w:t>Closed or direct question</w:t>
            </w:r>
          </w:p>
        </w:tc>
        <w:tc>
          <w:tcPr>
            <w:tcW w:type="dxa" w:w="3312"/>
            <w:tcMar>
              <w:top w:w="65" w:type="dxa"/>
              <w:start w:w="75" w:type="dxa"/>
              <w:bottom w:w="65" w:type="dxa"/>
              <w:end w:w="75" w:type="dxa"/>
            </w:tcMar>
            <w:shd w:fill="F2F2F2"/>
          </w:tcPr>
          <w:p>
            <w:pPr>
              <w:spacing w:after="0"/>
            </w:pPr>
            <w:r>
              <w:rPr>
                <w:sz w:val="16"/>
              </w:rPr>
              <w:t>Obtains a specific fact such as timing, amount, access, or current risk.</w:t>
            </w:r>
          </w:p>
        </w:tc>
        <w:tc>
          <w:tcPr>
            <w:tcW w:type="dxa" w:w="4680"/>
            <w:tcMar>
              <w:top w:w="65" w:type="dxa"/>
              <w:start w:w="75" w:type="dxa"/>
              <w:bottom w:w="65" w:type="dxa"/>
              <w:end w:w="75" w:type="dxa"/>
            </w:tcMar>
            <w:shd w:fill="F2F2F2"/>
          </w:tcPr>
          <w:p>
            <w:pPr>
              <w:spacing w:after="0"/>
            </w:pPr>
            <w:r>
              <w:rPr>
                <w:sz w:val="16"/>
              </w:rPr>
              <w:t>Use when precision is necessary; do not rely on only yes-or-no questions.</w:t>
            </w:r>
          </w:p>
        </w:tc>
      </w:tr>
      <w:tr>
        <w:trPr>
          <w:cantSplit/>
        </w:trPr>
        <w:tc>
          <w:tcPr>
            <w:tcW w:type="dxa" w:w="1944"/>
            <w:tcMar>
              <w:top w:w="65" w:type="dxa"/>
              <w:start w:w="75" w:type="dxa"/>
              <w:bottom w:w="65" w:type="dxa"/>
              <w:end w:w="75" w:type="dxa"/>
            </w:tcMar>
          </w:tcPr>
          <w:p>
            <w:pPr>
              <w:spacing w:after="0"/>
            </w:pPr>
            <w:r>
              <w:rPr>
                <w:sz w:val="16"/>
              </w:rPr>
              <w:t>Reflection</w:t>
            </w:r>
          </w:p>
        </w:tc>
        <w:tc>
          <w:tcPr>
            <w:tcW w:type="dxa" w:w="3312"/>
            <w:tcMar>
              <w:top w:w="65" w:type="dxa"/>
              <w:start w:w="75" w:type="dxa"/>
              <w:bottom w:w="65" w:type="dxa"/>
              <w:end w:w="75" w:type="dxa"/>
            </w:tcMar>
          </w:tcPr>
          <w:p>
            <w:pPr>
              <w:spacing w:after="0"/>
            </w:pPr>
            <w:r>
              <w:rPr>
                <w:sz w:val="16"/>
              </w:rPr>
              <w:t>Restates meaning, feeling, or pattern.</w:t>
            </w:r>
          </w:p>
        </w:tc>
        <w:tc>
          <w:tcPr>
            <w:tcW w:type="dxa" w:w="4680"/>
            <w:tcMar>
              <w:top w:w="65" w:type="dxa"/>
              <w:start w:w="75" w:type="dxa"/>
              <w:bottom w:w="65" w:type="dxa"/>
              <w:end w:w="75" w:type="dxa"/>
            </w:tcMar>
          </w:tcPr>
          <w:p>
            <w:pPr>
              <w:spacing w:after="0"/>
            </w:pPr>
            <w:r>
              <w:rPr>
                <w:sz w:val="16"/>
              </w:rPr>
              <w:t>Demonstrates understanding and may deepen exploration.</w:t>
            </w:r>
          </w:p>
        </w:tc>
      </w:tr>
      <w:tr>
        <w:trPr>
          <w:cantSplit/>
        </w:trPr>
        <w:tc>
          <w:tcPr>
            <w:tcW w:type="dxa" w:w="1944"/>
            <w:tcMar>
              <w:top w:w="65" w:type="dxa"/>
              <w:start w:w="75" w:type="dxa"/>
              <w:bottom w:w="65" w:type="dxa"/>
              <w:end w:w="75" w:type="dxa"/>
            </w:tcMar>
            <w:shd w:fill="F2F2F2"/>
          </w:tcPr>
          <w:p>
            <w:pPr>
              <w:spacing w:after="0"/>
            </w:pPr>
            <w:r>
              <w:rPr>
                <w:sz w:val="16"/>
              </w:rPr>
              <w:t>Clarification</w:t>
            </w:r>
          </w:p>
        </w:tc>
        <w:tc>
          <w:tcPr>
            <w:tcW w:type="dxa" w:w="3312"/>
            <w:tcMar>
              <w:top w:w="65" w:type="dxa"/>
              <w:start w:w="75" w:type="dxa"/>
              <w:bottom w:w="65" w:type="dxa"/>
              <w:end w:w="75" w:type="dxa"/>
            </w:tcMar>
            <w:shd w:fill="F2F2F2"/>
          </w:tcPr>
          <w:p>
            <w:pPr>
              <w:spacing w:after="0"/>
            </w:pPr>
            <w:r>
              <w:rPr>
                <w:sz w:val="16"/>
              </w:rPr>
              <w:t>Defines vague words, sequences, frequency, or impact.</w:t>
            </w:r>
          </w:p>
        </w:tc>
        <w:tc>
          <w:tcPr>
            <w:tcW w:type="dxa" w:w="4680"/>
            <w:tcMar>
              <w:top w:w="65" w:type="dxa"/>
              <w:start w:w="75" w:type="dxa"/>
              <w:bottom w:w="65" w:type="dxa"/>
              <w:end w:w="75" w:type="dxa"/>
            </w:tcMar>
            <w:shd w:fill="F2F2F2"/>
          </w:tcPr>
          <w:p>
            <w:pPr>
              <w:spacing w:after="0"/>
            </w:pPr>
            <w:r>
              <w:rPr>
                <w:sz w:val="16"/>
              </w:rPr>
              <w:t>Use before interpretation when the client’s meaning is unclear.</w:t>
            </w:r>
          </w:p>
        </w:tc>
      </w:tr>
      <w:tr>
        <w:trPr>
          <w:cantSplit/>
        </w:trPr>
        <w:tc>
          <w:tcPr>
            <w:tcW w:type="dxa" w:w="1944"/>
            <w:tcMar>
              <w:top w:w="65" w:type="dxa"/>
              <w:start w:w="75" w:type="dxa"/>
              <w:bottom w:w="65" w:type="dxa"/>
              <w:end w:w="75" w:type="dxa"/>
            </w:tcMar>
          </w:tcPr>
          <w:p>
            <w:pPr>
              <w:spacing w:after="0"/>
            </w:pPr>
            <w:r>
              <w:rPr>
                <w:sz w:val="16"/>
              </w:rPr>
              <w:t>Validation</w:t>
            </w:r>
          </w:p>
        </w:tc>
        <w:tc>
          <w:tcPr>
            <w:tcW w:type="dxa" w:w="3312"/>
            <w:tcMar>
              <w:top w:w="65" w:type="dxa"/>
              <w:start w:w="75" w:type="dxa"/>
              <w:bottom w:w="65" w:type="dxa"/>
              <w:end w:w="75" w:type="dxa"/>
            </w:tcMar>
          </w:tcPr>
          <w:p>
            <w:pPr>
              <w:spacing w:after="0"/>
            </w:pPr>
            <w:r>
              <w:rPr>
                <w:sz w:val="16"/>
              </w:rPr>
              <w:t>Acknowledges an understandable response or experience.</w:t>
            </w:r>
          </w:p>
        </w:tc>
        <w:tc>
          <w:tcPr>
            <w:tcW w:type="dxa" w:w="4680"/>
            <w:tcMar>
              <w:top w:w="65" w:type="dxa"/>
              <w:start w:w="75" w:type="dxa"/>
              <w:bottom w:w="65" w:type="dxa"/>
              <w:end w:w="75" w:type="dxa"/>
            </w:tcMar>
          </w:tcPr>
          <w:p>
            <w:pPr>
              <w:spacing w:after="0"/>
            </w:pPr>
            <w:r>
              <w:rPr>
                <w:sz w:val="16"/>
              </w:rPr>
              <w:t>Does not require agreement with every conclusion or behavior.</w:t>
            </w:r>
          </w:p>
        </w:tc>
      </w:tr>
      <w:tr>
        <w:trPr>
          <w:cantSplit/>
        </w:trPr>
        <w:tc>
          <w:tcPr>
            <w:tcW w:type="dxa" w:w="1944"/>
            <w:tcMar>
              <w:top w:w="65" w:type="dxa"/>
              <w:start w:w="75" w:type="dxa"/>
              <w:bottom w:w="65" w:type="dxa"/>
              <w:end w:w="75" w:type="dxa"/>
            </w:tcMar>
            <w:shd w:fill="F2F2F2"/>
          </w:tcPr>
          <w:p>
            <w:pPr>
              <w:spacing w:after="0"/>
            </w:pPr>
            <w:r>
              <w:rPr>
                <w:sz w:val="16"/>
              </w:rPr>
              <w:t>Summary</w:t>
            </w:r>
          </w:p>
        </w:tc>
        <w:tc>
          <w:tcPr>
            <w:tcW w:type="dxa" w:w="3312"/>
            <w:tcMar>
              <w:top w:w="65" w:type="dxa"/>
              <w:start w:w="75" w:type="dxa"/>
              <w:bottom w:w="65" w:type="dxa"/>
              <w:end w:w="75" w:type="dxa"/>
            </w:tcMar>
            <w:shd w:fill="F2F2F2"/>
          </w:tcPr>
          <w:p>
            <w:pPr>
              <w:spacing w:after="0"/>
            </w:pPr>
            <w:r>
              <w:rPr>
                <w:sz w:val="16"/>
              </w:rPr>
              <w:t>Organizes information and checks shared understanding.</w:t>
            </w:r>
          </w:p>
        </w:tc>
        <w:tc>
          <w:tcPr>
            <w:tcW w:type="dxa" w:w="4680"/>
            <w:tcMar>
              <w:top w:w="65" w:type="dxa"/>
              <w:start w:w="75" w:type="dxa"/>
              <w:bottom w:w="65" w:type="dxa"/>
              <w:end w:w="75" w:type="dxa"/>
            </w:tcMar>
            <w:shd w:fill="F2F2F2"/>
          </w:tcPr>
          <w:p>
            <w:pPr>
              <w:spacing w:after="0"/>
            </w:pPr>
            <w:r>
              <w:rPr>
                <w:sz w:val="16"/>
              </w:rPr>
              <w:t>Useful before shifting topics, planning, or ending the contact.</w:t>
            </w:r>
          </w:p>
        </w:tc>
      </w:tr>
      <w:tr>
        <w:trPr>
          <w:cantSplit/>
        </w:trPr>
        <w:tc>
          <w:tcPr>
            <w:tcW w:type="dxa" w:w="1944"/>
            <w:tcMar>
              <w:top w:w="65" w:type="dxa"/>
              <w:start w:w="75" w:type="dxa"/>
              <w:bottom w:w="65" w:type="dxa"/>
              <w:end w:w="75" w:type="dxa"/>
            </w:tcMar>
          </w:tcPr>
          <w:p>
            <w:pPr>
              <w:spacing w:after="0"/>
            </w:pPr>
            <w:r>
              <w:rPr>
                <w:sz w:val="16"/>
              </w:rPr>
              <w:t>Confrontation or discrepancy feedback</w:t>
            </w:r>
          </w:p>
        </w:tc>
        <w:tc>
          <w:tcPr>
            <w:tcW w:type="dxa" w:w="3312"/>
            <w:tcMar>
              <w:top w:w="65" w:type="dxa"/>
              <w:start w:w="75" w:type="dxa"/>
              <w:bottom w:w="65" w:type="dxa"/>
              <w:end w:w="75" w:type="dxa"/>
            </w:tcMar>
          </w:tcPr>
          <w:p>
            <w:pPr>
              <w:spacing w:after="0"/>
            </w:pPr>
            <w:r>
              <w:rPr>
                <w:sz w:val="16"/>
              </w:rPr>
              <w:t>Names an observable inconsistency or mismatch.</w:t>
            </w:r>
          </w:p>
        </w:tc>
        <w:tc>
          <w:tcPr>
            <w:tcW w:type="dxa" w:w="4680"/>
            <w:tcMar>
              <w:top w:w="65" w:type="dxa"/>
              <w:start w:w="75" w:type="dxa"/>
              <w:bottom w:w="65" w:type="dxa"/>
              <w:end w:w="75" w:type="dxa"/>
            </w:tcMar>
          </w:tcPr>
          <w:p>
            <w:pPr>
              <w:spacing w:after="0"/>
            </w:pPr>
            <w:r>
              <w:rPr>
                <w:sz w:val="16"/>
              </w:rPr>
              <w:t>Use only after sufficient alliance and evidence; remain specific and nonshaming.</w:t>
            </w:r>
          </w:p>
        </w:tc>
      </w:tr>
    </w:tbl>
    <w:p>
      <w:pPr>
        <w:spacing w:after="0" w:before="0" w:line="240" w:lineRule="auto"/>
      </w:pPr>
      <w:r>
        <w:rPr>
          <w:sz w:val="8"/>
        </w:rPr>
      </w:r>
    </w:p>
    <w:p>
      <w:pPr>
        <w:pStyle w:val="ListBullet"/>
        <w:keepNext w:val="0"/>
        <w:keepLines/>
        <w:pageBreakBefore w:val="0"/>
        <w:spacing w:after="40"/>
      </w:pPr>
      <w:r>
        <w:t>Assess language preference, literacy, disability, communication method, sensory needs, and technological access.</w:t>
      </w:r>
    </w:p>
    <w:p>
      <w:pPr>
        <w:pStyle w:val="ListBullet"/>
        <w:keepNext w:val="0"/>
        <w:keepLines/>
        <w:pageBreakBefore w:val="0"/>
        <w:spacing w:after="40"/>
      </w:pPr>
      <w:r>
        <w:t>Do not automatically use a child, family member, or support person as an interpreter.</w:t>
      </w:r>
    </w:p>
    <w:p>
      <w:pPr>
        <w:pStyle w:val="ListBullet"/>
        <w:keepNext w:val="0"/>
        <w:keepLines/>
        <w:pageBreakBefore w:val="0"/>
        <w:spacing w:after="40"/>
      </w:pPr>
      <w:r>
        <w:t>Ask one clear question at a time when the client is overwhelmed, cognitively impaired, or medically ill.</w:t>
      </w:r>
    </w:p>
    <w:p>
      <w:pPr>
        <w:pStyle w:val="ListBullet"/>
        <w:keepNext w:val="0"/>
        <w:keepLines/>
        <w:pageBreakBefore w:val="0"/>
        <w:spacing w:after="40"/>
      </w:pPr>
      <w:r>
        <w:t>Use summaries to check accuracy and return decision-making to the client or client system.</w:t>
      </w:r>
    </w:p>
    <w:p>
      <w:pPr>
        <w:pStyle w:val="Heading1"/>
        <w:keepNext/>
        <w:keepLines/>
        <w:pageBreakBefore w:val="0"/>
      </w:pPr>
      <w:r>
        <w:t>3. Assess the Presenting Concern, Functioning, and Client Priorities</w:t>
      </w:r>
    </w:p>
    <w:p>
      <w:pPr>
        <w:spacing w:after="100"/>
      </w:pPr>
      <w:r>
        <w:t>A referral label is not a complete assessment. “Noncompliant,” “disruptive,” “unmotivated,” or “unsafe” may reflect symptoms, trauma, mistrust, access barriers, family conflict, disability, discrimination, cognitive change, or incompatible service expectations.</w:t>
      </w:r>
    </w:p>
    <w:p>
      <w:pPr>
        <w:pStyle w:val="ListBullet"/>
        <w:keepNext w:val="0"/>
        <w:keepLines/>
        <w:pageBreakBefore w:val="0"/>
        <w:spacing w:after="40"/>
      </w:pPr>
      <w:r>
        <w:t>Clarify what changed, when, how often, how severe, and with what consequences.</w:t>
      </w:r>
    </w:p>
    <w:p>
      <w:pPr>
        <w:pStyle w:val="ListBullet"/>
        <w:keepNext w:val="0"/>
        <w:keepLines/>
        <w:pageBreakBefore w:val="0"/>
        <w:spacing w:after="40"/>
      </w:pPr>
      <w:r>
        <w:t>Assess functioning in self-care, relationships, parenting, school, work, housing, health care, finances, and community life.</w:t>
      </w:r>
    </w:p>
    <w:p>
      <w:pPr>
        <w:pStyle w:val="ListBullet"/>
        <w:keepNext w:val="0"/>
        <w:keepLines/>
        <w:pageBreakBefore w:val="0"/>
        <w:spacing w:after="40"/>
      </w:pPr>
      <w:r>
        <w:t>Identify strengths, coping, supports, resilience, prior successful adaptations, and available resources.</w:t>
      </w:r>
    </w:p>
    <w:p>
      <w:pPr>
        <w:pStyle w:val="ListBullet"/>
        <w:keepNext w:val="0"/>
        <w:keepLines/>
        <w:pageBreakBefore w:val="0"/>
        <w:spacing w:after="40"/>
      </w:pPr>
      <w:r>
        <w:t>Ask what the client wants help with and what outcome would matter most.</w:t>
      </w:r>
    </w:p>
    <w:p>
      <w:pPr>
        <w:pStyle w:val="ListBullet"/>
        <w:keepNext w:val="0"/>
        <w:keepLines/>
        <w:pageBreakBefore w:val="0"/>
        <w:spacing w:after="40"/>
      </w:pPr>
      <w:r>
        <w:t>Distinguish readiness, ambivalence, disagreement, and barriers from refusal or lack of motivation.</w:t>
      </w:r>
    </w:p>
    <w:p>
      <w:pPr>
        <w:pStyle w:val="Heading1"/>
        <w:keepNext/>
        <w:keepLines/>
        <w:pageBreakBefore w:val="0"/>
      </w:pPr>
      <w:r>
        <w:t>4. Sensitive Information, Collateral Sources, and Records</w:t>
      </w:r>
    </w:p>
    <w:p>
      <w:pPr>
        <w:spacing w:after="100"/>
      </w:pPr>
      <w:r>
        <w:t>Sensitive information should be gathered when clinically relevant and with enough transparency to support trust. Collateral information and records can supplement the assessment but must be evaluated for timing, purpose, context, and reliability.</w:t>
      </w:r>
    </w:p>
    <w:p>
      <w:pPr>
        <w:keepNext w:val="0"/>
        <w:keepLines/>
        <w:pageBreakBefore w:val="0"/>
        <w:spacing w:after="40"/>
        <w:ind w:left="317" w:hanging="317"/>
      </w:pPr>
      <w:r>
        <w:rPr>
          <w:b w:val="0"/>
        </w:rPr>
        <w:t xml:space="preserve">1.  </w:t>
      </w:r>
      <w:r>
        <w:t>Explain why the question or information is relevant.</w:t>
      </w:r>
    </w:p>
    <w:p>
      <w:pPr>
        <w:keepNext w:val="0"/>
        <w:keepLines/>
        <w:pageBreakBefore w:val="0"/>
        <w:spacing w:after="40"/>
        <w:ind w:left="317" w:hanging="317"/>
      </w:pPr>
      <w:r>
        <w:rPr>
          <w:b w:val="0"/>
        </w:rPr>
        <w:t xml:space="preserve">2.  </w:t>
      </w:r>
      <w:r>
        <w:t>Ask in neutral, behaviorally specific terms.</w:t>
      </w:r>
    </w:p>
    <w:p>
      <w:pPr>
        <w:keepNext w:val="0"/>
        <w:keepLines/>
        <w:pageBreakBefore w:val="0"/>
        <w:spacing w:after="40"/>
        <w:ind w:left="317" w:hanging="317"/>
      </w:pPr>
      <w:r>
        <w:rPr>
          <w:b w:val="0"/>
        </w:rPr>
        <w:t xml:space="preserve">3.  </w:t>
      </w:r>
      <w:r>
        <w:t>Normalize the inquiry without assuming the client has had a particular experience.</w:t>
      </w:r>
    </w:p>
    <w:p>
      <w:pPr>
        <w:keepNext w:val="0"/>
        <w:keepLines/>
        <w:pageBreakBefore w:val="0"/>
        <w:spacing w:after="40"/>
        <w:ind w:left="317" w:hanging="317"/>
      </w:pPr>
      <w:r>
        <w:rPr>
          <w:b w:val="0"/>
        </w:rPr>
        <w:t xml:space="preserve">4.  </w:t>
      </w:r>
      <w:r>
        <w:t>Monitor discomfort, fear, shame, dissociation, or confusion and adjust pacing.</w:t>
      </w:r>
    </w:p>
    <w:p>
      <w:pPr>
        <w:keepNext w:val="0"/>
        <w:keepLines/>
        <w:pageBreakBefore w:val="0"/>
        <w:spacing w:after="40"/>
        <w:ind w:left="317" w:hanging="317"/>
      </w:pPr>
      <w:r>
        <w:rPr>
          <w:b w:val="0"/>
        </w:rPr>
        <w:t xml:space="preserve">5.  </w:t>
      </w:r>
      <w:r>
        <w:t>Gather the amount of detail needed for safety, formulation, reporting, coordination, or referral.</w:t>
      </w:r>
    </w:p>
    <w:p>
      <w:pPr>
        <w:keepNext w:val="0"/>
        <w:keepLines/>
        <w:pageBreakBefore w:val="0"/>
        <w:spacing w:after="40"/>
        <w:ind w:left="317" w:hanging="317"/>
      </w:pPr>
      <w:r>
        <w:rPr>
          <w:b w:val="0"/>
        </w:rPr>
        <w:t xml:space="preserve">6.  </w:t>
      </w:r>
      <w:r>
        <w:t>Summarize what was learned, check understanding, and explain the next step.</w:t>
      </w:r>
    </w:p>
    <w:tbl>
      <w:tblPr>
        <w:tblW w:type="auto" w:w="0"/>
        <w:jc w:val="center"/>
        <w:tblLayout w:type="fixed"/>
        <w:tblLook w:firstColumn="1" w:firstRow="1" w:lastColumn="0" w:lastRow="0" w:noHBand="0" w:noVBand="1" w:val="04A0"/>
      </w:tblPr>
      <w:tblGrid>
        <w:gridCol w:w="9936"/>
      </w:tblGrid>
      <w:tr>
        <w:trPr>
          <w:cantSplit/>
        </w:trPr>
        <w:tc>
          <w:tcPr>
            <w:tcW w:type="dxa" w:w="10080"/>
            <w:shd w:fill="EAF4F8"/>
            <w:tcMar>
              <w:top w:w="100" w:type="dxa"/>
              <w:start w:w="120" w:type="dxa"/>
              <w:bottom w:w="100" w:type="dxa"/>
              <w:end w:w="120" w:type="dxa"/>
            </w:tcMar>
          </w:tcPr>
          <w:p>
            <w:pPr>
              <w:spacing w:after="40"/>
            </w:pPr>
            <w:r>
              <w:rPr>
                <w:b/>
                <w:color w:val="1F4E78"/>
                <w:sz w:val="17"/>
              </w:rPr>
              <w:t>SOURCE CHECK</w:t>
            </w:r>
          </w:p>
          <w:p>
            <w:pPr>
              <w:spacing w:after="0"/>
            </w:pPr>
            <w:r>
              <w:rPr>
                <w:sz w:val="18"/>
              </w:rPr>
              <w:t>Client report, family report, a prior record, and direct observation may differ. Do not automatically treat one source as conclusive; clarify the discrepancy and integrate the most current decision-relevant information.</w:t>
            </w:r>
          </w:p>
        </w:tc>
      </w:tr>
    </w:tbl>
    <w:p>
      <w:pPr>
        <w:spacing w:after="0" w:before="0" w:line="240" w:lineRule="auto"/>
      </w:pPr>
      <w:r>
        <w:rPr>
          <w:sz w:val="6"/>
        </w:rPr>
      </w:r>
    </w:p>
    <w:p>
      <w:pPr>
        <w:pStyle w:val="Heading1"/>
        <w:keepNext/>
        <w:keepLines/>
        <w:pageBreakBefore w:val="0"/>
      </w:pPr>
      <w:r>
        <w:t>5. Biopsychosocial and Person-in-Environment Assessment</w:t>
      </w:r>
    </w:p>
    <w:tbl>
      <w:tblPr>
        <w:tblW w:type="auto" w:w="0"/>
        <w:jc w:val="center"/>
        <w:tblLayout w:type="fixed"/>
        <w:tblLook w:firstColumn="1" w:firstRow="1" w:lastColumn="0" w:lastRow="0" w:noHBand="0" w:noVBand="1" w:val="04A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3360"/>
        <w:gridCol w:w="3360"/>
        <w:gridCol w:w="3360"/>
      </w:tblGrid>
      <w:tr>
        <w:trPr>
          <w:tblHeader w:val="true"/>
          <w:cantSplit/>
        </w:trPr>
        <w:tc>
          <w:tcPr>
            <w:tcW w:type="dxa" w:w="2088"/>
            <w:shd w:fill="17365D"/>
            <w:tcMar>
              <w:top w:w="75" w:type="dxa"/>
              <w:start w:w="80" w:type="dxa"/>
              <w:bottom w:w="75" w:type="dxa"/>
              <w:end w:w="80" w:type="dxa"/>
            </w:tcMar>
          </w:tcPr>
          <w:p>
            <w:pPr>
              <w:jc w:val="left"/>
            </w:pPr>
            <w:r>
              <w:rPr>
                <w:b/>
                <w:color w:val="FFFFFF"/>
                <w:sz w:val="15"/>
              </w:rPr>
              <w:t>Assessment Area</w:t>
            </w:r>
          </w:p>
        </w:tc>
        <w:tc>
          <w:tcPr>
            <w:tcW w:type="dxa" w:w="4248"/>
            <w:shd w:fill="17365D"/>
            <w:tcMar>
              <w:top w:w="75" w:type="dxa"/>
              <w:start w:w="80" w:type="dxa"/>
              <w:bottom w:w="75" w:type="dxa"/>
              <w:end w:w="80" w:type="dxa"/>
            </w:tcMar>
          </w:tcPr>
          <w:p>
            <w:pPr>
              <w:jc w:val="left"/>
            </w:pPr>
            <w:r>
              <w:rPr>
                <w:b/>
                <w:color w:val="FFFFFF"/>
                <w:sz w:val="15"/>
              </w:rPr>
              <w:t>Key Questions</w:t>
            </w:r>
          </w:p>
        </w:tc>
        <w:tc>
          <w:tcPr>
            <w:tcW w:type="dxa" w:w="3600"/>
            <w:shd w:fill="17365D"/>
            <w:tcMar>
              <w:top w:w="75" w:type="dxa"/>
              <w:start w:w="80" w:type="dxa"/>
              <w:bottom w:w="75" w:type="dxa"/>
              <w:end w:w="80" w:type="dxa"/>
            </w:tcMar>
          </w:tcPr>
          <w:p>
            <w:pPr>
              <w:jc w:val="left"/>
            </w:pPr>
            <w:r>
              <w:rPr>
                <w:b/>
                <w:color w:val="FFFFFF"/>
                <w:sz w:val="15"/>
              </w:rPr>
              <w:t>Person-in-Environment Link</w:t>
            </w:r>
          </w:p>
        </w:tc>
      </w:tr>
      <w:tr>
        <w:trPr>
          <w:cantSplit/>
        </w:trPr>
        <w:tc>
          <w:tcPr>
            <w:tcW w:type="dxa" w:w="2088"/>
            <w:tcMar>
              <w:top w:w="65" w:type="dxa"/>
              <w:start w:w="75" w:type="dxa"/>
              <w:bottom w:w="65" w:type="dxa"/>
              <w:end w:w="75" w:type="dxa"/>
            </w:tcMar>
          </w:tcPr>
          <w:p>
            <w:pPr>
              <w:spacing w:after="0"/>
            </w:pPr>
            <w:r>
              <w:rPr>
                <w:sz w:val="15"/>
              </w:rPr>
              <w:t>Symptoms and safety</w:t>
            </w:r>
          </w:p>
        </w:tc>
        <w:tc>
          <w:tcPr>
            <w:tcW w:type="dxa" w:w="4248"/>
            <w:tcMar>
              <w:top w:w="65" w:type="dxa"/>
              <w:start w:w="75" w:type="dxa"/>
              <w:bottom w:w="65" w:type="dxa"/>
              <w:end w:w="75" w:type="dxa"/>
            </w:tcMar>
          </w:tcPr>
          <w:p>
            <w:pPr>
              <w:spacing w:after="0"/>
            </w:pPr>
            <w:r>
              <w:rPr>
                <w:sz w:val="15"/>
              </w:rPr>
              <w:t>Onset, course, severity, triggers, risk, protective factors.</w:t>
            </w:r>
          </w:p>
        </w:tc>
        <w:tc>
          <w:tcPr>
            <w:tcW w:type="dxa" w:w="3600"/>
            <w:tcMar>
              <w:top w:w="65" w:type="dxa"/>
              <w:start w:w="75" w:type="dxa"/>
              <w:bottom w:w="65" w:type="dxa"/>
              <w:end w:w="75" w:type="dxa"/>
            </w:tcMar>
          </w:tcPr>
          <w:p>
            <w:pPr>
              <w:spacing w:after="0"/>
            </w:pPr>
            <w:r>
              <w:rPr>
                <w:sz w:val="15"/>
              </w:rPr>
              <w:t>How environment and relationships increase or reduce risk.</w:t>
            </w:r>
          </w:p>
        </w:tc>
      </w:tr>
      <w:tr>
        <w:trPr>
          <w:cantSplit/>
        </w:trPr>
        <w:tc>
          <w:tcPr>
            <w:tcW w:type="dxa" w:w="2088"/>
            <w:tcMar>
              <w:top w:w="65" w:type="dxa"/>
              <w:start w:w="75" w:type="dxa"/>
              <w:bottom w:w="65" w:type="dxa"/>
              <w:end w:w="75" w:type="dxa"/>
            </w:tcMar>
            <w:shd w:fill="F2F2F2"/>
          </w:tcPr>
          <w:p>
            <w:pPr>
              <w:spacing w:after="0"/>
            </w:pPr>
            <w:r>
              <w:rPr>
                <w:sz w:val="15"/>
              </w:rPr>
              <w:t>Health and functioning</w:t>
            </w:r>
          </w:p>
        </w:tc>
        <w:tc>
          <w:tcPr>
            <w:tcW w:type="dxa" w:w="4248"/>
            <w:tcMar>
              <w:top w:w="65" w:type="dxa"/>
              <w:start w:w="75" w:type="dxa"/>
              <w:bottom w:w="65" w:type="dxa"/>
              <w:end w:w="75" w:type="dxa"/>
            </w:tcMar>
            <w:shd w:fill="F2F2F2"/>
          </w:tcPr>
          <w:p>
            <w:pPr>
              <w:spacing w:after="0"/>
            </w:pPr>
            <w:r>
              <w:rPr>
                <w:sz w:val="15"/>
              </w:rPr>
              <w:t>Medical conditions, pain, sleep, disability, cognition, daily activities.</w:t>
            </w:r>
          </w:p>
        </w:tc>
        <w:tc>
          <w:tcPr>
            <w:tcW w:type="dxa" w:w="3600"/>
            <w:tcMar>
              <w:top w:w="65" w:type="dxa"/>
              <w:start w:w="75" w:type="dxa"/>
              <w:bottom w:w="65" w:type="dxa"/>
              <w:end w:w="75" w:type="dxa"/>
            </w:tcMar>
            <w:shd w:fill="F2F2F2"/>
          </w:tcPr>
          <w:p>
            <w:pPr>
              <w:spacing w:after="0"/>
            </w:pPr>
            <w:r>
              <w:rPr>
                <w:sz w:val="15"/>
              </w:rPr>
              <w:t>Access to care, accommodations, transportation, caregiving, benefits.</w:t>
            </w:r>
          </w:p>
        </w:tc>
      </w:tr>
      <w:tr>
        <w:trPr>
          <w:cantSplit/>
        </w:trPr>
        <w:tc>
          <w:tcPr>
            <w:tcW w:type="dxa" w:w="2088"/>
            <w:tcMar>
              <w:top w:w="65" w:type="dxa"/>
              <w:start w:w="75" w:type="dxa"/>
              <w:bottom w:w="65" w:type="dxa"/>
              <w:end w:w="75" w:type="dxa"/>
            </w:tcMar>
          </w:tcPr>
          <w:p>
            <w:pPr>
              <w:spacing w:after="0"/>
            </w:pPr>
            <w:r>
              <w:rPr>
                <w:sz w:val="15"/>
              </w:rPr>
              <w:t>Family and relationships</w:t>
            </w:r>
          </w:p>
        </w:tc>
        <w:tc>
          <w:tcPr>
            <w:tcW w:type="dxa" w:w="4248"/>
            <w:tcMar>
              <w:top w:w="65" w:type="dxa"/>
              <w:start w:w="75" w:type="dxa"/>
              <w:bottom w:w="65" w:type="dxa"/>
              <w:end w:w="75" w:type="dxa"/>
            </w:tcMar>
          </w:tcPr>
          <w:p>
            <w:pPr>
              <w:spacing w:after="0"/>
            </w:pPr>
            <w:r>
              <w:rPr>
                <w:sz w:val="15"/>
              </w:rPr>
              <w:t>Support, conflict, attachment, parenting, caregiving, loss.</w:t>
            </w:r>
          </w:p>
        </w:tc>
        <w:tc>
          <w:tcPr>
            <w:tcW w:type="dxa" w:w="3600"/>
            <w:tcMar>
              <w:top w:w="65" w:type="dxa"/>
              <w:start w:w="75" w:type="dxa"/>
              <w:bottom w:w="65" w:type="dxa"/>
              <w:end w:w="75" w:type="dxa"/>
            </w:tcMar>
          </w:tcPr>
          <w:p>
            <w:pPr>
              <w:spacing w:after="0"/>
            </w:pPr>
            <w:r>
              <w:rPr>
                <w:sz w:val="15"/>
              </w:rPr>
              <w:t>Roles, power, resources, and the client system’s participation.</w:t>
            </w:r>
          </w:p>
        </w:tc>
      </w:tr>
      <w:tr>
        <w:trPr>
          <w:cantSplit/>
        </w:trPr>
        <w:tc>
          <w:tcPr>
            <w:tcW w:type="dxa" w:w="2088"/>
            <w:tcMar>
              <w:top w:w="65" w:type="dxa"/>
              <w:start w:w="75" w:type="dxa"/>
              <w:bottom w:w="65" w:type="dxa"/>
              <w:end w:w="75" w:type="dxa"/>
            </w:tcMar>
            <w:shd w:fill="F2F2F2"/>
          </w:tcPr>
          <w:p>
            <w:pPr>
              <w:spacing w:after="0"/>
            </w:pPr>
            <w:r>
              <w:rPr>
                <w:sz w:val="15"/>
              </w:rPr>
              <w:t>Housing and material conditions</w:t>
            </w:r>
          </w:p>
        </w:tc>
        <w:tc>
          <w:tcPr>
            <w:tcW w:type="dxa" w:w="4248"/>
            <w:tcMar>
              <w:top w:w="65" w:type="dxa"/>
              <w:start w:w="75" w:type="dxa"/>
              <w:bottom w:w="65" w:type="dxa"/>
              <w:end w:w="75" w:type="dxa"/>
            </w:tcMar>
            <w:shd w:fill="F2F2F2"/>
          </w:tcPr>
          <w:p>
            <w:pPr>
              <w:spacing w:after="0"/>
            </w:pPr>
            <w:r>
              <w:rPr>
                <w:sz w:val="15"/>
              </w:rPr>
              <w:t>Housing stability, food, income, employment, education.</w:t>
            </w:r>
          </w:p>
        </w:tc>
        <w:tc>
          <w:tcPr>
            <w:tcW w:type="dxa" w:w="3600"/>
            <w:tcMar>
              <w:top w:w="65" w:type="dxa"/>
              <w:start w:w="75" w:type="dxa"/>
              <w:bottom w:w="65" w:type="dxa"/>
              <w:end w:w="75" w:type="dxa"/>
            </w:tcMar>
            <w:shd w:fill="F2F2F2"/>
          </w:tcPr>
          <w:p>
            <w:pPr>
              <w:spacing w:after="0"/>
            </w:pPr>
            <w:r>
              <w:rPr>
                <w:sz w:val="15"/>
              </w:rPr>
              <w:t>Eligibility, institutional barriers, discrimination, and immediate concrete needs.</w:t>
            </w:r>
          </w:p>
        </w:tc>
      </w:tr>
      <w:tr>
        <w:trPr>
          <w:cantSplit/>
        </w:trPr>
        <w:tc>
          <w:tcPr>
            <w:tcW w:type="dxa" w:w="2088"/>
            <w:tcMar>
              <w:top w:w="65" w:type="dxa"/>
              <w:start w:w="75" w:type="dxa"/>
              <w:bottom w:w="65" w:type="dxa"/>
              <w:end w:w="75" w:type="dxa"/>
            </w:tcMar>
          </w:tcPr>
          <w:p>
            <w:pPr>
              <w:spacing w:after="0"/>
            </w:pPr>
            <w:r>
              <w:rPr>
                <w:sz w:val="15"/>
              </w:rPr>
              <w:t>Culture and identity</w:t>
            </w:r>
          </w:p>
        </w:tc>
        <w:tc>
          <w:tcPr>
            <w:tcW w:type="dxa" w:w="4248"/>
            <w:tcMar>
              <w:top w:w="65" w:type="dxa"/>
              <w:start w:w="75" w:type="dxa"/>
              <w:bottom w:w="65" w:type="dxa"/>
              <w:end w:w="75" w:type="dxa"/>
            </w:tcMar>
          </w:tcPr>
          <w:p>
            <w:pPr>
              <w:spacing w:after="0"/>
            </w:pPr>
            <w:r>
              <w:rPr>
                <w:sz w:val="15"/>
              </w:rPr>
              <w:t>Language, spirituality, race, ethnicity, gender, sexuality, migration, community.</w:t>
            </w:r>
          </w:p>
        </w:tc>
        <w:tc>
          <w:tcPr>
            <w:tcW w:type="dxa" w:w="3600"/>
            <w:tcMar>
              <w:top w:w="65" w:type="dxa"/>
              <w:start w:w="75" w:type="dxa"/>
              <w:bottom w:w="65" w:type="dxa"/>
              <w:end w:w="75" w:type="dxa"/>
            </w:tcMar>
          </w:tcPr>
          <w:p>
            <w:pPr>
              <w:spacing w:after="0"/>
            </w:pPr>
            <w:r>
              <w:rPr>
                <w:sz w:val="15"/>
              </w:rPr>
              <w:t>Meaning, trust, power, accessibility, and service fit.</w:t>
            </w:r>
          </w:p>
        </w:tc>
      </w:tr>
      <w:tr>
        <w:trPr>
          <w:cantSplit/>
        </w:trPr>
        <w:tc>
          <w:tcPr>
            <w:tcW w:type="dxa" w:w="2088"/>
            <w:tcMar>
              <w:top w:w="65" w:type="dxa"/>
              <w:start w:w="75" w:type="dxa"/>
              <w:bottom w:w="65" w:type="dxa"/>
              <w:end w:w="75" w:type="dxa"/>
            </w:tcMar>
            <w:shd w:fill="F2F2F2"/>
          </w:tcPr>
          <w:p>
            <w:pPr>
              <w:spacing w:after="0"/>
            </w:pPr>
            <w:r>
              <w:rPr>
                <w:sz w:val="15"/>
              </w:rPr>
              <w:t>Strengths and resources</w:t>
            </w:r>
          </w:p>
        </w:tc>
        <w:tc>
          <w:tcPr>
            <w:tcW w:type="dxa" w:w="4248"/>
            <w:tcMar>
              <w:top w:w="65" w:type="dxa"/>
              <w:start w:w="75" w:type="dxa"/>
              <w:bottom w:w="65" w:type="dxa"/>
              <w:end w:w="75" w:type="dxa"/>
            </w:tcMar>
            <w:shd w:fill="F2F2F2"/>
          </w:tcPr>
          <w:p>
            <w:pPr>
              <w:spacing w:after="0"/>
            </w:pPr>
            <w:r>
              <w:rPr>
                <w:sz w:val="15"/>
              </w:rPr>
              <w:t>Coping, skills, support, resilience, community assets.</w:t>
            </w:r>
          </w:p>
        </w:tc>
        <w:tc>
          <w:tcPr>
            <w:tcW w:type="dxa" w:w="3600"/>
            <w:tcMar>
              <w:top w:w="65" w:type="dxa"/>
              <w:start w:w="75" w:type="dxa"/>
              <w:bottom w:w="65" w:type="dxa"/>
              <w:end w:w="75" w:type="dxa"/>
            </w:tcMar>
            <w:shd w:fill="F2F2F2"/>
          </w:tcPr>
          <w:p>
            <w:pPr>
              <w:spacing w:after="0"/>
            </w:pPr>
            <w:r>
              <w:rPr>
                <w:sz w:val="15"/>
              </w:rPr>
              <w:t>What can be mobilized with the client’s consent and priorities.</w:t>
            </w:r>
          </w:p>
        </w:tc>
      </w:tr>
    </w:tbl>
    <w:p>
      <w:pPr>
        <w:spacing w:after="0" w:before="0" w:line="240" w:lineRule="auto"/>
      </w:pPr>
      <w:r>
        <w:rPr>
          <w:sz w:val="8"/>
        </w:rPr>
      </w:r>
    </w:p>
    <w:p>
      <w:pPr>
        <w:pStyle w:val="Heading1"/>
        <w:keepNext/>
        <w:keepLines/>
        <w:pageBreakBefore w:val="0"/>
      </w:pPr>
      <w:r>
        <w:t>6. Mental Status Examination: One Part of the Assessment</w:t>
      </w:r>
    </w:p>
    <w:p>
      <w:pPr>
        <w:spacing w:after="100"/>
      </w:pPr>
      <w:r>
        <w:t>The MSE describes the client’s current presentation. It should be integrated with history, functioning, baseline, collateral information, records, and environmental context. A single finding rarely establishes a diagnosis or level of care.</w:t>
      </w:r>
    </w:p>
    <w:tbl>
      <w:tblPr>
        <w:tblW w:type="auto" w:w="0"/>
        <w:jc w:val="center"/>
        <w:tblLayout w:type="fixed"/>
        <w:tblLook w:firstColumn="1" w:firstRow="1" w:lastColumn="0" w:lastRow="0" w:noHBand="0" w:noVBand="1" w:val="04A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3360"/>
        <w:gridCol w:w="3360"/>
        <w:gridCol w:w="3360"/>
      </w:tblGrid>
      <w:tr>
        <w:trPr>
          <w:tblHeader w:val="true"/>
          <w:cantSplit/>
        </w:trPr>
        <w:tc>
          <w:tcPr>
            <w:tcW w:type="dxa" w:w="2088"/>
            <w:shd w:fill="17365D"/>
            <w:tcMar>
              <w:top w:w="75" w:type="dxa"/>
              <w:start w:w="80" w:type="dxa"/>
              <w:bottom w:w="75" w:type="dxa"/>
              <w:end w:w="80" w:type="dxa"/>
            </w:tcMar>
          </w:tcPr>
          <w:p>
            <w:pPr>
              <w:jc w:val="left"/>
            </w:pPr>
            <w:r>
              <w:rPr>
                <w:b/>
                <w:color w:val="FFFFFF"/>
                <w:sz w:val="15"/>
              </w:rPr>
              <w:t>Domain</w:t>
            </w:r>
          </w:p>
        </w:tc>
        <w:tc>
          <w:tcPr>
            <w:tcW w:type="dxa" w:w="4320"/>
            <w:shd w:fill="17365D"/>
            <w:tcMar>
              <w:top w:w="75" w:type="dxa"/>
              <w:start w:w="80" w:type="dxa"/>
              <w:bottom w:w="75" w:type="dxa"/>
              <w:end w:w="80" w:type="dxa"/>
            </w:tcMar>
          </w:tcPr>
          <w:p>
            <w:pPr>
              <w:jc w:val="left"/>
            </w:pPr>
            <w:r>
              <w:rPr>
                <w:b/>
                <w:color w:val="FFFFFF"/>
                <w:sz w:val="15"/>
              </w:rPr>
              <w:t>What to Assess</w:t>
            </w:r>
          </w:p>
        </w:tc>
        <w:tc>
          <w:tcPr>
            <w:tcW w:type="dxa" w:w="3528"/>
            <w:shd w:fill="17365D"/>
            <w:tcMar>
              <w:top w:w="75" w:type="dxa"/>
              <w:start w:w="80" w:type="dxa"/>
              <w:bottom w:w="75" w:type="dxa"/>
              <w:end w:w="80" w:type="dxa"/>
            </w:tcMar>
          </w:tcPr>
          <w:p>
            <w:pPr>
              <w:jc w:val="left"/>
            </w:pPr>
            <w:r>
              <w:rPr>
                <w:b/>
                <w:color w:val="FFFFFF"/>
                <w:sz w:val="15"/>
              </w:rPr>
              <w:t>Exam Caution</w:t>
            </w:r>
          </w:p>
        </w:tc>
      </w:tr>
      <w:tr>
        <w:trPr>
          <w:cantSplit/>
        </w:trPr>
        <w:tc>
          <w:tcPr>
            <w:tcW w:type="dxa" w:w="2088"/>
            <w:tcMar>
              <w:top w:w="65" w:type="dxa"/>
              <w:start w:w="75" w:type="dxa"/>
              <w:bottom w:w="65" w:type="dxa"/>
              <w:end w:w="75" w:type="dxa"/>
            </w:tcMar>
          </w:tcPr>
          <w:p>
            <w:pPr>
              <w:spacing w:after="0"/>
            </w:pPr>
            <w:r>
              <w:rPr>
                <w:sz w:val="15"/>
              </w:rPr>
              <w:t>Appearance and behavior</w:t>
            </w:r>
          </w:p>
        </w:tc>
        <w:tc>
          <w:tcPr>
            <w:tcW w:type="dxa" w:w="4320"/>
            <w:tcMar>
              <w:top w:w="65" w:type="dxa"/>
              <w:start w:w="75" w:type="dxa"/>
              <w:bottom w:w="65" w:type="dxa"/>
              <w:end w:w="75" w:type="dxa"/>
            </w:tcMar>
          </w:tcPr>
          <w:p>
            <w:pPr>
              <w:spacing w:after="0"/>
            </w:pPr>
            <w:r>
              <w:rPr>
                <w:sz w:val="15"/>
              </w:rPr>
              <w:t>Grooming, clothing, eye contact, posture, movement, engagement, unusual behavior.</w:t>
            </w:r>
          </w:p>
        </w:tc>
        <w:tc>
          <w:tcPr>
            <w:tcW w:type="dxa" w:w="3528"/>
            <w:tcMar>
              <w:top w:w="65" w:type="dxa"/>
              <w:start w:w="75" w:type="dxa"/>
              <w:bottom w:w="65" w:type="dxa"/>
              <w:end w:w="75" w:type="dxa"/>
            </w:tcMar>
          </w:tcPr>
          <w:p>
            <w:pPr>
              <w:spacing w:after="0"/>
            </w:pPr>
            <w:r>
              <w:rPr>
                <w:sz w:val="15"/>
              </w:rPr>
              <w:t>Describe what is observed; avoid labels such as “bizarre” without behavioral detail.</w:t>
            </w:r>
          </w:p>
        </w:tc>
      </w:tr>
      <w:tr>
        <w:trPr>
          <w:cantSplit/>
        </w:trPr>
        <w:tc>
          <w:tcPr>
            <w:tcW w:type="dxa" w:w="2088"/>
            <w:tcMar>
              <w:top w:w="65" w:type="dxa"/>
              <w:start w:w="75" w:type="dxa"/>
              <w:bottom w:w="65" w:type="dxa"/>
              <w:end w:w="75" w:type="dxa"/>
            </w:tcMar>
            <w:shd w:fill="F2F2F2"/>
          </w:tcPr>
          <w:p>
            <w:pPr>
              <w:spacing w:after="0"/>
            </w:pPr>
            <w:r>
              <w:rPr>
                <w:sz w:val="15"/>
              </w:rPr>
              <w:t>Consciousness and orientation</w:t>
            </w:r>
          </w:p>
        </w:tc>
        <w:tc>
          <w:tcPr>
            <w:tcW w:type="dxa" w:w="4320"/>
            <w:tcMar>
              <w:top w:w="65" w:type="dxa"/>
              <w:start w:w="75" w:type="dxa"/>
              <w:bottom w:w="65" w:type="dxa"/>
              <w:end w:w="75" w:type="dxa"/>
            </w:tcMar>
            <w:shd w:fill="F2F2F2"/>
          </w:tcPr>
          <w:p>
            <w:pPr>
              <w:spacing w:after="0"/>
            </w:pPr>
            <w:r>
              <w:rPr>
                <w:sz w:val="15"/>
              </w:rPr>
              <w:t>Alertness; orientation to person, place, time, and situation.</w:t>
            </w:r>
          </w:p>
        </w:tc>
        <w:tc>
          <w:tcPr>
            <w:tcW w:type="dxa" w:w="3528"/>
            <w:tcMar>
              <w:top w:w="65" w:type="dxa"/>
              <w:start w:w="75" w:type="dxa"/>
              <w:bottom w:w="65" w:type="dxa"/>
              <w:end w:w="75" w:type="dxa"/>
            </w:tcMar>
            <w:shd w:fill="F2F2F2"/>
          </w:tcPr>
          <w:p>
            <w:pPr>
              <w:spacing w:after="0"/>
            </w:pPr>
            <w:r>
              <w:rPr>
                <w:sz w:val="15"/>
              </w:rPr>
              <w:t>Sudden or fluctuating change can indicate urgent medical or substance-related factors.</w:t>
            </w:r>
          </w:p>
        </w:tc>
      </w:tr>
      <w:tr>
        <w:trPr>
          <w:cantSplit/>
        </w:trPr>
        <w:tc>
          <w:tcPr>
            <w:tcW w:type="dxa" w:w="2088"/>
            <w:tcMar>
              <w:top w:w="65" w:type="dxa"/>
              <w:start w:w="75" w:type="dxa"/>
              <w:bottom w:w="65" w:type="dxa"/>
              <w:end w:w="75" w:type="dxa"/>
            </w:tcMar>
          </w:tcPr>
          <w:p>
            <w:pPr>
              <w:spacing w:after="0"/>
            </w:pPr>
            <w:r>
              <w:rPr>
                <w:sz w:val="15"/>
              </w:rPr>
              <w:t>Speech</w:t>
            </w:r>
          </w:p>
        </w:tc>
        <w:tc>
          <w:tcPr>
            <w:tcW w:type="dxa" w:w="4320"/>
            <w:tcMar>
              <w:top w:w="65" w:type="dxa"/>
              <w:start w:w="75" w:type="dxa"/>
              <w:bottom w:w="65" w:type="dxa"/>
              <w:end w:w="75" w:type="dxa"/>
            </w:tcMar>
          </w:tcPr>
          <w:p>
            <w:pPr>
              <w:spacing w:after="0"/>
            </w:pPr>
            <w:r>
              <w:rPr>
                <w:sz w:val="15"/>
              </w:rPr>
              <w:t>Rate, volume, fluency, latency, articulation, pressure, mutism.</w:t>
            </w:r>
          </w:p>
        </w:tc>
        <w:tc>
          <w:tcPr>
            <w:tcW w:type="dxa" w:w="3528"/>
            <w:tcMar>
              <w:top w:w="65" w:type="dxa"/>
              <w:start w:w="75" w:type="dxa"/>
              <w:bottom w:w="65" w:type="dxa"/>
              <w:end w:w="75" w:type="dxa"/>
            </w:tcMar>
          </w:tcPr>
          <w:p>
            <w:pPr>
              <w:spacing w:after="0"/>
            </w:pPr>
            <w:r>
              <w:rPr>
                <w:sz w:val="15"/>
              </w:rPr>
              <w:t>Speech findings are data, not a diagnosis by themselves.</w:t>
            </w:r>
          </w:p>
        </w:tc>
      </w:tr>
      <w:tr>
        <w:trPr>
          <w:cantSplit/>
        </w:trPr>
        <w:tc>
          <w:tcPr>
            <w:tcW w:type="dxa" w:w="2088"/>
            <w:tcMar>
              <w:top w:w="65" w:type="dxa"/>
              <w:start w:w="75" w:type="dxa"/>
              <w:bottom w:w="65" w:type="dxa"/>
              <w:end w:w="75" w:type="dxa"/>
            </w:tcMar>
            <w:shd w:fill="F2F2F2"/>
          </w:tcPr>
          <w:p>
            <w:pPr>
              <w:spacing w:after="0"/>
            </w:pPr>
            <w:r>
              <w:rPr>
                <w:sz w:val="15"/>
              </w:rPr>
              <w:t>Mood and affect</w:t>
            </w:r>
          </w:p>
        </w:tc>
        <w:tc>
          <w:tcPr>
            <w:tcW w:type="dxa" w:w="4320"/>
            <w:tcMar>
              <w:top w:w="65" w:type="dxa"/>
              <w:start w:w="75" w:type="dxa"/>
              <w:bottom w:w="65" w:type="dxa"/>
              <w:end w:w="75" w:type="dxa"/>
            </w:tcMar>
            <w:shd w:fill="F2F2F2"/>
          </w:tcPr>
          <w:p>
            <w:pPr>
              <w:spacing w:after="0"/>
            </w:pPr>
            <w:r>
              <w:rPr>
                <w:sz w:val="15"/>
              </w:rPr>
              <w:t>Reported emotional state; observed range, intensity, stability, and congruence.</w:t>
            </w:r>
          </w:p>
        </w:tc>
        <w:tc>
          <w:tcPr>
            <w:tcW w:type="dxa" w:w="3528"/>
            <w:tcMar>
              <w:top w:w="65" w:type="dxa"/>
              <w:start w:w="75" w:type="dxa"/>
              <w:bottom w:w="65" w:type="dxa"/>
              <w:end w:w="75" w:type="dxa"/>
            </w:tcMar>
            <w:shd w:fill="F2F2F2"/>
          </w:tcPr>
          <w:p>
            <w:pPr>
              <w:spacing w:after="0"/>
            </w:pPr>
            <w:r>
              <w:rPr>
                <w:sz w:val="15"/>
              </w:rPr>
              <w:t>Mood is reported; affect is observed.</w:t>
            </w:r>
          </w:p>
        </w:tc>
      </w:tr>
      <w:tr>
        <w:trPr>
          <w:cantSplit/>
        </w:trPr>
        <w:tc>
          <w:tcPr>
            <w:tcW w:type="dxa" w:w="2088"/>
            <w:tcMar>
              <w:top w:w="65" w:type="dxa"/>
              <w:start w:w="75" w:type="dxa"/>
              <w:bottom w:w="65" w:type="dxa"/>
              <w:end w:w="75" w:type="dxa"/>
            </w:tcMar>
          </w:tcPr>
          <w:p>
            <w:pPr>
              <w:spacing w:after="0"/>
            </w:pPr>
            <w:r>
              <w:rPr>
                <w:sz w:val="15"/>
              </w:rPr>
              <w:t>Thought process and content</w:t>
            </w:r>
          </w:p>
        </w:tc>
        <w:tc>
          <w:tcPr>
            <w:tcW w:type="dxa" w:w="4320"/>
            <w:tcMar>
              <w:top w:w="65" w:type="dxa"/>
              <w:start w:w="75" w:type="dxa"/>
              <w:bottom w:w="65" w:type="dxa"/>
              <w:end w:w="75" w:type="dxa"/>
            </w:tcMar>
          </w:tcPr>
          <w:p>
            <w:pPr>
              <w:spacing w:after="0"/>
            </w:pPr>
            <w:r>
              <w:rPr>
                <w:sz w:val="15"/>
              </w:rPr>
              <w:t>Organization of ideas; themes such as hopelessness, guilt, obsession, delusion, or suicidal thinking.</w:t>
            </w:r>
          </w:p>
        </w:tc>
        <w:tc>
          <w:tcPr>
            <w:tcW w:type="dxa" w:w="3528"/>
            <w:tcMar>
              <w:top w:w="65" w:type="dxa"/>
              <w:start w:w="75" w:type="dxa"/>
              <w:bottom w:w="65" w:type="dxa"/>
              <w:end w:w="75" w:type="dxa"/>
            </w:tcMar>
          </w:tcPr>
          <w:p>
            <w:pPr>
              <w:spacing w:after="0"/>
            </w:pPr>
            <w:r>
              <w:rPr>
                <w:sz w:val="15"/>
              </w:rPr>
              <w:t>Differentiate how thoughts are organized from what the client believes or reports.</w:t>
            </w:r>
          </w:p>
        </w:tc>
      </w:tr>
      <w:tr>
        <w:trPr>
          <w:cantSplit/>
        </w:trPr>
        <w:tc>
          <w:tcPr>
            <w:tcW w:type="dxa" w:w="2088"/>
            <w:tcMar>
              <w:top w:w="65" w:type="dxa"/>
              <w:start w:w="75" w:type="dxa"/>
              <w:bottom w:w="65" w:type="dxa"/>
              <w:end w:w="75" w:type="dxa"/>
            </w:tcMar>
            <w:shd w:fill="F2F2F2"/>
          </w:tcPr>
          <w:p>
            <w:pPr>
              <w:spacing w:after="0"/>
            </w:pPr>
            <w:r>
              <w:rPr>
                <w:sz w:val="15"/>
              </w:rPr>
              <w:t>Perception</w:t>
            </w:r>
          </w:p>
        </w:tc>
        <w:tc>
          <w:tcPr>
            <w:tcW w:type="dxa" w:w="4320"/>
            <w:tcMar>
              <w:top w:w="65" w:type="dxa"/>
              <w:start w:w="75" w:type="dxa"/>
              <w:bottom w:w="65" w:type="dxa"/>
              <w:end w:w="75" w:type="dxa"/>
            </w:tcMar>
            <w:shd w:fill="F2F2F2"/>
          </w:tcPr>
          <w:p>
            <w:pPr>
              <w:spacing w:after="0"/>
            </w:pPr>
            <w:r>
              <w:rPr>
                <w:sz w:val="15"/>
              </w:rPr>
              <w:t>Hallucinations, illusions, dissociation, depersonalization.</w:t>
            </w:r>
          </w:p>
        </w:tc>
        <w:tc>
          <w:tcPr>
            <w:tcW w:type="dxa" w:w="3528"/>
            <w:tcMar>
              <w:top w:w="65" w:type="dxa"/>
              <w:start w:w="75" w:type="dxa"/>
              <w:bottom w:w="65" w:type="dxa"/>
              <w:end w:w="75" w:type="dxa"/>
            </w:tcMar>
            <w:shd w:fill="F2F2F2"/>
          </w:tcPr>
          <w:p>
            <w:pPr>
              <w:spacing w:after="0"/>
            </w:pPr>
            <w:r>
              <w:rPr>
                <w:sz w:val="15"/>
              </w:rPr>
              <w:t>Clarify context, substances, sleep, culture, trauma, and safety.</w:t>
            </w:r>
          </w:p>
        </w:tc>
      </w:tr>
      <w:tr>
        <w:trPr>
          <w:cantSplit/>
        </w:trPr>
        <w:tc>
          <w:tcPr>
            <w:tcW w:type="dxa" w:w="2088"/>
            <w:tcMar>
              <w:top w:w="65" w:type="dxa"/>
              <w:start w:w="75" w:type="dxa"/>
              <w:bottom w:w="65" w:type="dxa"/>
              <w:end w:w="75" w:type="dxa"/>
            </w:tcMar>
          </w:tcPr>
          <w:p>
            <w:pPr>
              <w:spacing w:after="0"/>
            </w:pPr>
            <w:r>
              <w:rPr>
                <w:sz w:val="15"/>
              </w:rPr>
              <w:t>Cognition</w:t>
            </w:r>
          </w:p>
        </w:tc>
        <w:tc>
          <w:tcPr>
            <w:tcW w:type="dxa" w:w="4320"/>
            <w:tcMar>
              <w:top w:w="65" w:type="dxa"/>
              <w:start w:w="75" w:type="dxa"/>
              <w:bottom w:w="65" w:type="dxa"/>
              <w:end w:w="75" w:type="dxa"/>
            </w:tcMar>
          </w:tcPr>
          <w:p>
            <w:pPr>
              <w:spacing w:after="0"/>
            </w:pPr>
            <w:r>
              <w:rPr>
                <w:sz w:val="15"/>
              </w:rPr>
              <w:t>Attention, memory, concentration, language, abstraction, executive functioning.</w:t>
            </w:r>
          </w:p>
        </w:tc>
        <w:tc>
          <w:tcPr>
            <w:tcW w:type="dxa" w:w="3528"/>
            <w:tcMar>
              <w:top w:w="65" w:type="dxa"/>
              <w:start w:w="75" w:type="dxa"/>
              <w:bottom w:w="65" w:type="dxa"/>
              <w:end w:w="75" w:type="dxa"/>
            </w:tcMar>
          </w:tcPr>
          <w:p>
            <w:pPr>
              <w:spacing w:after="0"/>
            </w:pPr>
            <w:r>
              <w:rPr>
                <w:sz w:val="15"/>
              </w:rPr>
              <w:t>Compare with baseline and consider medical, medication, and substance causes.</w:t>
            </w:r>
          </w:p>
        </w:tc>
      </w:tr>
      <w:tr>
        <w:trPr>
          <w:cantSplit/>
        </w:trPr>
        <w:tc>
          <w:tcPr>
            <w:tcW w:type="dxa" w:w="2088"/>
            <w:tcMar>
              <w:top w:w="65" w:type="dxa"/>
              <w:start w:w="75" w:type="dxa"/>
              <w:bottom w:w="65" w:type="dxa"/>
              <w:end w:w="75" w:type="dxa"/>
            </w:tcMar>
            <w:shd w:fill="F2F2F2"/>
          </w:tcPr>
          <w:p>
            <w:pPr>
              <w:spacing w:after="0"/>
            </w:pPr>
            <w:r>
              <w:rPr>
                <w:sz w:val="15"/>
              </w:rPr>
              <w:t>Insight, judgment, impulse control</w:t>
            </w:r>
          </w:p>
        </w:tc>
        <w:tc>
          <w:tcPr>
            <w:tcW w:type="dxa" w:w="4320"/>
            <w:tcMar>
              <w:top w:w="65" w:type="dxa"/>
              <w:start w:w="75" w:type="dxa"/>
              <w:bottom w:w="65" w:type="dxa"/>
              <w:end w:w="75" w:type="dxa"/>
            </w:tcMar>
            <w:shd w:fill="F2F2F2"/>
          </w:tcPr>
          <w:p>
            <w:pPr>
              <w:spacing w:after="0"/>
            </w:pPr>
            <w:r>
              <w:rPr>
                <w:sz w:val="15"/>
              </w:rPr>
              <w:t>Awareness, decision-making, anticipation of consequences, behavioral control.</w:t>
            </w:r>
          </w:p>
        </w:tc>
        <w:tc>
          <w:tcPr>
            <w:tcW w:type="dxa" w:w="3528"/>
            <w:tcMar>
              <w:top w:w="65" w:type="dxa"/>
              <w:start w:w="75" w:type="dxa"/>
              <w:bottom w:w="65" w:type="dxa"/>
              <w:end w:w="75" w:type="dxa"/>
            </w:tcMar>
            <w:shd w:fill="F2F2F2"/>
          </w:tcPr>
          <w:p>
            <w:pPr>
              <w:spacing w:after="0"/>
            </w:pPr>
            <w:r>
              <w:rPr>
                <w:sz w:val="15"/>
              </w:rPr>
              <w:t>Assess in context; do not infer global incapacity from one poor decision.</w:t>
            </w:r>
          </w:p>
        </w:tc>
      </w:tr>
    </w:tbl>
    <w:p>
      <w:pPr>
        <w:spacing w:after="0" w:before="0" w:line="240" w:lineRule="auto"/>
      </w:pPr>
      <w:r>
        <w:rPr>
          <w:sz w:val="8"/>
        </w:rPr>
      </w:r>
    </w:p>
    <w:p>
      <w:pPr>
        <w:pStyle w:val="Heading1"/>
        <w:keepNext/>
        <w:keepLines/>
        <w:pageBreakBefore w:val="0"/>
      </w:pPr>
      <w:r>
        <w:t>7. Health, Medication, and Adherence Barriers</w:t>
      </w:r>
    </w:p>
    <w:p>
      <w:pPr>
        <w:spacing w:after="100"/>
      </w:pPr>
      <w:r>
        <w:t>A new emotional, cognitive, or behavioral change may reflect medical illness, neurological conditions, injury, pain, medication effects, withdrawal, intoxication, sleep loss, or a primary mental-health condition. The social worker assesses symptoms and urgency and coordinates with the appropriate health professional.</w:t>
      </w:r>
    </w:p>
    <w:p>
      <w:pPr>
        <w:pStyle w:val="ListBullet"/>
        <w:keepNext w:val="0"/>
        <w:keepLines/>
        <w:pageBreakBefore w:val="0"/>
        <w:spacing w:after="40"/>
      </w:pPr>
      <w:r>
        <w:t>Clarify baseline, onset, course, recent illness, falls, injury, pain, sleep, nutrition, and pregnancy when relevant.</w:t>
      </w:r>
    </w:p>
    <w:p>
      <w:pPr>
        <w:pStyle w:val="ListBullet"/>
        <w:keepNext w:val="0"/>
        <w:keepLines/>
        <w:pageBreakBefore w:val="0"/>
        <w:spacing w:after="40"/>
      </w:pPr>
      <w:r>
        <w:t>Review prescription, over-the-counter, supplement, and as-needed medication use, recent changes, benefit, side effects, and understanding.</w:t>
      </w:r>
    </w:p>
    <w:p>
      <w:pPr>
        <w:pStyle w:val="ListBullet"/>
        <w:keepNext w:val="0"/>
        <w:keepLines/>
        <w:pageBreakBefore w:val="0"/>
        <w:spacing w:after="40"/>
      </w:pPr>
      <w:r>
        <w:t>Explore cost, insurance, transportation, pharmacy access, health literacy, stigma, cognition, routines, cultural beliefs, and competing survival needs.</w:t>
      </w:r>
    </w:p>
    <w:p>
      <w:pPr>
        <w:pStyle w:val="ListBullet"/>
        <w:keepNext w:val="0"/>
        <w:keepLines/>
        <w:pageBreakBefore w:val="0"/>
        <w:spacing w:after="40"/>
      </w:pPr>
      <w:r>
        <w:t>Support client communication with the prescriber and coordinate with authorization.</w:t>
      </w:r>
    </w:p>
    <w:p>
      <w:pPr>
        <w:pStyle w:val="ListBullet"/>
        <w:keepNext w:val="0"/>
        <w:keepLines/>
        <w:pageBreakBefore w:val="0"/>
        <w:spacing w:after="40"/>
      </w:pPr>
      <w:r>
        <w:t>Do not prescribe, refill, or direct medication changes.</w:t>
      </w:r>
    </w:p>
    <w:tbl>
      <w:tblPr>
        <w:tblW w:type="auto" w:w="0"/>
        <w:jc w:val="center"/>
        <w:tblLayout w:type="fixed"/>
        <w:tblLook w:firstColumn="1" w:firstRow="1" w:lastColumn="0" w:lastRow="0" w:noHBand="0" w:noVBand="1" w:val="04A0"/>
      </w:tblPr>
      <w:tblGrid>
        <w:gridCol w:w="9936"/>
      </w:tblGrid>
      <w:tr>
        <w:trPr>
          <w:cantSplit/>
        </w:trPr>
        <w:tc>
          <w:tcPr>
            <w:tcW w:type="dxa" w:w="10080"/>
            <w:shd w:fill="FFF2CC"/>
            <w:tcMar>
              <w:top w:w="100" w:type="dxa"/>
              <w:start w:w="120" w:type="dxa"/>
              <w:bottom w:w="100" w:type="dxa"/>
              <w:end w:w="120" w:type="dxa"/>
            </w:tcMar>
          </w:tcPr>
          <w:p>
            <w:pPr>
              <w:spacing w:after="40"/>
            </w:pPr>
            <w:r>
              <w:rPr>
                <w:b/>
                <w:color w:val="1F4E78"/>
                <w:sz w:val="17"/>
              </w:rPr>
              <w:t>PERSON-IN-ENVIRONMENT RULE</w:t>
            </w:r>
          </w:p>
          <w:p>
            <w:pPr>
              <w:spacing w:after="0"/>
            </w:pPr>
            <w:r>
              <w:rPr>
                <w:sz w:val="18"/>
              </w:rPr>
              <w:t>Before calling a client noncompliant, assess whether the treatment plan is understandable, acceptable, affordable, accessible, and possible.</w:t>
            </w:r>
          </w:p>
        </w:tc>
      </w:tr>
    </w:tbl>
    <w:p>
      <w:pPr>
        <w:spacing w:after="0" w:before="0" w:line="240" w:lineRule="auto"/>
      </w:pPr>
      <w:r>
        <w:rPr>
          <w:sz w:val="6"/>
        </w:rPr>
      </w:r>
    </w:p>
    <w:p>
      <w:pPr>
        <w:pStyle w:val="Heading1"/>
        <w:keepNext/>
        <w:keepLines/>
        <w:pageBreakBefore w:val="0"/>
      </w:pPr>
      <w:r>
        <w:t>8. Substance Use, Addictive Behavior, and Harm Reduction</w:t>
      </w:r>
    </w:p>
    <w:p>
      <w:pPr>
        <w:spacing w:after="100"/>
      </w:pPr>
      <w:r>
        <w:t>Use neutral, specific questions about substance or behavior, amount, frequency, route, setting, last use, control, tolerance, withdrawal, consequences, safety, treatment history, recovery supports, readiness, and goals.</w:t>
      </w:r>
    </w:p>
    <w:tbl>
      <w:tblPr>
        <w:tblW w:type="auto" w:w="0"/>
        <w:jc w:val="center"/>
        <w:tblLayout w:type="fixed"/>
        <w:tblLook w:firstColumn="1" w:firstRow="1" w:lastColumn="0" w:lastRow="0" w:noHBand="0" w:noVBand="1" w:val="04A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3360"/>
        <w:gridCol w:w="3360"/>
        <w:gridCol w:w="3360"/>
      </w:tblGrid>
      <w:tr>
        <w:trPr>
          <w:tblHeader w:val="true"/>
          <w:cantSplit/>
        </w:trPr>
        <w:tc>
          <w:tcPr>
            <w:tcW w:type="dxa" w:w="1800"/>
            <w:shd w:fill="17365D"/>
            <w:tcMar>
              <w:top w:w="75" w:type="dxa"/>
              <w:start w:w="80" w:type="dxa"/>
              <w:bottom w:w="75" w:type="dxa"/>
              <w:end w:w="80" w:type="dxa"/>
            </w:tcMar>
          </w:tcPr>
          <w:p>
            <w:pPr>
              <w:jc w:val="left"/>
            </w:pPr>
            <w:r>
              <w:rPr>
                <w:b/>
                <w:color w:val="FFFFFF"/>
                <w:sz w:val="15"/>
              </w:rPr>
              <w:t>Assess</w:t>
            </w:r>
          </w:p>
        </w:tc>
        <w:tc>
          <w:tcPr>
            <w:tcW w:type="dxa" w:w="4536"/>
            <w:shd w:fill="17365D"/>
            <w:tcMar>
              <w:top w:w="75" w:type="dxa"/>
              <w:start w:w="80" w:type="dxa"/>
              <w:bottom w:w="75" w:type="dxa"/>
              <w:end w:w="80" w:type="dxa"/>
            </w:tcMar>
          </w:tcPr>
          <w:p>
            <w:pPr>
              <w:jc w:val="left"/>
            </w:pPr>
            <w:r>
              <w:rPr>
                <w:b/>
                <w:color w:val="FFFFFF"/>
                <w:sz w:val="15"/>
              </w:rPr>
              <w:t>Examples</w:t>
            </w:r>
          </w:p>
        </w:tc>
        <w:tc>
          <w:tcPr>
            <w:tcW w:type="dxa" w:w="3600"/>
            <w:shd w:fill="17365D"/>
            <w:tcMar>
              <w:top w:w="75" w:type="dxa"/>
              <w:start w:w="80" w:type="dxa"/>
              <w:bottom w:w="75" w:type="dxa"/>
              <w:end w:w="80" w:type="dxa"/>
            </w:tcMar>
          </w:tcPr>
          <w:p>
            <w:pPr>
              <w:jc w:val="left"/>
            </w:pPr>
            <w:r>
              <w:rPr>
                <w:b/>
                <w:color w:val="FFFFFF"/>
                <w:sz w:val="15"/>
              </w:rPr>
              <w:t>Planning Implication</w:t>
            </w:r>
          </w:p>
        </w:tc>
      </w:tr>
      <w:tr>
        <w:trPr>
          <w:cantSplit/>
        </w:trPr>
        <w:tc>
          <w:tcPr>
            <w:tcW w:type="dxa" w:w="1800"/>
            <w:tcMar>
              <w:top w:w="65" w:type="dxa"/>
              <w:start w:w="75" w:type="dxa"/>
              <w:bottom w:w="65" w:type="dxa"/>
              <w:end w:w="75" w:type="dxa"/>
            </w:tcMar>
          </w:tcPr>
          <w:p>
            <w:pPr>
              <w:spacing w:after="0"/>
            </w:pPr>
            <w:r>
              <w:rPr>
                <w:sz w:val="15"/>
              </w:rPr>
              <w:t>Immediate danger</w:t>
            </w:r>
          </w:p>
        </w:tc>
        <w:tc>
          <w:tcPr>
            <w:tcW w:type="dxa" w:w="4536"/>
            <w:tcMar>
              <w:top w:w="65" w:type="dxa"/>
              <w:start w:w="75" w:type="dxa"/>
              <w:bottom w:w="65" w:type="dxa"/>
              <w:end w:w="75" w:type="dxa"/>
            </w:tcMar>
          </w:tcPr>
          <w:p>
            <w:pPr>
              <w:spacing w:after="0"/>
            </w:pPr>
            <w:r>
              <w:rPr>
                <w:sz w:val="15"/>
              </w:rPr>
              <w:t>Overdose signs, severe withdrawal, impaired driving, children, weapons.</w:t>
            </w:r>
          </w:p>
        </w:tc>
        <w:tc>
          <w:tcPr>
            <w:tcW w:type="dxa" w:w="3600"/>
            <w:tcMar>
              <w:top w:w="65" w:type="dxa"/>
              <w:start w:w="75" w:type="dxa"/>
              <w:bottom w:w="65" w:type="dxa"/>
              <w:end w:w="75" w:type="dxa"/>
            </w:tcMar>
          </w:tcPr>
          <w:p>
            <w:pPr>
              <w:spacing w:after="0"/>
            </w:pPr>
            <w:r>
              <w:rPr>
                <w:sz w:val="15"/>
              </w:rPr>
              <w:t>Activate emergency or safety procedures before routine assessment.</w:t>
            </w:r>
          </w:p>
        </w:tc>
      </w:tr>
      <w:tr>
        <w:trPr>
          <w:cantSplit/>
        </w:trPr>
        <w:tc>
          <w:tcPr>
            <w:tcW w:type="dxa" w:w="1800"/>
            <w:tcMar>
              <w:top w:w="65" w:type="dxa"/>
              <w:start w:w="75" w:type="dxa"/>
              <w:bottom w:w="65" w:type="dxa"/>
              <w:end w:w="75" w:type="dxa"/>
            </w:tcMar>
            <w:shd w:fill="F2F2F2"/>
          </w:tcPr>
          <w:p>
            <w:pPr>
              <w:spacing w:after="0"/>
            </w:pPr>
            <w:r>
              <w:rPr>
                <w:sz w:val="15"/>
              </w:rPr>
              <w:t>Pattern and consequences</w:t>
            </w:r>
          </w:p>
        </w:tc>
        <w:tc>
          <w:tcPr>
            <w:tcW w:type="dxa" w:w="4536"/>
            <w:tcMar>
              <w:top w:w="65" w:type="dxa"/>
              <w:start w:w="75" w:type="dxa"/>
              <w:bottom w:w="65" w:type="dxa"/>
              <w:end w:w="75" w:type="dxa"/>
            </w:tcMar>
            <w:shd w:fill="F2F2F2"/>
          </w:tcPr>
          <w:p>
            <w:pPr>
              <w:spacing w:after="0"/>
            </w:pPr>
            <w:r>
              <w:rPr>
                <w:sz w:val="15"/>
              </w:rPr>
              <w:t>Amount, frequency, route, sleep, health, work, housing, finances, relationships.</w:t>
            </w:r>
          </w:p>
        </w:tc>
        <w:tc>
          <w:tcPr>
            <w:tcW w:type="dxa" w:w="3600"/>
            <w:tcMar>
              <w:top w:w="65" w:type="dxa"/>
              <w:start w:w="75" w:type="dxa"/>
              <w:bottom w:w="65" w:type="dxa"/>
              <w:end w:w="75" w:type="dxa"/>
            </w:tcMar>
            <w:shd w:fill="F2F2F2"/>
          </w:tcPr>
          <w:p>
            <w:pPr>
              <w:spacing w:after="0"/>
            </w:pPr>
            <w:r>
              <w:rPr>
                <w:sz w:val="15"/>
              </w:rPr>
              <w:t>Determine what further assessment and support are needed.</w:t>
            </w:r>
          </w:p>
        </w:tc>
      </w:tr>
      <w:tr>
        <w:trPr>
          <w:cantSplit/>
        </w:trPr>
        <w:tc>
          <w:tcPr>
            <w:tcW w:type="dxa" w:w="1800"/>
            <w:tcMar>
              <w:top w:w="65" w:type="dxa"/>
              <w:start w:w="75" w:type="dxa"/>
              <w:bottom w:w="65" w:type="dxa"/>
              <w:end w:w="75" w:type="dxa"/>
            </w:tcMar>
          </w:tcPr>
          <w:p>
            <w:pPr>
              <w:spacing w:after="0"/>
            </w:pPr>
            <w:r>
              <w:rPr>
                <w:sz w:val="15"/>
              </w:rPr>
              <w:t>Readiness and goals</w:t>
            </w:r>
          </w:p>
        </w:tc>
        <w:tc>
          <w:tcPr>
            <w:tcW w:type="dxa" w:w="4536"/>
            <w:tcMar>
              <w:top w:w="65" w:type="dxa"/>
              <w:start w:w="75" w:type="dxa"/>
              <w:bottom w:w="65" w:type="dxa"/>
              <w:end w:w="75" w:type="dxa"/>
            </w:tcMar>
          </w:tcPr>
          <w:p>
            <w:pPr>
              <w:spacing w:after="0"/>
            </w:pPr>
            <w:r>
              <w:rPr>
                <w:sz w:val="15"/>
              </w:rPr>
              <w:t>Abstinence, reduction, safety, treatment interest, ambivalence.</w:t>
            </w:r>
          </w:p>
        </w:tc>
        <w:tc>
          <w:tcPr>
            <w:tcW w:type="dxa" w:w="3600"/>
            <w:tcMar>
              <w:top w:w="65" w:type="dxa"/>
              <w:start w:w="75" w:type="dxa"/>
              <w:bottom w:w="65" w:type="dxa"/>
              <w:end w:w="75" w:type="dxa"/>
            </w:tcMar>
          </w:tcPr>
          <w:p>
            <w:pPr>
              <w:spacing w:after="0"/>
            </w:pPr>
            <w:r>
              <w:rPr>
                <w:sz w:val="15"/>
              </w:rPr>
              <w:t>Use motivational and harm-reduction principles without abandoning risk assessment.</w:t>
            </w:r>
          </w:p>
        </w:tc>
      </w:tr>
      <w:tr>
        <w:trPr>
          <w:cantSplit/>
        </w:trPr>
        <w:tc>
          <w:tcPr>
            <w:tcW w:type="dxa" w:w="1800"/>
            <w:tcMar>
              <w:top w:w="65" w:type="dxa"/>
              <w:start w:w="75" w:type="dxa"/>
              <w:bottom w:w="65" w:type="dxa"/>
              <w:end w:w="75" w:type="dxa"/>
            </w:tcMar>
            <w:shd w:fill="F2F2F2"/>
          </w:tcPr>
          <w:p>
            <w:pPr>
              <w:spacing w:after="0"/>
            </w:pPr>
            <w:r>
              <w:rPr>
                <w:sz w:val="15"/>
              </w:rPr>
              <w:t>Resources and barriers</w:t>
            </w:r>
          </w:p>
        </w:tc>
        <w:tc>
          <w:tcPr>
            <w:tcW w:type="dxa" w:w="4536"/>
            <w:tcMar>
              <w:top w:w="65" w:type="dxa"/>
              <w:start w:w="75" w:type="dxa"/>
              <w:bottom w:w="65" w:type="dxa"/>
              <w:end w:w="75" w:type="dxa"/>
            </w:tcMar>
            <w:shd w:fill="F2F2F2"/>
          </w:tcPr>
          <w:p>
            <w:pPr>
              <w:spacing w:after="0"/>
            </w:pPr>
            <w:r>
              <w:rPr>
                <w:sz w:val="15"/>
              </w:rPr>
              <w:t>Insurance, transportation, childcare, stigma, legal status, housing.</w:t>
            </w:r>
          </w:p>
        </w:tc>
        <w:tc>
          <w:tcPr>
            <w:tcW w:type="dxa" w:w="3600"/>
            <w:tcMar>
              <w:top w:w="65" w:type="dxa"/>
              <w:start w:w="75" w:type="dxa"/>
              <w:bottom w:w="65" w:type="dxa"/>
              <w:end w:w="75" w:type="dxa"/>
            </w:tcMar>
            <w:shd w:fill="F2F2F2"/>
          </w:tcPr>
          <w:p>
            <w:pPr>
              <w:spacing w:after="0"/>
            </w:pPr>
            <w:r>
              <w:rPr>
                <w:sz w:val="15"/>
              </w:rPr>
              <w:t>Select a usable referral and support follow-through.</w:t>
            </w:r>
          </w:p>
        </w:tc>
      </w:tr>
      <w:tr>
        <w:trPr>
          <w:cantSplit/>
        </w:trPr>
        <w:tc>
          <w:tcPr>
            <w:tcW w:type="dxa" w:w="1800"/>
            <w:tcMar>
              <w:top w:w="65" w:type="dxa"/>
              <w:start w:w="75" w:type="dxa"/>
              <w:bottom w:w="65" w:type="dxa"/>
              <w:end w:w="75" w:type="dxa"/>
            </w:tcMar>
          </w:tcPr>
          <w:p>
            <w:pPr>
              <w:spacing w:after="0"/>
            </w:pPr>
            <w:r>
              <w:rPr>
                <w:sz w:val="15"/>
              </w:rPr>
              <w:t>Co-occurring symptoms</w:t>
            </w:r>
          </w:p>
        </w:tc>
        <w:tc>
          <w:tcPr>
            <w:tcW w:type="dxa" w:w="4536"/>
            <w:tcMar>
              <w:top w:w="65" w:type="dxa"/>
              <w:start w:w="75" w:type="dxa"/>
              <w:bottom w:w="65" w:type="dxa"/>
              <w:end w:w="75" w:type="dxa"/>
            </w:tcMar>
          </w:tcPr>
          <w:p>
            <w:pPr>
              <w:spacing w:after="0"/>
            </w:pPr>
            <w:r>
              <w:rPr>
                <w:sz w:val="15"/>
              </w:rPr>
              <w:t>Mood, anxiety, psychosis, sleep, trauma, pain, medication changes.</w:t>
            </w:r>
          </w:p>
        </w:tc>
        <w:tc>
          <w:tcPr>
            <w:tcW w:type="dxa" w:w="3600"/>
            <w:tcMar>
              <w:top w:w="65" w:type="dxa"/>
              <w:start w:w="75" w:type="dxa"/>
              <w:bottom w:w="65" w:type="dxa"/>
              <w:end w:w="75" w:type="dxa"/>
            </w:tcMar>
          </w:tcPr>
          <w:p>
            <w:pPr>
              <w:spacing w:after="0"/>
            </w:pPr>
            <w:r>
              <w:rPr>
                <w:sz w:val="15"/>
              </w:rPr>
              <w:t>Clarify chronology before assigning a primary cause.</w:t>
            </w:r>
          </w:p>
        </w:tc>
      </w:tr>
    </w:tbl>
    <w:p>
      <w:pPr>
        <w:spacing w:after="0" w:before="0" w:line="240" w:lineRule="auto"/>
      </w:pPr>
      <w:r>
        <w:rPr>
          <w:sz w:val="8"/>
        </w:rPr>
      </w:r>
    </w:p>
    <w:tbl>
      <w:tblPr>
        <w:tblW w:type="auto" w:w="0"/>
        <w:jc w:val="center"/>
        <w:tblLayout w:type="fixed"/>
        <w:tblLook w:firstColumn="1" w:firstRow="1" w:lastColumn="0" w:lastRow="0" w:noHBand="0" w:noVBand="1" w:val="04A0"/>
      </w:tblPr>
      <w:tblGrid>
        <w:gridCol w:w="9936"/>
      </w:tblGrid>
      <w:tr>
        <w:trPr>
          <w:cantSplit/>
        </w:trPr>
        <w:tc>
          <w:tcPr>
            <w:tcW w:type="dxa" w:w="10080"/>
            <w:shd w:fill="EAF4F8"/>
            <w:tcMar>
              <w:top w:w="100" w:type="dxa"/>
              <w:start w:w="120" w:type="dxa"/>
              <w:bottom w:w="100" w:type="dxa"/>
              <w:end w:w="120" w:type="dxa"/>
            </w:tcMar>
          </w:tcPr>
          <w:p>
            <w:pPr>
              <w:spacing w:after="40"/>
            </w:pPr>
            <w:r>
              <w:rPr>
                <w:b/>
                <w:color w:val="1F4E78"/>
                <w:sz w:val="17"/>
              </w:rPr>
              <w:t>SCREENING</w:t>
            </w:r>
          </w:p>
          <w:p>
            <w:pPr>
              <w:spacing w:after="0"/>
            </w:pPr>
            <w:r>
              <w:rPr>
                <w:sz w:val="18"/>
              </w:rPr>
              <w:t>A screening result indicates whether further assessment is needed. Diagnosis and level of care require additional information.</w:t>
            </w:r>
          </w:p>
        </w:tc>
      </w:tr>
    </w:tbl>
    <w:p>
      <w:pPr>
        <w:spacing w:after="0" w:before="0" w:line="240" w:lineRule="auto"/>
      </w:pPr>
      <w:r>
        <w:rPr>
          <w:sz w:val="6"/>
        </w:rPr>
      </w:r>
    </w:p>
    <w:p>
      <w:pPr>
        <w:pStyle w:val="Heading1"/>
        <w:keepNext/>
        <w:keepLines/>
        <w:pageBreakBefore w:val="0"/>
      </w:pPr>
      <w:r>
        <w:t>9. The LCSW Person-in-Environment and Health-System Lens</w:t>
      </w:r>
    </w:p>
    <w:p>
      <w:pPr>
        <w:pStyle w:val="ListBullet"/>
        <w:keepNext w:val="0"/>
        <w:keepLines/>
        <w:pageBreakBefore w:val="0"/>
        <w:spacing w:after="40"/>
      </w:pPr>
      <w:r>
        <w:t>Assess symptoms and functioning within family, health, housing, income, transportation, insurance, culture, language, disability, legal, and service-system contexts.</w:t>
      </w:r>
    </w:p>
    <w:p>
      <w:pPr>
        <w:pStyle w:val="ListBullet"/>
        <w:keepNext w:val="0"/>
        <w:keepLines/>
        <w:pageBreakBefore w:val="0"/>
        <w:spacing w:after="40"/>
      </w:pPr>
      <w:r>
        <w:t>Use interdisciplinary collaboration with physicians, nurses, pharmacists, psychiatrists, addiction professionals, schools, and community providers as appropriate.</w:t>
      </w:r>
    </w:p>
    <w:p>
      <w:pPr>
        <w:pStyle w:val="ListBullet"/>
        <w:keepNext w:val="0"/>
        <w:keepLines/>
        <w:pageBreakBefore w:val="0"/>
        <w:spacing w:after="40"/>
      </w:pPr>
      <w:r>
        <w:t>Support self-determination while assessing decision-making ability, safety, and the least restrictive appropriate level of care.</w:t>
      </w:r>
    </w:p>
    <w:p>
      <w:pPr>
        <w:pStyle w:val="ListBullet"/>
        <w:keepNext w:val="0"/>
        <w:keepLines/>
        <w:pageBreakBefore w:val="0"/>
        <w:spacing w:after="40"/>
      </w:pPr>
      <w:r>
        <w:t>Treat discharge, medication access, follow-up, benefits, transportation, and support as clinical continuity issues—not administrative details.</w:t>
      </w:r>
    </w:p>
    <w:p>
      <w:pPr>
        <w:pStyle w:val="ListBullet"/>
        <w:keepNext w:val="0"/>
        <w:keepLines/>
        <w:pageBreakBefore w:val="0"/>
        <w:spacing w:after="40"/>
      </w:pPr>
      <w:r>
        <w:t>Match referrals to eligibility, accessibility, client choice, and actual follow-through.</w:t>
      </w:r>
    </w:p>
    <w:p>
      <w:pPr>
        <w:pStyle w:val="Heading1"/>
        <w:keepNext/>
        <w:keepLines/>
        <w:pageBreakBefore w:val="0"/>
      </w:pPr>
      <w:r>
        <w:t>10. Integrated LCSW Assessment Sequence</w:t>
      </w:r>
    </w:p>
    <w:p>
      <w:pPr>
        <w:keepNext w:val="0"/>
        <w:keepLines/>
        <w:pageBreakBefore w:val="0"/>
        <w:spacing w:after="40"/>
        <w:ind w:left="317" w:hanging="317"/>
      </w:pPr>
      <w:r>
        <w:rPr>
          <w:b w:val="0"/>
        </w:rPr>
        <w:t xml:space="preserve">1.  </w:t>
      </w:r>
      <w:r>
        <w:t>Clarify the social worker’s role, referral or mandate, and immediate safety or basic-needs priority.</w:t>
      </w:r>
    </w:p>
    <w:p>
      <w:pPr>
        <w:keepNext w:val="0"/>
        <w:keepLines/>
        <w:pageBreakBefore w:val="0"/>
        <w:spacing w:after="40"/>
        <w:ind w:left="317" w:hanging="317"/>
      </w:pPr>
      <w:r>
        <w:rPr>
          <w:b w:val="0"/>
        </w:rPr>
        <w:t xml:space="preserve">2.  </w:t>
      </w:r>
      <w:r>
        <w:t>Explain the purpose of the contact and invite the client or client system’s perspective.</w:t>
      </w:r>
    </w:p>
    <w:p>
      <w:pPr>
        <w:keepNext w:val="0"/>
        <w:keepLines/>
        <w:pageBreakBefore w:val="0"/>
        <w:spacing w:after="40"/>
        <w:ind w:left="317" w:hanging="317"/>
      </w:pPr>
      <w:r>
        <w:rPr>
          <w:b w:val="0"/>
        </w:rPr>
        <w:t xml:space="preserve">3.  </w:t>
      </w:r>
      <w:r>
        <w:t>Use active listening, validation, accessible communication, and trauma-informed pacing.</w:t>
      </w:r>
    </w:p>
    <w:p>
      <w:pPr>
        <w:keepNext w:val="0"/>
        <w:keepLines/>
        <w:pageBreakBefore w:val="0"/>
        <w:spacing w:after="40"/>
        <w:ind w:left="317" w:hanging="317"/>
      </w:pPr>
      <w:r>
        <w:rPr>
          <w:b w:val="0"/>
        </w:rPr>
        <w:t xml:space="preserve">4.  </w:t>
      </w:r>
      <w:r>
        <w:t>Assess symptoms, functioning, MSE, strengths, needs, barriers, resources, motivation, readiness, and resilience.</w:t>
      </w:r>
    </w:p>
    <w:p>
      <w:pPr>
        <w:keepNext w:val="0"/>
        <w:keepLines/>
        <w:pageBreakBefore w:val="0"/>
        <w:spacing w:after="40"/>
        <w:ind w:left="317" w:hanging="317"/>
      </w:pPr>
      <w:r>
        <w:rPr>
          <w:b w:val="0"/>
        </w:rPr>
        <w:t xml:space="preserve">5.  </w:t>
      </w:r>
      <w:r>
        <w:t>Clarify health, medication, substance, developmental, cultural, and environmental factors.</w:t>
      </w:r>
    </w:p>
    <w:p>
      <w:pPr>
        <w:keepNext w:val="0"/>
        <w:keepLines/>
        <w:pageBreakBefore w:val="0"/>
        <w:spacing w:after="40"/>
        <w:ind w:left="317" w:hanging="317"/>
      </w:pPr>
      <w:r>
        <w:rPr>
          <w:b w:val="0"/>
        </w:rPr>
        <w:t xml:space="preserve">6.  </w:t>
      </w:r>
      <w:r>
        <w:t>Obtain relevant collateral information or records within role and permission requirements.</w:t>
      </w:r>
    </w:p>
    <w:p>
      <w:pPr>
        <w:keepNext w:val="0"/>
        <w:keepLines/>
        <w:pageBreakBefore w:val="0"/>
        <w:spacing w:after="40"/>
        <w:ind w:left="317" w:hanging="317"/>
      </w:pPr>
      <w:r>
        <w:rPr>
          <w:b w:val="0"/>
        </w:rPr>
        <w:t xml:space="preserve">7.  </w:t>
      </w:r>
      <w:r>
        <w:t>Identify the most important missing information and consult or coordinate as needed.</w:t>
      </w:r>
    </w:p>
    <w:p>
      <w:pPr>
        <w:keepNext w:val="0"/>
        <w:keepLines/>
        <w:pageBreakBefore w:val="0"/>
        <w:spacing w:after="40"/>
        <w:ind w:left="317" w:hanging="317"/>
      </w:pPr>
      <w:r>
        <w:rPr>
          <w:b w:val="0"/>
        </w:rPr>
        <w:t xml:space="preserve">8.  </w:t>
      </w:r>
      <w:r>
        <w:t>Collaborate on the least restrictive safe treatment, service, resource, referral, advocacy, or discharge step.</w:t>
      </w:r>
    </w:p>
    <w:p>
      <w:pPr>
        <w:keepNext w:val="0"/>
        <w:keepLines/>
        <w:pageBreakBefore w:val="0"/>
        <w:spacing w:after="40"/>
        <w:ind w:left="317" w:hanging="317"/>
      </w:pPr>
      <w:r>
        <w:rPr>
          <w:b w:val="0"/>
        </w:rPr>
        <w:t xml:space="preserve">9.  </w:t>
      </w:r>
      <w:r>
        <w:t>Document and revise the assessment as information or circumstances change.</w:t>
      </w:r>
    </w:p>
    <w:tbl>
      <w:tblPr>
        <w:tblW w:type="auto" w:w="0"/>
        <w:jc w:val="center"/>
        <w:tblLayout w:type="fixed"/>
        <w:tblLook w:firstColumn="1" w:firstRow="1" w:lastColumn="0" w:lastRow="0" w:noHBand="0" w:noVBand="1" w:val="04A0"/>
      </w:tblPr>
      <w:tblGrid>
        <w:gridCol w:w="9936"/>
      </w:tblGrid>
      <w:tr>
        <w:trPr>
          <w:cantSplit/>
        </w:trPr>
        <w:tc>
          <w:tcPr>
            <w:tcW w:type="dxa" w:w="10080"/>
            <w:shd w:fill="FFF2CC"/>
            <w:tcMar>
              <w:top w:w="100" w:type="dxa"/>
              <w:start w:w="120" w:type="dxa"/>
              <w:bottom w:w="100" w:type="dxa"/>
              <w:end w:w="120" w:type="dxa"/>
            </w:tcMar>
          </w:tcPr>
          <w:p>
            <w:pPr>
              <w:spacing w:after="40"/>
            </w:pPr>
            <w:r>
              <w:rPr>
                <w:b/>
                <w:color w:val="1F4E78"/>
                <w:sz w:val="17"/>
              </w:rPr>
              <w:t>MEMORY AID</w:t>
            </w:r>
          </w:p>
          <w:p>
            <w:pPr>
              <w:spacing w:after="0"/>
            </w:pPr>
            <w:r>
              <w:rPr>
                <w:sz w:val="18"/>
              </w:rPr>
              <w:t>ROLE → ENGAGE → ASSESS PERSON → ASSESS ENVIRONMENT → CHECK HEALTH AND SAFETY → COLLABORATE → MAKE THE PLAN USABLE</w:t>
            </w:r>
          </w:p>
        </w:tc>
      </w:tr>
    </w:tbl>
    <w:p>
      <w:pPr>
        <w:spacing w:after="0" w:before="0" w:line="240" w:lineRule="auto"/>
      </w:pPr>
      <w:r>
        <w:rPr>
          <w:sz w:val="6"/>
        </w:rPr>
      </w:r>
    </w:p>
    <w:p>
      <w:pPr>
        <w:pStyle w:val="Heading1"/>
        <w:keepNext/>
        <w:keepLines/>
        <w:pageBreakBefore w:val="0"/>
      </w:pPr>
      <w:r>
        <w:t>Worked Examples</w:t>
      </w:r>
    </w:p>
    <w:tbl>
      <w:tblPr>
        <w:tblW w:type="auto" w:w="0"/>
        <w:jc w:val="center"/>
        <w:tblLayout w:type="fixed"/>
        <w:tblLook w:firstColumn="1" w:firstRow="1" w:lastColumn="0" w:lastRow="0" w:noHBand="0" w:noVBand="1" w:val="04A0"/>
      </w:tblPr>
      <w:tblGrid>
        <w:gridCol w:w="9936"/>
      </w:tblGrid>
      <w:tr>
        <w:trPr>
          <w:cantSplit/>
        </w:trPr>
        <w:tc>
          <w:tcPr>
            <w:tcW w:type="dxa" w:w="10080"/>
            <w:shd w:fill="DDEFEF"/>
            <w:tcMar>
              <w:top w:w="100" w:type="dxa"/>
              <w:start w:w="120" w:type="dxa"/>
              <w:bottom w:w="100" w:type="dxa"/>
              <w:end w:w="120" w:type="dxa"/>
            </w:tcMar>
          </w:tcPr>
          <w:p>
            <w:pPr>
              <w:spacing w:after="40"/>
            </w:pPr>
            <w:r>
              <w:rPr>
                <w:b/>
                <w:color w:val="1F4E78"/>
                <w:sz w:val="17"/>
              </w:rPr>
              <w:t>MANDATED AND ANGRY</w:t>
            </w:r>
          </w:p>
          <w:p>
            <w:pPr>
              <w:spacing w:after="0"/>
            </w:pPr>
            <w:r>
              <w:rPr>
                <w:sz w:val="18"/>
              </w:rPr>
              <w:t>A court-referred client challenges the social worker’s role and says the evaluation is unfair.</w:t>
            </w:r>
          </w:p>
        </w:tc>
      </w:tr>
    </w:tbl>
    <w:p>
      <w:pPr>
        <w:spacing w:after="0" w:before="0" w:line="240" w:lineRule="auto"/>
      </w:pPr>
      <w:r>
        <w:rPr>
          <w:sz w:val="6"/>
        </w:rPr>
      </w:r>
    </w:p>
    <w:p>
      <w:pPr>
        <w:spacing w:after="100"/>
      </w:pPr>
      <w:r>
        <w:t>A strong first response acknowledges the concern, explains the purpose and limits of the contact, and invites the client’s understanding and priorities. Immediate confrontation is less likely to build a usable working relationship.</w:t>
      </w:r>
    </w:p>
    <w:tbl>
      <w:tblPr>
        <w:tblW w:type="auto" w:w="0"/>
        <w:jc w:val="center"/>
        <w:tblLayout w:type="fixed"/>
        <w:tblLook w:firstColumn="1" w:firstRow="1" w:lastColumn="0" w:lastRow="0" w:noHBand="0" w:noVBand="1" w:val="04A0"/>
      </w:tblPr>
      <w:tblGrid>
        <w:gridCol w:w="9936"/>
      </w:tblGrid>
      <w:tr>
        <w:trPr>
          <w:cantSplit/>
        </w:trPr>
        <w:tc>
          <w:tcPr>
            <w:tcW w:type="dxa" w:w="10080"/>
            <w:shd w:fill="DDEFEF"/>
            <w:tcMar>
              <w:top w:w="100" w:type="dxa"/>
              <w:start w:w="120" w:type="dxa"/>
              <w:bottom w:w="100" w:type="dxa"/>
              <w:end w:w="120" w:type="dxa"/>
            </w:tcMar>
          </w:tcPr>
          <w:p>
            <w:pPr>
              <w:spacing w:after="40"/>
            </w:pPr>
            <w:r>
              <w:rPr>
                <w:b/>
                <w:color w:val="1F4E78"/>
                <w:sz w:val="17"/>
              </w:rPr>
              <w:t>CLINICAL AND CONCRETE NEEDS</w:t>
            </w:r>
          </w:p>
          <w:p>
            <w:pPr>
              <w:spacing w:after="0"/>
            </w:pPr>
            <w:r>
              <w:rPr>
                <w:sz w:val="18"/>
              </w:rPr>
              <w:t>A client seeks help after job loss and possible eviction and also reports insomnia and panic.</w:t>
            </w:r>
          </w:p>
        </w:tc>
      </w:tr>
    </w:tbl>
    <w:p>
      <w:pPr>
        <w:spacing w:after="0" w:before="0" w:line="240" w:lineRule="auto"/>
      </w:pPr>
      <w:r>
        <w:rPr>
          <w:sz w:val="6"/>
        </w:rPr>
      </w:r>
    </w:p>
    <w:p>
      <w:pPr>
        <w:spacing w:after="100"/>
      </w:pPr>
      <w:r>
        <w:t>Assess immediate housing risk, income, benefits, supports, emotional functioning, safety, access barriers, and client priorities before selecting either a resource or psychotherapy intervention.</w:t>
      </w:r>
    </w:p>
    <w:tbl>
      <w:tblPr>
        <w:tblW w:type="auto" w:w="0"/>
        <w:jc w:val="center"/>
        <w:tblLayout w:type="fixed"/>
        <w:tblLook w:firstColumn="1" w:firstRow="1" w:lastColumn="0" w:lastRow="0" w:noHBand="0" w:noVBand="1" w:val="04A0"/>
      </w:tblPr>
      <w:tblGrid>
        <w:gridCol w:w="9936"/>
      </w:tblGrid>
      <w:tr>
        <w:trPr>
          <w:cantSplit/>
        </w:trPr>
        <w:tc>
          <w:tcPr>
            <w:tcW w:type="dxa" w:w="10080"/>
            <w:shd w:fill="DDEFEF"/>
            <w:tcMar>
              <w:top w:w="100" w:type="dxa"/>
              <w:start w:w="120" w:type="dxa"/>
              <w:bottom w:w="100" w:type="dxa"/>
              <w:end w:w="120" w:type="dxa"/>
            </w:tcMar>
          </w:tcPr>
          <w:p>
            <w:pPr>
              <w:spacing w:after="40"/>
            </w:pPr>
            <w:r>
              <w:rPr>
                <w:b/>
                <w:color w:val="1F4E78"/>
                <w:sz w:val="17"/>
              </w:rPr>
              <w:t>DISCHARGE AND ACCESS</w:t>
            </w:r>
          </w:p>
          <w:p>
            <w:pPr>
              <w:spacing w:after="0"/>
            </w:pPr>
            <w:r>
              <w:rPr>
                <w:sz w:val="18"/>
              </w:rPr>
              <w:t>A client is medically stable but cannot afford medication or reach follow-up care.</w:t>
            </w:r>
          </w:p>
        </w:tc>
      </w:tr>
    </w:tbl>
    <w:p>
      <w:pPr>
        <w:spacing w:after="0" w:before="0" w:line="240" w:lineRule="auto"/>
      </w:pPr>
      <w:r>
        <w:rPr>
          <w:sz w:val="6"/>
        </w:rPr>
      </w:r>
    </w:p>
    <w:p>
      <w:pPr>
        <w:spacing w:after="100"/>
      </w:pPr>
      <w:r>
        <w:t>Coordinate with the client and team around insurance, pharmacy assistance, transportation, alternative follow-up options, immediate risk, and a realistic plan rather than documenting noncompliance.</w:t>
      </w:r>
    </w:p>
    <w:p>
      <w:pPr>
        <w:pStyle w:val="Heading1"/>
        <w:keepNext/>
        <w:keepLines/>
        <w:pageBreakBefore w:val="0"/>
      </w:pPr>
      <w:r>
        <w:t>Common Exam Traps</w:t>
      </w:r>
    </w:p>
    <w:tbl>
      <w:tblPr>
        <w:tblW w:type="auto" w:w="0"/>
        <w:jc w:val="center"/>
        <w:tblLayout w:type="fixed"/>
        <w:tblLook w:firstColumn="1" w:firstRow="1" w:lastColumn="0" w:lastRow="0" w:noHBand="0" w:noVBand="1" w:val="04A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5040"/>
        <w:gridCol w:w="5040"/>
      </w:tblGrid>
      <w:tr>
        <w:trPr>
          <w:tblHeader w:val="true"/>
          <w:cantSplit/>
        </w:trPr>
        <w:tc>
          <w:tcPr>
            <w:tcW w:type="dxa" w:w="3096"/>
            <w:shd w:fill="17365D"/>
            <w:tcMar>
              <w:top w:w="75" w:type="dxa"/>
              <w:start w:w="80" w:type="dxa"/>
              <w:bottom w:w="75" w:type="dxa"/>
              <w:end w:w="80" w:type="dxa"/>
            </w:tcMar>
          </w:tcPr>
          <w:p>
            <w:pPr>
              <w:jc w:val="left"/>
            </w:pPr>
            <w:r>
              <w:rPr>
                <w:b/>
                <w:color w:val="FFFFFF"/>
                <w:sz w:val="16"/>
              </w:rPr>
              <w:t>Trap</w:t>
            </w:r>
          </w:p>
        </w:tc>
        <w:tc>
          <w:tcPr>
            <w:tcW w:type="dxa" w:w="6840"/>
            <w:shd w:fill="17365D"/>
            <w:tcMar>
              <w:top w:w="75" w:type="dxa"/>
              <w:start w:w="80" w:type="dxa"/>
              <w:bottom w:w="75" w:type="dxa"/>
              <w:end w:w="80" w:type="dxa"/>
            </w:tcMar>
          </w:tcPr>
          <w:p>
            <w:pPr>
              <w:jc w:val="left"/>
            </w:pPr>
            <w:r>
              <w:rPr>
                <w:b/>
                <w:color w:val="FFFFFF"/>
                <w:sz w:val="16"/>
              </w:rPr>
              <w:t>Why It Fails</w:t>
            </w:r>
          </w:p>
        </w:tc>
      </w:tr>
      <w:tr>
        <w:trPr>
          <w:cantSplit/>
        </w:trPr>
        <w:tc>
          <w:tcPr>
            <w:tcW w:type="dxa" w:w="3096"/>
            <w:tcMar>
              <w:top w:w="65" w:type="dxa"/>
              <w:start w:w="75" w:type="dxa"/>
              <w:bottom w:w="65" w:type="dxa"/>
              <w:end w:w="75" w:type="dxa"/>
            </w:tcMar>
          </w:tcPr>
          <w:p>
            <w:pPr>
              <w:spacing w:after="0"/>
            </w:pPr>
            <w:r>
              <w:rPr>
                <w:sz w:val="16"/>
              </w:rPr>
              <w:t>Role ambiguity</w:t>
            </w:r>
          </w:p>
        </w:tc>
        <w:tc>
          <w:tcPr>
            <w:tcW w:type="dxa" w:w="6840"/>
            <w:tcMar>
              <w:top w:w="65" w:type="dxa"/>
              <w:start w:w="75" w:type="dxa"/>
              <w:bottom w:w="65" w:type="dxa"/>
              <w:end w:w="75" w:type="dxa"/>
            </w:tcMar>
          </w:tcPr>
          <w:p>
            <w:pPr>
              <w:spacing w:after="0"/>
            </w:pPr>
            <w:r>
              <w:rPr>
                <w:sz w:val="16"/>
              </w:rPr>
              <w:t>Beginning assessment without clarifying mandate, purpose, limits, or available choices.</w:t>
            </w:r>
          </w:p>
        </w:tc>
      </w:tr>
      <w:tr>
        <w:trPr>
          <w:cantSplit/>
        </w:trPr>
        <w:tc>
          <w:tcPr>
            <w:tcW w:type="dxa" w:w="3096"/>
            <w:tcMar>
              <w:top w:w="65" w:type="dxa"/>
              <w:start w:w="75" w:type="dxa"/>
              <w:bottom w:w="65" w:type="dxa"/>
              <w:end w:w="75" w:type="dxa"/>
            </w:tcMar>
            <w:shd w:fill="F2F2F2"/>
          </w:tcPr>
          <w:p>
            <w:pPr>
              <w:spacing w:after="0"/>
            </w:pPr>
            <w:r>
              <w:rPr>
                <w:sz w:val="16"/>
              </w:rPr>
              <w:t>Referral before assessment</w:t>
            </w:r>
          </w:p>
        </w:tc>
        <w:tc>
          <w:tcPr>
            <w:tcW w:type="dxa" w:w="6840"/>
            <w:tcMar>
              <w:top w:w="65" w:type="dxa"/>
              <w:start w:w="75" w:type="dxa"/>
              <w:bottom w:w="65" w:type="dxa"/>
              <w:end w:w="75" w:type="dxa"/>
            </w:tcMar>
            <w:shd w:fill="F2F2F2"/>
          </w:tcPr>
          <w:p>
            <w:pPr>
              <w:spacing w:after="0"/>
            </w:pPr>
            <w:r>
              <w:rPr>
                <w:sz w:val="16"/>
              </w:rPr>
              <w:t>Providing a resource that may not fit eligibility, access, language, location, or client preference.</w:t>
            </w:r>
          </w:p>
        </w:tc>
      </w:tr>
      <w:tr>
        <w:trPr>
          <w:cantSplit/>
        </w:trPr>
        <w:tc>
          <w:tcPr>
            <w:tcW w:type="dxa" w:w="3096"/>
            <w:tcMar>
              <w:top w:w="65" w:type="dxa"/>
              <w:start w:w="75" w:type="dxa"/>
              <w:bottom w:w="65" w:type="dxa"/>
              <w:end w:w="75" w:type="dxa"/>
            </w:tcMar>
          </w:tcPr>
          <w:p>
            <w:pPr>
              <w:spacing w:after="0"/>
            </w:pPr>
            <w:r>
              <w:rPr>
                <w:sz w:val="16"/>
              </w:rPr>
              <w:t>“Noncompliance” label</w:t>
            </w:r>
          </w:p>
        </w:tc>
        <w:tc>
          <w:tcPr>
            <w:tcW w:type="dxa" w:w="6840"/>
            <w:tcMar>
              <w:top w:w="65" w:type="dxa"/>
              <w:start w:w="75" w:type="dxa"/>
              <w:bottom w:w="65" w:type="dxa"/>
              <w:end w:w="75" w:type="dxa"/>
            </w:tcMar>
          </w:tcPr>
          <w:p>
            <w:pPr>
              <w:spacing w:after="0"/>
            </w:pPr>
            <w:r>
              <w:rPr>
                <w:sz w:val="16"/>
              </w:rPr>
              <w:t>Ignoring side effects, cost, transportation, understanding, beliefs, cognition, or competing needs.</w:t>
            </w:r>
          </w:p>
        </w:tc>
      </w:tr>
      <w:tr>
        <w:trPr>
          <w:cantSplit/>
        </w:trPr>
        <w:tc>
          <w:tcPr>
            <w:tcW w:type="dxa" w:w="3096"/>
            <w:tcMar>
              <w:top w:w="65" w:type="dxa"/>
              <w:start w:w="75" w:type="dxa"/>
              <w:bottom w:w="65" w:type="dxa"/>
              <w:end w:w="75" w:type="dxa"/>
            </w:tcMar>
            <w:shd w:fill="F2F2F2"/>
          </w:tcPr>
          <w:p>
            <w:pPr>
              <w:spacing w:after="0"/>
            </w:pPr>
            <w:r>
              <w:rPr>
                <w:sz w:val="16"/>
              </w:rPr>
              <w:t>Record as truth</w:t>
            </w:r>
          </w:p>
        </w:tc>
        <w:tc>
          <w:tcPr>
            <w:tcW w:type="dxa" w:w="6840"/>
            <w:tcMar>
              <w:top w:w="65" w:type="dxa"/>
              <w:start w:w="75" w:type="dxa"/>
              <w:bottom w:w="65" w:type="dxa"/>
              <w:end w:w="75" w:type="dxa"/>
            </w:tcMar>
            <w:shd w:fill="F2F2F2"/>
          </w:tcPr>
          <w:p>
            <w:pPr>
              <w:spacing w:after="0"/>
            </w:pPr>
            <w:r>
              <w:rPr>
                <w:sz w:val="16"/>
              </w:rPr>
              <w:t>Treating an old diagnosis or collateral opinion as conclusive without current assessment.</w:t>
            </w:r>
          </w:p>
        </w:tc>
      </w:tr>
      <w:tr>
        <w:trPr>
          <w:cantSplit/>
        </w:trPr>
        <w:tc>
          <w:tcPr>
            <w:tcW w:type="dxa" w:w="3096"/>
            <w:tcMar>
              <w:top w:w="65" w:type="dxa"/>
              <w:start w:w="75" w:type="dxa"/>
              <w:bottom w:w="65" w:type="dxa"/>
              <w:end w:w="75" w:type="dxa"/>
            </w:tcMar>
          </w:tcPr>
          <w:p>
            <w:pPr>
              <w:spacing w:after="0"/>
            </w:pPr>
            <w:r>
              <w:rPr>
                <w:sz w:val="16"/>
              </w:rPr>
              <w:t>Psychiatric overshadowing</w:t>
            </w:r>
          </w:p>
        </w:tc>
        <w:tc>
          <w:tcPr>
            <w:tcW w:type="dxa" w:w="6840"/>
            <w:tcMar>
              <w:top w:w="65" w:type="dxa"/>
              <w:start w:w="75" w:type="dxa"/>
              <w:bottom w:w="65" w:type="dxa"/>
              <w:end w:w="75" w:type="dxa"/>
            </w:tcMar>
          </w:tcPr>
          <w:p>
            <w:pPr>
              <w:spacing w:after="0"/>
            </w:pPr>
            <w:r>
              <w:rPr>
                <w:sz w:val="16"/>
              </w:rPr>
              <w:t>Ignoring medical, neurological, medication, or substance causes of new symptoms.</w:t>
            </w:r>
          </w:p>
        </w:tc>
      </w:tr>
      <w:tr>
        <w:trPr>
          <w:cantSplit/>
        </w:trPr>
        <w:tc>
          <w:tcPr>
            <w:tcW w:type="dxa" w:w="3096"/>
            <w:tcMar>
              <w:top w:w="65" w:type="dxa"/>
              <w:start w:w="75" w:type="dxa"/>
              <w:bottom w:w="65" w:type="dxa"/>
              <w:end w:w="75" w:type="dxa"/>
            </w:tcMar>
            <w:shd w:fill="F2F2F2"/>
          </w:tcPr>
          <w:p>
            <w:pPr>
              <w:spacing w:after="0"/>
            </w:pPr>
            <w:r>
              <w:rPr>
                <w:sz w:val="16"/>
              </w:rPr>
              <w:t>Restrictive care too soon</w:t>
            </w:r>
          </w:p>
        </w:tc>
        <w:tc>
          <w:tcPr>
            <w:tcW w:type="dxa" w:w="6840"/>
            <w:tcMar>
              <w:top w:w="65" w:type="dxa"/>
              <w:start w:w="75" w:type="dxa"/>
              <w:bottom w:w="65" w:type="dxa"/>
              <w:end w:w="75" w:type="dxa"/>
            </w:tcMar>
            <w:shd w:fill="F2F2F2"/>
          </w:tcPr>
          <w:p>
            <w:pPr>
              <w:spacing w:after="0"/>
            </w:pPr>
            <w:r>
              <w:rPr>
                <w:sz w:val="16"/>
              </w:rPr>
              <w:t>Choosing placement, hospitalization, or another restriction before the facts support it.</w:t>
            </w:r>
          </w:p>
        </w:tc>
      </w:tr>
      <w:tr>
        <w:trPr>
          <w:cantSplit/>
        </w:trPr>
        <w:tc>
          <w:tcPr>
            <w:tcW w:type="dxa" w:w="3096"/>
            <w:tcMar>
              <w:top w:w="65" w:type="dxa"/>
              <w:start w:w="75" w:type="dxa"/>
              <w:bottom w:w="65" w:type="dxa"/>
              <w:end w:w="75" w:type="dxa"/>
            </w:tcMar>
          </w:tcPr>
          <w:p>
            <w:pPr>
              <w:spacing w:after="0"/>
            </w:pPr>
            <w:r>
              <w:rPr>
                <w:sz w:val="16"/>
              </w:rPr>
              <w:t>Self-determination without assessment</w:t>
            </w:r>
          </w:p>
        </w:tc>
        <w:tc>
          <w:tcPr>
            <w:tcW w:type="dxa" w:w="6840"/>
            <w:tcMar>
              <w:top w:w="65" w:type="dxa"/>
              <w:start w:w="75" w:type="dxa"/>
              <w:bottom w:w="65" w:type="dxa"/>
              <w:end w:w="75" w:type="dxa"/>
            </w:tcMar>
          </w:tcPr>
          <w:p>
            <w:pPr>
              <w:spacing w:after="0"/>
            </w:pPr>
            <w:r>
              <w:rPr>
                <w:sz w:val="16"/>
              </w:rPr>
              <w:t>Equating client choice with immediate action while ignoring decision-making ability and safety.</w:t>
            </w:r>
          </w:p>
        </w:tc>
      </w:tr>
      <w:tr>
        <w:trPr>
          <w:cantSplit/>
        </w:trPr>
        <w:tc>
          <w:tcPr>
            <w:tcW w:type="dxa" w:w="3096"/>
            <w:tcMar>
              <w:top w:w="65" w:type="dxa"/>
              <w:start w:w="75" w:type="dxa"/>
              <w:bottom w:w="65" w:type="dxa"/>
              <w:end w:w="75" w:type="dxa"/>
            </w:tcMar>
            <w:shd w:fill="F2F2F2"/>
          </w:tcPr>
          <w:p>
            <w:pPr>
              <w:spacing w:after="0"/>
            </w:pPr>
            <w:r>
              <w:rPr>
                <w:sz w:val="16"/>
              </w:rPr>
              <w:t>Abstinence-only assumption</w:t>
            </w:r>
          </w:p>
        </w:tc>
        <w:tc>
          <w:tcPr>
            <w:tcW w:type="dxa" w:w="6840"/>
            <w:tcMar>
              <w:top w:w="65" w:type="dxa"/>
              <w:start w:w="75" w:type="dxa"/>
              <w:bottom w:w="65" w:type="dxa"/>
              <w:end w:w="75" w:type="dxa"/>
            </w:tcMar>
            <w:shd w:fill="F2F2F2"/>
          </w:tcPr>
          <w:p>
            <w:pPr>
              <w:spacing w:after="0"/>
            </w:pPr>
            <w:r>
              <w:rPr>
                <w:sz w:val="16"/>
              </w:rPr>
              <w:t>Rejecting engagement or harm reduction when the client is not ready for abstinence.</w:t>
            </w:r>
          </w:p>
        </w:tc>
      </w:tr>
    </w:tbl>
    <w:p>
      <w:pPr>
        <w:spacing w:after="0" w:before="0" w:line="240" w:lineRule="auto"/>
      </w:pPr>
      <w:r>
        <w:rPr>
          <w:sz w:val="8"/>
        </w:rPr>
      </w:r>
    </w:p>
    <w:p>
      <w:pPr>
        <w:pStyle w:val="Heading1"/>
        <w:keepNext/>
        <w:keepLines/>
        <w:pageBreakBefore w:val="0"/>
      </w:pPr>
      <w:r>
        <w:t>Integrated LCSW Assessment Map</w:t>
      </w:r>
    </w:p>
    <w:p>
      <w:pPr>
        <w:spacing w:after="100"/>
      </w:pPr>
      <w:r>
        <w:t>Use this worksheet to organize the person, environment, health-system context, and next decision before choosing an answer.</w:t>
      </w:r>
    </w:p>
    <w:tbl>
      <w:tblPr>
        <w:tblW w:type="auto" w:w="0"/>
        <w:jc w:val="center"/>
        <w:tblLayout w:type="fixed"/>
        <w:tblLook w:firstColumn="1" w:firstRow="1" w:lastColumn="0" w:lastRow="0" w:noHBand="0" w:noVBand="1" w:val="04A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5040"/>
        <w:gridCol w:w="5040"/>
      </w:tblGrid>
      <w:tr>
        <w:trPr>
          <w:tblHeader w:val="true"/>
          <w:cantSplit/>
        </w:trPr>
        <w:tc>
          <w:tcPr>
            <w:tcW w:type="dxa" w:w="7056"/>
            <w:gridSpan w:val="2"/>
            <w:shd w:fill="17365D"/>
            <w:tcMar>
              <w:top w:w="80" w:type="dxa"/>
              <w:start w:w="90" w:type="dxa"/>
              <w:bottom w:w="80" w:type="dxa"/>
              <w:end w:w="90" w:type="dxa"/>
            </w:tcMar>
          </w:tcPr>
          <w:p>
            <w:r>
              <w:rPr>
                <w:b/>
                <w:color w:val="FFFFFF"/>
                <w:sz w:val="18"/>
              </w:rPr>
              <w:t>Integrated LCSW Assessment Map</w:t>
            </w:r>
          </w:p>
        </w:tc>
      </w:tr>
      <w:tr>
        <w:trPr>
          <w:cantSplit/>
        </w:trPr>
        <w:tc>
          <w:tcPr>
            <w:tcW w:type="dxa" w:w="2880"/>
            <w:shd w:fill="EAF4F8"/>
            <w:tcMar>
              <w:top w:w="70" w:type="dxa"/>
              <w:start w:w="80" w:type="dxa"/>
              <w:bottom w:w="70" w:type="dxa"/>
              <w:end w:w="80" w:type="dxa"/>
            </w:tcMar>
          </w:tcPr>
          <w:p>
            <w:r>
              <w:rPr>
                <w:b/>
                <w:sz w:val="16"/>
              </w:rPr>
              <w:t>Role, referral, or mandate</w:t>
            </w:r>
          </w:p>
        </w:tc>
        <w:tc>
          <w:tcPr>
            <w:tcW w:type="dxa" w:w="7056"/>
            <w:tcMar>
              <w:top w:w="70" w:type="dxa"/>
              <w:start w:w="80" w:type="dxa"/>
              <w:bottom w:w="70" w:type="dxa"/>
              <w:end w:w="80" w:type="dxa"/>
            </w:tcMar>
          </w:tcPr>
          <w:p>
            <w:r>
              <w:t xml:space="preserve"> </w:t>
            </w:r>
          </w:p>
          <w:p>
            <w:r>
              <w:t xml:space="preserve"> </w:t>
            </w:r>
          </w:p>
        </w:tc>
      </w:tr>
      <w:tr>
        <w:trPr>
          <w:cantSplit/>
        </w:trPr>
        <w:tc>
          <w:tcPr>
            <w:tcW w:type="dxa" w:w="2880"/>
            <w:shd w:fill="EAF4F8"/>
            <w:tcMar>
              <w:top w:w="70" w:type="dxa"/>
              <w:start w:w="80" w:type="dxa"/>
              <w:bottom w:w="70" w:type="dxa"/>
              <w:end w:w="80" w:type="dxa"/>
            </w:tcMar>
          </w:tcPr>
          <w:p>
            <w:r>
              <w:rPr>
                <w:b/>
                <w:sz w:val="16"/>
              </w:rPr>
              <w:t>Client or client-system perspective and priorities</w:t>
            </w:r>
          </w:p>
        </w:tc>
        <w:tc>
          <w:tcPr>
            <w:tcW w:type="dxa" w:w="7056"/>
            <w:tcMar>
              <w:top w:w="70" w:type="dxa"/>
              <w:start w:w="80" w:type="dxa"/>
              <w:bottom w:w="70" w:type="dxa"/>
              <w:end w:w="80" w:type="dxa"/>
            </w:tcMar>
          </w:tcPr>
          <w:p>
            <w:r>
              <w:t xml:space="preserve"> </w:t>
            </w:r>
          </w:p>
          <w:p>
            <w:r>
              <w:t xml:space="preserve"> </w:t>
            </w:r>
          </w:p>
        </w:tc>
      </w:tr>
      <w:tr>
        <w:trPr>
          <w:cantSplit/>
        </w:trPr>
        <w:tc>
          <w:tcPr>
            <w:tcW w:type="dxa" w:w="2880"/>
            <w:shd w:fill="EAF4F8"/>
            <w:tcMar>
              <w:top w:w="70" w:type="dxa"/>
              <w:start w:w="80" w:type="dxa"/>
              <w:bottom w:w="70" w:type="dxa"/>
              <w:end w:w="80" w:type="dxa"/>
            </w:tcMar>
          </w:tcPr>
          <w:p>
            <w:r>
              <w:rPr>
                <w:b/>
                <w:sz w:val="16"/>
              </w:rPr>
              <w:t>Immediate safety, medical, or basic-needs urgency</w:t>
            </w:r>
          </w:p>
        </w:tc>
        <w:tc>
          <w:tcPr>
            <w:tcW w:type="dxa" w:w="7056"/>
            <w:tcMar>
              <w:top w:w="70" w:type="dxa"/>
              <w:start w:w="80" w:type="dxa"/>
              <w:bottom w:w="70" w:type="dxa"/>
              <w:end w:w="80" w:type="dxa"/>
            </w:tcMar>
          </w:tcPr>
          <w:p>
            <w:r>
              <w:t xml:space="preserve"> </w:t>
            </w:r>
          </w:p>
          <w:p>
            <w:r>
              <w:t xml:space="preserve"> </w:t>
            </w:r>
          </w:p>
        </w:tc>
      </w:tr>
      <w:tr>
        <w:trPr>
          <w:cantSplit/>
        </w:trPr>
        <w:tc>
          <w:tcPr>
            <w:tcW w:type="dxa" w:w="2880"/>
            <w:shd w:fill="EAF4F8"/>
            <w:tcMar>
              <w:top w:w="70" w:type="dxa"/>
              <w:start w:w="80" w:type="dxa"/>
              <w:bottom w:w="70" w:type="dxa"/>
              <w:end w:w="80" w:type="dxa"/>
            </w:tcMar>
          </w:tcPr>
          <w:p>
            <w:r>
              <w:rPr>
                <w:b/>
                <w:sz w:val="16"/>
              </w:rPr>
              <w:t>Symptoms, functioning, strengths, and MSE</w:t>
            </w:r>
          </w:p>
        </w:tc>
        <w:tc>
          <w:tcPr>
            <w:tcW w:type="dxa" w:w="7056"/>
            <w:tcMar>
              <w:top w:w="70" w:type="dxa"/>
              <w:start w:w="80" w:type="dxa"/>
              <w:bottom w:w="70" w:type="dxa"/>
              <w:end w:w="80" w:type="dxa"/>
            </w:tcMar>
          </w:tcPr>
          <w:p>
            <w:r>
              <w:t xml:space="preserve"> </w:t>
            </w:r>
          </w:p>
          <w:p>
            <w:r>
              <w:t xml:space="preserve"> </w:t>
            </w:r>
          </w:p>
        </w:tc>
      </w:tr>
      <w:tr>
        <w:trPr>
          <w:cantSplit/>
        </w:trPr>
        <w:tc>
          <w:tcPr>
            <w:tcW w:type="dxa" w:w="2880"/>
            <w:shd w:fill="EAF4F8"/>
            <w:tcMar>
              <w:top w:w="70" w:type="dxa"/>
              <w:start w:w="80" w:type="dxa"/>
              <w:bottom w:w="70" w:type="dxa"/>
              <w:end w:w="80" w:type="dxa"/>
            </w:tcMar>
          </w:tcPr>
          <w:p>
            <w:r>
              <w:rPr>
                <w:b/>
                <w:sz w:val="16"/>
              </w:rPr>
              <w:t>Health, medication, and substance factors</w:t>
            </w:r>
          </w:p>
        </w:tc>
        <w:tc>
          <w:tcPr>
            <w:tcW w:type="dxa" w:w="7056"/>
            <w:tcMar>
              <w:top w:w="70" w:type="dxa"/>
              <w:start w:w="80" w:type="dxa"/>
              <w:bottom w:w="70" w:type="dxa"/>
              <w:end w:w="80" w:type="dxa"/>
            </w:tcMar>
          </w:tcPr>
          <w:p>
            <w:r>
              <w:t xml:space="preserve"> </w:t>
            </w:r>
          </w:p>
          <w:p>
            <w:r>
              <w:t xml:space="preserve"> </w:t>
            </w:r>
          </w:p>
        </w:tc>
      </w:tr>
      <w:tr>
        <w:trPr>
          <w:cantSplit/>
        </w:trPr>
        <w:tc>
          <w:tcPr>
            <w:tcW w:type="dxa" w:w="2880"/>
            <w:shd w:fill="EAF4F8"/>
            <w:tcMar>
              <w:top w:w="70" w:type="dxa"/>
              <w:start w:w="80" w:type="dxa"/>
              <w:bottom w:w="70" w:type="dxa"/>
              <w:end w:w="80" w:type="dxa"/>
            </w:tcMar>
          </w:tcPr>
          <w:p>
            <w:r>
              <w:rPr>
                <w:b/>
                <w:sz w:val="16"/>
              </w:rPr>
              <w:t>Family, housing, income, transportation, and service context</w:t>
            </w:r>
          </w:p>
        </w:tc>
        <w:tc>
          <w:tcPr>
            <w:tcW w:type="dxa" w:w="7056"/>
            <w:tcMar>
              <w:top w:w="70" w:type="dxa"/>
              <w:start w:w="80" w:type="dxa"/>
              <w:bottom w:w="70" w:type="dxa"/>
              <w:end w:w="80" w:type="dxa"/>
            </w:tcMar>
          </w:tcPr>
          <w:p>
            <w:r>
              <w:t xml:space="preserve"> </w:t>
            </w:r>
          </w:p>
          <w:p>
            <w:r>
              <w:t xml:space="preserve"> </w:t>
            </w:r>
          </w:p>
        </w:tc>
      </w:tr>
      <w:tr>
        <w:trPr>
          <w:cantSplit/>
        </w:trPr>
        <w:tc>
          <w:tcPr>
            <w:tcW w:type="dxa" w:w="2880"/>
            <w:shd w:fill="EAF4F8"/>
            <w:tcMar>
              <w:top w:w="70" w:type="dxa"/>
              <w:start w:w="80" w:type="dxa"/>
              <w:bottom w:w="70" w:type="dxa"/>
              <w:end w:w="80" w:type="dxa"/>
            </w:tcMar>
          </w:tcPr>
          <w:p>
            <w:r>
              <w:rPr>
                <w:b/>
                <w:sz w:val="16"/>
              </w:rPr>
              <w:t>Culture, language, disability, and accessibility</w:t>
            </w:r>
          </w:p>
        </w:tc>
        <w:tc>
          <w:tcPr>
            <w:tcW w:type="dxa" w:w="7056"/>
            <w:tcMar>
              <w:top w:w="70" w:type="dxa"/>
              <w:start w:w="80" w:type="dxa"/>
              <w:bottom w:w="70" w:type="dxa"/>
              <w:end w:w="80" w:type="dxa"/>
            </w:tcMar>
          </w:tcPr>
          <w:p>
            <w:r>
              <w:t xml:space="preserve"> </w:t>
            </w:r>
          </w:p>
          <w:p>
            <w:r>
              <w:t xml:space="preserve"> </w:t>
            </w:r>
          </w:p>
        </w:tc>
      </w:tr>
      <w:tr>
        <w:trPr>
          <w:cantSplit/>
        </w:trPr>
        <w:tc>
          <w:tcPr>
            <w:tcW w:type="dxa" w:w="2880"/>
            <w:shd w:fill="EAF4F8"/>
            <w:tcMar>
              <w:top w:w="70" w:type="dxa"/>
              <w:start w:w="80" w:type="dxa"/>
              <w:bottom w:w="70" w:type="dxa"/>
              <w:end w:w="80" w:type="dxa"/>
            </w:tcMar>
          </w:tcPr>
          <w:p>
            <w:r>
              <w:rPr>
                <w:b/>
                <w:sz w:val="16"/>
              </w:rPr>
              <w:t>Records or collateral information and reliability</w:t>
            </w:r>
          </w:p>
        </w:tc>
        <w:tc>
          <w:tcPr>
            <w:tcW w:type="dxa" w:w="7056"/>
            <w:tcMar>
              <w:top w:w="70" w:type="dxa"/>
              <w:start w:w="80" w:type="dxa"/>
              <w:bottom w:w="70" w:type="dxa"/>
              <w:end w:w="80" w:type="dxa"/>
            </w:tcMar>
          </w:tcPr>
          <w:p>
            <w:r>
              <w:t xml:space="preserve"> </w:t>
            </w:r>
          </w:p>
          <w:p>
            <w:r>
              <w:t xml:space="preserve"> </w:t>
            </w:r>
          </w:p>
        </w:tc>
      </w:tr>
      <w:tr>
        <w:trPr>
          <w:cantSplit/>
        </w:trPr>
        <w:tc>
          <w:tcPr>
            <w:tcW w:type="dxa" w:w="2880"/>
            <w:shd w:fill="EAF4F8"/>
            <w:tcMar>
              <w:top w:w="70" w:type="dxa"/>
              <w:start w:w="80" w:type="dxa"/>
              <w:bottom w:w="70" w:type="dxa"/>
              <w:end w:w="80" w:type="dxa"/>
            </w:tcMar>
          </w:tcPr>
          <w:p>
            <w:r>
              <w:rPr>
                <w:b/>
                <w:sz w:val="16"/>
              </w:rPr>
              <w:t>Missing information, consultation, or coordination</w:t>
            </w:r>
          </w:p>
        </w:tc>
        <w:tc>
          <w:tcPr>
            <w:tcW w:type="dxa" w:w="7056"/>
            <w:tcMar>
              <w:top w:w="70" w:type="dxa"/>
              <w:start w:w="80" w:type="dxa"/>
              <w:bottom w:w="70" w:type="dxa"/>
              <w:end w:w="80" w:type="dxa"/>
            </w:tcMar>
          </w:tcPr>
          <w:p>
            <w:r>
              <w:t xml:space="preserve"> </w:t>
            </w:r>
          </w:p>
          <w:p>
            <w:r>
              <w:t xml:space="preserve"> </w:t>
            </w:r>
          </w:p>
        </w:tc>
      </w:tr>
      <w:tr>
        <w:trPr>
          <w:cantSplit/>
        </w:trPr>
        <w:tc>
          <w:tcPr>
            <w:tcW w:type="dxa" w:w="2880"/>
            <w:shd w:fill="EAF4F8"/>
            <w:tcMar>
              <w:top w:w="70" w:type="dxa"/>
              <w:start w:w="80" w:type="dxa"/>
              <w:bottom w:w="70" w:type="dxa"/>
              <w:end w:w="80" w:type="dxa"/>
            </w:tcMar>
          </w:tcPr>
          <w:p>
            <w:r>
              <w:rPr>
                <w:b/>
                <w:sz w:val="16"/>
              </w:rPr>
              <w:t>Least restrictive safe and usable next step</w:t>
            </w:r>
          </w:p>
        </w:tc>
        <w:tc>
          <w:tcPr>
            <w:tcW w:type="dxa" w:w="7056"/>
            <w:tcMar>
              <w:top w:w="70" w:type="dxa"/>
              <w:start w:w="80" w:type="dxa"/>
              <w:bottom w:w="70" w:type="dxa"/>
              <w:end w:w="80" w:type="dxa"/>
            </w:tcMar>
          </w:tcPr>
          <w:p>
            <w:r>
              <w:t xml:space="preserve"> </w:t>
            </w:r>
          </w:p>
          <w:p>
            <w:r>
              <w:t xml:space="preserve"> </w:t>
            </w:r>
          </w:p>
        </w:tc>
      </w:tr>
    </w:tbl>
    <w:p>
      <w:pPr>
        <w:spacing w:after="0" w:before="0" w:line="240" w:lineRule="auto"/>
      </w:pPr>
      <w:r>
        <w:rPr>
          <w:sz w:val="8"/>
        </w:rPr>
      </w:r>
    </w:p>
    <w:p>
      <w:pPr>
        <w:pStyle w:val="Heading1"/>
        <w:keepNext/>
        <w:keepLines/>
        <w:pageBreakBefore w:val="0"/>
      </w:pPr>
      <w:r>
        <w:t>Chapter Summary</w:t>
      </w:r>
    </w:p>
    <w:p>
      <w:pPr>
        <w:pStyle w:val="ListBullet"/>
        <w:keepNext w:val="0"/>
        <w:keepLines/>
        <w:pageBreakBefore w:val="0"/>
        <w:spacing w:after="40"/>
      </w:pPr>
      <w:r>
        <w:t>Role clarity, transparency, accessible communication, and validation support engagement in voluntary, mandated, medical, and community settings.</w:t>
      </w:r>
    </w:p>
    <w:p>
      <w:pPr>
        <w:pStyle w:val="ListBullet"/>
        <w:keepNext w:val="0"/>
        <w:keepLines/>
        <w:pageBreakBefore w:val="0"/>
        <w:spacing w:after="40"/>
      </w:pPr>
      <w:r>
        <w:t>Assessment involves the client or client system in defining concerns, strengths, functioning, needs, barriers, resources, readiness, and priorities.</w:t>
      </w:r>
    </w:p>
    <w:p>
      <w:pPr>
        <w:pStyle w:val="ListBullet"/>
        <w:keepNext w:val="0"/>
        <w:keepLines/>
        <w:pageBreakBefore w:val="0"/>
        <w:spacing w:after="40"/>
      </w:pPr>
      <w:r>
        <w:t>Sensitive questions should be relevant, behaviorally specific, transparent, and paced; collateral information and records supplement rather than replace current assessment.</w:t>
      </w:r>
    </w:p>
    <w:p>
      <w:pPr>
        <w:pStyle w:val="ListBullet"/>
        <w:keepNext w:val="0"/>
        <w:keepLines/>
        <w:pageBreakBefore w:val="0"/>
        <w:spacing w:after="40"/>
      </w:pPr>
      <w:r>
        <w:t>Mental-status findings must be integrated with baseline, health, medication, substance, developmental, cultural, relational, and environmental information.</w:t>
      </w:r>
    </w:p>
    <w:p>
      <w:pPr>
        <w:pStyle w:val="ListBullet"/>
        <w:keepNext w:val="0"/>
        <w:keepLines/>
        <w:pageBreakBefore w:val="0"/>
        <w:spacing w:after="40"/>
      </w:pPr>
      <w:r>
        <w:t>The strongest exam response addresses urgent risk, fills the most important information gap, and creates the least restrictive plan that is safe, collaborative, accessible, and realistic.</w:t>
      </w:r>
    </w:p>
    <w:tbl>
      <w:tblPr>
        <w:tblW w:type="auto" w:w="0"/>
        <w:jc w:val="center"/>
        <w:tblLayout w:type="fixed"/>
        <w:tblLook w:firstColumn="1" w:firstRow="1" w:lastColumn="0" w:lastRow="0" w:noHBand="0" w:noVBand="1" w:val="04A0"/>
      </w:tblPr>
      <w:tblGrid>
        <w:gridCol w:w="9936"/>
      </w:tblGrid>
      <w:tr>
        <w:trPr>
          <w:cantSplit/>
        </w:trPr>
        <w:tc>
          <w:tcPr>
            <w:tcW w:type="dxa" w:w="10080"/>
            <w:shd w:fill="FFF2CC"/>
            <w:tcMar>
              <w:top w:w="100" w:type="dxa"/>
              <w:start w:w="120" w:type="dxa"/>
              <w:bottom w:w="100" w:type="dxa"/>
              <w:end w:w="120" w:type="dxa"/>
            </w:tcMar>
          </w:tcPr>
          <w:p>
            <w:pPr>
              <w:spacing w:after="40"/>
            </w:pPr>
            <w:r>
              <w:rPr>
                <w:b/>
                <w:color w:val="1F4E78"/>
                <w:sz w:val="17"/>
              </w:rPr>
              <w:t>FINAL MEMORY AID</w:t>
            </w:r>
          </w:p>
          <w:p>
            <w:pPr>
              <w:spacing w:after="0"/>
            </w:pPr>
            <w:r>
              <w:rPr>
                <w:sz w:val="18"/>
              </w:rPr>
              <w:t>ROLE — Clarify purpose and limits. ENGAGE — Acknowledge and invite participation. ASSESS PERSON — Symptoms, functioning, MSE, strengths, safety. ASSESS ENVIRONMENT — Family, housing, income, culture, access, systems. CHECK HEALTH — Medical, medication, substance, and urgency. COLLABORATE — Integrate records and team input. USABLE PLAN — Match the next step to choice, safety, eligibility, and follow-through.</w:t>
            </w:r>
          </w:p>
        </w:tc>
      </w:tr>
    </w:tbl>
    <w:p>
      <w:pPr>
        <w:spacing w:after="0" w:before="0" w:line="240" w:lineRule="auto"/>
      </w:pPr>
      <w:r>
        <w:rPr>
          <w:sz w:val="6"/>
        </w:rPr>
      </w:r>
    </w:p>
    <w:p>
      <w:pPr>
        <w:pStyle w:val="Heading1"/>
        <w:keepNext/>
        <w:keepLines/>
        <w:pageBreakBefore/>
      </w:pPr>
      <w:r>
        <w:t>Knowledge Check</w:t>
      </w:r>
    </w:p>
    <w:p>
      <w:pPr>
        <w:spacing w:after="100"/>
      </w:pPr>
      <w:r>
        <w:t>Complete all 10 original CTA practice questions before reviewing the answer key. Record your answer and confidence level. The set follows the CTA progression from recall to application, scenario analysis, and integrated challenge reasoning.</w:t>
      </w:r>
    </w:p>
    <w:tbl>
      <w:tblPr>
        <w:tblW w:type="auto" w:w="0"/>
        <w:jc w:val="center"/>
        <w:tblLayout w:type="fixed"/>
        <w:tblLook w:firstColumn="1" w:firstRow="1" w:lastColumn="0" w:lastRow="0" w:noHBand="0" w:noVBand="1" w:val="04A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520"/>
        <w:gridCol w:w="2520"/>
        <w:gridCol w:w="2520"/>
        <w:gridCol w:w="2520"/>
      </w:tblGrid>
      <w:tr>
        <w:trPr>
          <w:tblHeader w:val="true"/>
          <w:cantSplit/>
        </w:trPr>
        <w:tc>
          <w:tcPr>
            <w:tcW w:type="dxa" w:w="1008"/>
            <w:shd w:fill="17365D"/>
            <w:tcMar>
              <w:top w:w="55" w:type="dxa"/>
              <w:start w:w="65" w:type="dxa"/>
              <w:bottom w:w="55" w:type="dxa"/>
              <w:end w:w="65" w:type="dxa"/>
            </w:tcMar>
          </w:tcPr>
          <w:p>
            <w:r>
              <w:rPr>
                <w:b/>
                <w:color w:val="FFFFFF"/>
                <w:sz w:val="16"/>
              </w:rPr>
              <w:t>Question</w:t>
            </w:r>
          </w:p>
        </w:tc>
        <w:tc>
          <w:tcPr>
            <w:tcW w:type="dxa" w:w="2304"/>
            <w:shd w:fill="17365D"/>
            <w:tcMar>
              <w:top w:w="55" w:type="dxa"/>
              <w:start w:w="65" w:type="dxa"/>
              <w:bottom w:w="55" w:type="dxa"/>
              <w:end w:w="65" w:type="dxa"/>
            </w:tcMar>
          </w:tcPr>
          <w:p>
            <w:r>
              <w:rPr>
                <w:b/>
                <w:color w:val="FFFFFF"/>
                <w:sz w:val="16"/>
              </w:rPr>
              <w:t>Your Answer</w:t>
            </w:r>
          </w:p>
        </w:tc>
        <w:tc>
          <w:tcPr>
            <w:tcW w:type="dxa" w:w="2880"/>
            <w:shd w:fill="17365D"/>
            <w:tcMar>
              <w:top w:w="55" w:type="dxa"/>
              <w:start w:w="65" w:type="dxa"/>
              <w:bottom w:w="55" w:type="dxa"/>
              <w:end w:w="65" w:type="dxa"/>
            </w:tcMar>
          </w:tcPr>
          <w:p>
            <w:r>
              <w:rPr>
                <w:b/>
                <w:color w:val="FFFFFF"/>
                <w:sz w:val="16"/>
              </w:rPr>
              <w:t>Confidence (1-3)</w:t>
            </w:r>
          </w:p>
        </w:tc>
        <w:tc>
          <w:tcPr>
            <w:tcW w:type="dxa" w:w="3744"/>
            <w:shd w:fill="17365D"/>
            <w:tcMar>
              <w:top w:w="55" w:type="dxa"/>
              <w:start w:w="65" w:type="dxa"/>
              <w:bottom w:w="55" w:type="dxa"/>
              <w:end w:w="65" w:type="dxa"/>
            </w:tcMar>
          </w:tcPr>
          <w:p>
            <w:r>
              <w:rPr>
                <w:b/>
                <w:color w:val="FFFFFF"/>
                <w:sz w:val="16"/>
              </w:rPr>
              <w:t>Review?</w:t>
            </w:r>
          </w:p>
        </w:tc>
      </w:tr>
      <w:tr>
        <w:trPr>
          <w:cantSplit/>
        </w:trPr>
        <w:tc>
          <w:tcPr>
            <w:tcW w:type="dxa" w:w="1008"/>
            <w:tcMar>
              <w:top w:w="45" w:type="dxa"/>
              <w:start w:w="60" w:type="dxa"/>
              <w:bottom w:w="45" w:type="dxa"/>
              <w:end w:w="60" w:type="dxa"/>
            </w:tcMar>
          </w:tcPr>
          <w:p>
            <w:r>
              <w:rPr>
                <w:sz w:val="16"/>
              </w:rPr>
              <w:t>1</w:t>
            </w:r>
          </w:p>
        </w:tc>
        <w:tc>
          <w:tcPr>
            <w:tcW w:type="dxa" w:w="2304"/>
            <w:tcMar>
              <w:top w:w="45" w:type="dxa"/>
              <w:start w:w="60" w:type="dxa"/>
              <w:bottom w:w="45" w:type="dxa"/>
              <w:end w:w="60" w:type="dxa"/>
            </w:tcMar>
          </w:tcPr>
          <w:p>
            <w:r>
              <w:rPr>
                <w:sz w:val="16"/>
              </w:rPr>
            </w:r>
          </w:p>
        </w:tc>
        <w:tc>
          <w:tcPr>
            <w:tcW w:type="dxa" w:w="2880"/>
            <w:tcMar>
              <w:top w:w="45" w:type="dxa"/>
              <w:start w:w="60" w:type="dxa"/>
              <w:bottom w:w="45" w:type="dxa"/>
              <w:end w:w="60" w:type="dxa"/>
            </w:tcMar>
          </w:tcPr>
          <w:p>
            <w:r>
              <w:rPr>
                <w:sz w:val="16"/>
              </w:rPr>
            </w:r>
          </w:p>
        </w:tc>
        <w:tc>
          <w:tcPr>
            <w:tcW w:type="dxa" w:w="3744"/>
            <w:tcMar>
              <w:top w:w="45" w:type="dxa"/>
              <w:start w:w="60" w:type="dxa"/>
              <w:bottom w:w="45" w:type="dxa"/>
              <w:end w:w="60" w:type="dxa"/>
            </w:tcMar>
          </w:tcPr>
          <w:p>
            <w:r>
              <w:rPr>
                <w:sz w:val="16"/>
              </w:rPr>
            </w:r>
          </w:p>
        </w:tc>
      </w:tr>
      <w:tr>
        <w:trPr>
          <w:cantSplit/>
        </w:trPr>
        <w:tc>
          <w:tcPr>
            <w:tcW w:type="dxa" w:w="1008"/>
            <w:tcMar>
              <w:top w:w="45" w:type="dxa"/>
              <w:start w:w="60" w:type="dxa"/>
              <w:bottom w:w="45" w:type="dxa"/>
              <w:end w:w="60" w:type="dxa"/>
            </w:tcMar>
            <w:shd w:fill="F2F2F2"/>
          </w:tcPr>
          <w:p>
            <w:r>
              <w:rPr>
                <w:sz w:val="16"/>
              </w:rPr>
              <w:t>2</w:t>
            </w:r>
          </w:p>
        </w:tc>
        <w:tc>
          <w:tcPr>
            <w:tcW w:type="dxa" w:w="2304"/>
            <w:tcMar>
              <w:top w:w="45" w:type="dxa"/>
              <w:start w:w="60" w:type="dxa"/>
              <w:bottom w:w="45" w:type="dxa"/>
              <w:end w:w="60" w:type="dxa"/>
            </w:tcMar>
            <w:shd w:fill="F2F2F2"/>
          </w:tcPr>
          <w:p>
            <w:r>
              <w:rPr>
                <w:sz w:val="16"/>
              </w:rPr>
            </w:r>
          </w:p>
        </w:tc>
        <w:tc>
          <w:tcPr>
            <w:tcW w:type="dxa" w:w="2880"/>
            <w:tcMar>
              <w:top w:w="45" w:type="dxa"/>
              <w:start w:w="60" w:type="dxa"/>
              <w:bottom w:w="45" w:type="dxa"/>
              <w:end w:w="60" w:type="dxa"/>
            </w:tcMar>
            <w:shd w:fill="F2F2F2"/>
          </w:tcPr>
          <w:p>
            <w:r>
              <w:rPr>
                <w:sz w:val="16"/>
              </w:rPr>
            </w:r>
          </w:p>
        </w:tc>
        <w:tc>
          <w:tcPr>
            <w:tcW w:type="dxa" w:w="3744"/>
            <w:tcMar>
              <w:top w:w="45" w:type="dxa"/>
              <w:start w:w="60" w:type="dxa"/>
              <w:bottom w:w="45" w:type="dxa"/>
              <w:end w:w="60" w:type="dxa"/>
            </w:tcMar>
            <w:shd w:fill="F2F2F2"/>
          </w:tcPr>
          <w:p>
            <w:r>
              <w:rPr>
                <w:sz w:val="16"/>
              </w:rPr>
            </w:r>
          </w:p>
        </w:tc>
      </w:tr>
      <w:tr>
        <w:trPr>
          <w:cantSplit/>
        </w:trPr>
        <w:tc>
          <w:tcPr>
            <w:tcW w:type="dxa" w:w="1008"/>
            <w:tcMar>
              <w:top w:w="45" w:type="dxa"/>
              <w:start w:w="60" w:type="dxa"/>
              <w:bottom w:w="45" w:type="dxa"/>
              <w:end w:w="60" w:type="dxa"/>
            </w:tcMar>
          </w:tcPr>
          <w:p>
            <w:r>
              <w:rPr>
                <w:sz w:val="16"/>
              </w:rPr>
              <w:t>3</w:t>
            </w:r>
          </w:p>
        </w:tc>
        <w:tc>
          <w:tcPr>
            <w:tcW w:type="dxa" w:w="2304"/>
            <w:tcMar>
              <w:top w:w="45" w:type="dxa"/>
              <w:start w:w="60" w:type="dxa"/>
              <w:bottom w:w="45" w:type="dxa"/>
              <w:end w:w="60" w:type="dxa"/>
            </w:tcMar>
          </w:tcPr>
          <w:p>
            <w:r>
              <w:rPr>
                <w:sz w:val="16"/>
              </w:rPr>
            </w:r>
          </w:p>
        </w:tc>
        <w:tc>
          <w:tcPr>
            <w:tcW w:type="dxa" w:w="2880"/>
            <w:tcMar>
              <w:top w:w="45" w:type="dxa"/>
              <w:start w:w="60" w:type="dxa"/>
              <w:bottom w:w="45" w:type="dxa"/>
              <w:end w:w="60" w:type="dxa"/>
            </w:tcMar>
          </w:tcPr>
          <w:p>
            <w:r>
              <w:rPr>
                <w:sz w:val="16"/>
              </w:rPr>
            </w:r>
          </w:p>
        </w:tc>
        <w:tc>
          <w:tcPr>
            <w:tcW w:type="dxa" w:w="3744"/>
            <w:tcMar>
              <w:top w:w="45" w:type="dxa"/>
              <w:start w:w="60" w:type="dxa"/>
              <w:bottom w:w="45" w:type="dxa"/>
              <w:end w:w="60" w:type="dxa"/>
            </w:tcMar>
          </w:tcPr>
          <w:p>
            <w:r>
              <w:rPr>
                <w:sz w:val="16"/>
              </w:rPr>
            </w:r>
          </w:p>
        </w:tc>
      </w:tr>
      <w:tr>
        <w:trPr>
          <w:cantSplit/>
        </w:trPr>
        <w:tc>
          <w:tcPr>
            <w:tcW w:type="dxa" w:w="1008"/>
            <w:tcMar>
              <w:top w:w="45" w:type="dxa"/>
              <w:start w:w="60" w:type="dxa"/>
              <w:bottom w:w="45" w:type="dxa"/>
              <w:end w:w="60" w:type="dxa"/>
            </w:tcMar>
            <w:shd w:fill="F2F2F2"/>
          </w:tcPr>
          <w:p>
            <w:r>
              <w:rPr>
                <w:sz w:val="16"/>
              </w:rPr>
              <w:t>4</w:t>
            </w:r>
          </w:p>
        </w:tc>
        <w:tc>
          <w:tcPr>
            <w:tcW w:type="dxa" w:w="2304"/>
            <w:tcMar>
              <w:top w:w="45" w:type="dxa"/>
              <w:start w:w="60" w:type="dxa"/>
              <w:bottom w:w="45" w:type="dxa"/>
              <w:end w:w="60" w:type="dxa"/>
            </w:tcMar>
            <w:shd w:fill="F2F2F2"/>
          </w:tcPr>
          <w:p>
            <w:r>
              <w:rPr>
                <w:sz w:val="16"/>
              </w:rPr>
            </w:r>
          </w:p>
        </w:tc>
        <w:tc>
          <w:tcPr>
            <w:tcW w:type="dxa" w:w="2880"/>
            <w:tcMar>
              <w:top w:w="45" w:type="dxa"/>
              <w:start w:w="60" w:type="dxa"/>
              <w:bottom w:w="45" w:type="dxa"/>
              <w:end w:w="60" w:type="dxa"/>
            </w:tcMar>
            <w:shd w:fill="F2F2F2"/>
          </w:tcPr>
          <w:p>
            <w:r>
              <w:rPr>
                <w:sz w:val="16"/>
              </w:rPr>
            </w:r>
          </w:p>
        </w:tc>
        <w:tc>
          <w:tcPr>
            <w:tcW w:type="dxa" w:w="3744"/>
            <w:tcMar>
              <w:top w:w="45" w:type="dxa"/>
              <w:start w:w="60" w:type="dxa"/>
              <w:bottom w:w="45" w:type="dxa"/>
              <w:end w:w="60" w:type="dxa"/>
            </w:tcMar>
            <w:shd w:fill="F2F2F2"/>
          </w:tcPr>
          <w:p>
            <w:r>
              <w:rPr>
                <w:sz w:val="16"/>
              </w:rPr>
            </w:r>
          </w:p>
        </w:tc>
      </w:tr>
      <w:tr>
        <w:trPr>
          <w:cantSplit/>
        </w:trPr>
        <w:tc>
          <w:tcPr>
            <w:tcW w:type="dxa" w:w="1008"/>
            <w:tcMar>
              <w:top w:w="45" w:type="dxa"/>
              <w:start w:w="60" w:type="dxa"/>
              <w:bottom w:w="45" w:type="dxa"/>
              <w:end w:w="60" w:type="dxa"/>
            </w:tcMar>
          </w:tcPr>
          <w:p>
            <w:r>
              <w:rPr>
                <w:sz w:val="16"/>
              </w:rPr>
              <w:t>5</w:t>
            </w:r>
          </w:p>
        </w:tc>
        <w:tc>
          <w:tcPr>
            <w:tcW w:type="dxa" w:w="2304"/>
            <w:tcMar>
              <w:top w:w="45" w:type="dxa"/>
              <w:start w:w="60" w:type="dxa"/>
              <w:bottom w:w="45" w:type="dxa"/>
              <w:end w:w="60" w:type="dxa"/>
            </w:tcMar>
          </w:tcPr>
          <w:p>
            <w:r>
              <w:rPr>
                <w:sz w:val="16"/>
              </w:rPr>
            </w:r>
          </w:p>
        </w:tc>
        <w:tc>
          <w:tcPr>
            <w:tcW w:type="dxa" w:w="2880"/>
            <w:tcMar>
              <w:top w:w="45" w:type="dxa"/>
              <w:start w:w="60" w:type="dxa"/>
              <w:bottom w:w="45" w:type="dxa"/>
              <w:end w:w="60" w:type="dxa"/>
            </w:tcMar>
          </w:tcPr>
          <w:p>
            <w:r>
              <w:rPr>
                <w:sz w:val="16"/>
              </w:rPr>
            </w:r>
          </w:p>
        </w:tc>
        <w:tc>
          <w:tcPr>
            <w:tcW w:type="dxa" w:w="3744"/>
            <w:tcMar>
              <w:top w:w="45" w:type="dxa"/>
              <w:start w:w="60" w:type="dxa"/>
              <w:bottom w:w="45" w:type="dxa"/>
              <w:end w:w="60" w:type="dxa"/>
            </w:tcMar>
          </w:tcPr>
          <w:p>
            <w:r>
              <w:rPr>
                <w:sz w:val="16"/>
              </w:rPr>
            </w:r>
          </w:p>
        </w:tc>
      </w:tr>
      <w:tr>
        <w:trPr>
          <w:cantSplit/>
        </w:trPr>
        <w:tc>
          <w:tcPr>
            <w:tcW w:type="dxa" w:w="1008"/>
            <w:tcMar>
              <w:top w:w="45" w:type="dxa"/>
              <w:start w:w="60" w:type="dxa"/>
              <w:bottom w:w="45" w:type="dxa"/>
              <w:end w:w="60" w:type="dxa"/>
            </w:tcMar>
            <w:shd w:fill="F2F2F2"/>
          </w:tcPr>
          <w:p>
            <w:r>
              <w:rPr>
                <w:sz w:val="16"/>
              </w:rPr>
              <w:t>6</w:t>
            </w:r>
          </w:p>
        </w:tc>
        <w:tc>
          <w:tcPr>
            <w:tcW w:type="dxa" w:w="2304"/>
            <w:tcMar>
              <w:top w:w="45" w:type="dxa"/>
              <w:start w:w="60" w:type="dxa"/>
              <w:bottom w:w="45" w:type="dxa"/>
              <w:end w:w="60" w:type="dxa"/>
            </w:tcMar>
            <w:shd w:fill="F2F2F2"/>
          </w:tcPr>
          <w:p>
            <w:r>
              <w:rPr>
                <w:sz w:val="16"/>
              </w:rPr>
            </w:r>
          </w:p>
        </w:tc>
        <w:tc>
          <w:tcPr>
            <w:tcW w:type="dxa" w:w="2880"/>
            <w:tcMar>
              <w:top w:w="45" w:type="dxa"/>
              <w:start w:w="60" w:type="dxa"/>
              <w:bottom w:w="45" w:type="dxa"/>
              <w:end w:w="60" w:type="dxa"/>
            </w:tcMar>
            <w:shd w:fill="F2F2F2"/>
          </w:tcPr>
          <w:p>
            <w:r>
              <w:rPr>
                <w:sz w:val="16"/>
              </w:rPr>
            </w:r>
          </w:p>
        </w:tc>
        <w:tc>
          <w:tcPr>
            <w:tcW w:type="dxa" w:w="3744"/>
            <w:tcMar>
              <w:top w:w="45" w:type="dxa"/>
              <w:start w:w="60" w:type="dxa"/>
              <w:bottom w:w="45" w:type="dxa"/>
              <w:end w:w="60" w:type="dxa"/>
            </w:tcMar>
            <w:shd w:fill="F2F2F2"/>
          </w:tcPr>
          <w:p>
            <w:r>
              <w:rPr>
                <w:sz w:val="16"/>
              </w:rPr>
            </w:r>
          </w:p>
        </w:tc>
      </w:tr>
      <w:tr>
        <w:trPr>
          <w:cantSplit/>
        </w:trPr>
        <w:tc>
          <w:tcPr>
            <w:tcW w:type="dxa" w:w="1008"/>
            <w:tcMar>
              <w:top w:w="45" w:type="dxa"/>
              <w:start w:w="60" w:type="dxa"/>
              <w:bottom w:w="45" w:type="dxa"/>
              <w:end w:w="60" w:type="dxa"/>
            </w:tcMar>
          </w:tcPr>
          <w:p>
            <w:r>
              <w:rPr>
                <w:sz w:val="16"/>
              </w:rPr>
              <w:t>7</w:t>
            </w:r>
          </w:p>
        </w:tc>
        <w:tc>
          <w:tcPr>
            <w:tcW w:type="dxa" w:w="2304"/>
            <w:tcMar>
              <w:top w:w="45" w:type="dxa"/>
              <w:start w:w="60" w:type="dxa"/>
              <w:bottom w:w="45" w:type="dxa"/>
              <w:end w:w="60" w:type="dxa"/>
            </w:tcMar>
          </w:tcPr>
          <w:p>
            <w:r>
              <w:rPr>
                <w:sz w:val="16"/>
              </w:rPr>
            </w:r>
          </w:p>
        </w:tc>
        <w:tc>
          <w:tcPr>
            <w:tcW w:type="dxa" w:w="2880"/>
            <w:tcMar>
              <w:top w:w="45" w:type="dxa"/>
              <w:start w:w="60" w:type="dxa"/>
              <w:bottom w:w="45" w:type="dxa"/>
              <w:end w:w="60" w:type="dxa"/>
            </w:tcMar>
          </w:tcPr>
          <w:p>
            <w:r>
              <w:rPr>
                <w:sz w:val="16"/>
              </w:rPr>
            </w:r>
          </w:p>
        </w:tc>
        <w:tc>
          <w:tcPr>
            <w:tcW w:type="dxa" w:w="3744"/>
            <w:tcMar>
              <w:top w:w="45" w:type="dxa"/>
              <w:start w:w="60" w:type="dxa"/>
              <w:bottom w:w="45" w:type="dxa"/>
              <w:end w:w="60" w:type="dxa"/>
            </w:tcMar>
          </w:tcPr>
          <w:p>
            <w:r>
              <w:rPr>
                <w:sz w:val="16"/>
              </w:rPr>
            </w:r>
          </w:p>
        </w:tc>
      </w:tr>
      <w:tr>
        <w:trPr>
          <w:cantSplit/>
        </w:trPr>
        <w:tc>
          <w:tcPr>
            <w:tcW w:type="dxa" w:w="1008"/>
            <w:tcMar>
              <w:top w:w="45" w:type="dxa"/>
              <w:start w:w="60" w:type="dxa"/>
              <w:bottom w:w="45" w:type="dxa"/>
              <w:end w:w="60" w:type="dxa"/>
            </w:tcMar>
            <w:shd w:fill="F2F2F2"/>
          </w:tcPr>
          <w:p>
            <w:r>
              <w:rPr>
                <w:sz w:val="16"/>
              </w:rPr>
              <w:t>8</w:t>
            </w:r>
          </w:p>
        </w:tc>
        <w:tc>
          <w:tcPr>
            <w:tcW w:type="dxa" w:w="2304"/>
            <w:tcMar>
              <w:top w:w="45" w:type="dxa"/>
              <w:start w:w="60" w:type="dxa"/>
              <w:bottom w:w="45" w:type="dxa"/>
              <w:end w:w="60" w:type="dxa"/>
            </w:tcMar>
            <w:shd w:fill="F2F2F2"/>
          </w:tcPr>
          <w:p>
            <w:r>
              <w:rPr>
                <w:sz w:val="16"/>
              </w:rPr>
            </w:r>
          </w:p>
        </w:tc>
        <w:tc>
          <w:tcPr>
            <w:tcW w:type="dxa" w:w="2880"/>
            <w:tcMar>
              <w:top w:w="45" w:type="dxa"/>
              <w:start w:w="60" w:type="dxa"/>
              <w:bottom w:w="45" w:type="dxa"/>
              <w:end w:w="60" w:type="dxa"/>
            </w:tcMar>
            <w:shd w:fill="F2F2F2"/>
          </w:tcPr>
          <w:p>
            <w:r>
              <w:rPr>
                <w:sz w:val="16"/>
              </w:rPr>
            </w:r>
          </w:p>
        </w:tc>
        <w:tc>
          <w:tcPr>
            <w:tcW w:type="dxa" w:w="3744"/>
            <w:tcMar>
              <w:top w:w="45" w:type="dxa"/>
              <w:start w:w="60" w:type="dxa"/>
              <w:bottom w:w="45" w:type="dxa"/>
              <w:end w:w="60" w:type="dxa"/>
            </w:tcMar>
            <w:shd w:fill="F2F2F2"/>
          </w:tcPr>
          <w:p>
            <w:r>
              <w:rPr>
                <w:sz w:val="16"/>
              </w:rPr>
            </w:r>
          </w:p>
        </w:tc>
      </w:tr>
      <w:tr>
        <w:trPr>
          <w:cantSplit/>
        </w:trPr>
        <w:tc>
          <w:tcPr>
            <w:tcW w:type="dxa" w:w="1008"/>
            <w:tcMar>
              <w:top w:w="45" w:type="dxa"/>
              <w:start w:w="60" w:type="dxa"/>
              <w:bottom w:w="45" w:type="dxa"/>
              <w:end w:w="60" w:type="dxa"/>
            </w:tcMar>
          </w:tcPr>
          <w:p>
            <w:r>
              <w:rPr>
                <w:sz w:val="16"/>
              </w:rPr>
              <w:t>9</w:t>
            </w:r>
          </w:p>
        </w:tc>
        <w:tc>
          <w:tcPr>
            <w:tcW w:type="dxa" w:w="2304"/>
            <w:tcMar>
              <w:top w:w="45" w:type="dxa"/>
              <w:start w:w="60" w:type="dxa"/>
              <w:bottom w:w="45" w:type="dxa"/>
              <w:end w:w="60" w:type="dxa"/>
            </w:tcMar>
          </w:tcPr>
          <w:p>
            <w:r>
              <w:rPr>
                <w:sz w:val="16"/>
              </w:rPr>
            </w:r>
          </w:p>
        </w:tc>
        <w:tc>
          <w:tcPr>
            <w:tcW w:type="dxa" w:w="2880"/>
            <w:tcMar>
              <w:top w:w="45" w:type="dxa"/>
              <w:start w:w="60" w:type="dxa"/>
              <w:bottom w:w="45" w:type="dxa"/>
              <w:end w:w="60" w:type="dxa"/>
            </w:tcMar>
          </w:tcPr>
          <w:p>
            <w:r>
              <w:rPr>
                <w:sz w:val="16"/>
              </w:rPr>
            </w:r>
          </w:p>
        </w:tc>
        <w:tc>
          <w:tcPr>
            <w:tcW w:type="dxa" w:w="3744"/>
            <w:tcMar>
              <w:top w:w="45" w:type="dxa"/>
              <w:start w:w="60" w:type="dxa"/>
              <w:bottom w:w="45" w:type="dxa"/>
              <w:end w:w="60" w:type="dxa"/>
            </w:tcMar>
          </w:tcPr>
          <w:p>
            <w:r>
              <w:rPr>
                <w:sz w:val="16"/>
              </w:rPr>
            </w:r>
          </w:p>
        </w:tc>
      </w:tr>
      <w:tr>
        <w:trPr>
          <w:cantSplit/>
        </w:trPr>
        <w:tc>
          <w:tcPr>
            <w:tcW w:type="dxa" w:w="1008"/>
            <w:tcMar>
              <w:top w:w="45" w:type="dxa"/>
              <w:start w:w="60" w:type="dxa"/>
              <w:bottom w:w="45" w:type="dxa"/>
              <w:end w:w="60" w:type="dxa"/>
            </w:tcMar>
            <w:shd w:fill="F2F2F2"/>
          </w:tcPr>
          <w:p>
            <w:r>
              <w:rPr>
                <w:sz w:val="16"/>
              </w:rPr>
              <w:t>10</w:t>
            </w:r>
          </w:p>
        </w:tc>
        <w:tc>
          <w:tcPr>
            <w:tcW w:type="dxa" w:w="2304"/>
            <w:tcMar>
              <w:top w:w="45" w:type="dxa"/>
              <w:start w:w="60" w:type="dxa"/>
              <w:bottom w:w="45" w:type="dxa"/>
              <w:end w:w="60" w:type="dxa"/>
            </w:tcMar>
            <w:shd w:fill="F2F2F2"/>
          </w:tcPr>
          <w:p>
            <w:r>
              <w:rPr>
                <w:sz w:val="16"/>
              </w:rPr>
            </w:r>
          </w:p>
        </w:tc>
        <w:tc>
          <w:tcPr>
            <w:tcW w:type="dxa" w:w="2880"/>
            <w:tcMar>
              <w:top w:w="45" w:type="dxa"/>
              <w:start w:w="60" w:type="dxa"/>
              <w:bottom w:w="45" w:type="dxa"/>
              <w:end w:w="60" w:type="dxa"/>
            </w:tcMar>
            <w:shd w:fill="F2F2F2"/>
          </w:tcPr>
          <w:p>
            <w:r>
              <w:rPr>
                <w:sz w:val="16"/>
              </w:rPr>
            </w:r>
          </w:p>
        </w:tc>
        <w:tc>
          <w:tcPr>
            <w:tcW w:type="dxa" w:w="3744"/>
            <w:tcMar>
              <w:top w:w="45" w:type="dxa"/>
              <w:start w:w="60" w:type="dxa"/>
              <w:bottom w:w="45" w:type="dxa"/>
              <w:end w:w="60" w:type="dxa"/>
            </w:tcMar>
            <w:shd w:fill="F2F2F2"/>
          </w:tcPr>
          <w:p>
            <w:r>
              <w:rPr>
                <w:sz w:val="16"/>
              </w:rPr>
            </w:r>
          </w:p>
        </w:tc>
      </w:tr>
    </w:tbl>
    <w:p>
      <w:pPr>
        <w:spacing w:after="0" w:before="0" w:line="240" w:lineRule="auto"/>
      </w:pPr>
      <w:r>
        <w:rPr>
          <w:sz w:val="12"/>
        </w:rPr>
      </w:r>
    </w:p>
    <w:p>
      <w:pPr>
        <w:keepNext/>
        <w:spacing w:before="160" w:after="80"/>
        <w:shd w:fill="0E7490" w:val="clear"/>
      </w:pPr>
      <w:r>
        <w:rPr>
          <w:rFonts w:ascii="Aptos" w:hAnsi="Aptos"/>
          <w:b/>
          <w:color w:val="FFFFFF"/>
          <w:sz w:val="17"/>
        </w:rPr>
        <w:t>LCSW-WB04-Q001 | Recall | Easy | Primary concept: Collateral information</w:t>
      </w:r>
    </w:p>
    <w:p>
      <w:pPr>
        <w:keepNext/>
        <w:keepLines/>
        <w:pageBreakBefore w:val="0"/>
        <w:spacing w:before="100" w:after="40"/>
      </w:pPr>
      <w:r>
        <w:rPr>
          <w:b/>
          <w:sz w:val="18"/>
        </w:rPr>
        <w:t>1. Information about a client obtained from a family member, school record, medical provider, or other outside source is BEST described as:</w:t>
      </w:r>
    </w:p>
    <w:p>
      <w:pPr>
        <w:keepNext w:val="0"/>
        <w:keepLines/>
        <w:pageBreakBefore w:val="0"/>
        <w:spacing w:after="20"/>
        <w:ind w:left="259"/>
      </w:pPr>
      <w:r>
        <w:t>A. Collateral information</w:t>
      </w:r>
    </w:p>
    <w:p>
      <w:pPr>
        <w:keepNext w:val="0"/>
        <w:keepLines/>
        <w:pageBreakBefore w:val="0"/>
        <w:spacing w:after="20"/>
        <w:ind w:left="259"/>
      </w:pPr>
      <w:r>
        <w:t>B. Objective diagnosis</w:t>
      </w:r>
    </w:p>
    <w:p>
      <w:pPr>
        <w:keepNext w:val="0"/>
        <w:keepLines/>
        <w:pageBreakBefore w:val="0"/>
        <w:spacing w:after="20"/>
        <w:ind w:left="259"/>
      </w:pPr>
      <w:r>
        <w:t>C. Client self-report</w:t>
      </w:r>
    </w:p>
    <w:p>
      <w:pPr>
        <w:keepNext w:val="0"/>
        <w:keepLines/>
        <w:pageBreakBefore w:val="0"/>
        <w:spacing w:after="20"/>
        <w:ind w:left="259"/>
      </w:pPr>
      <w:r>
        <w:t>D. Clinical observation</w:t>
      </w:r>
    </w:p>
    <w:p>
      <w:pPr>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LCSW-WB04-Q002 | Recall | Easy | Primary concept: Clarification</w:t>
      </w:r>
    </w:p>
    <w:p>
      <w:pPr>
        <w:keepNext/>
        <w:keepLines/>
        <w:pageBreakBefore w:val="0"/>
        <w:spacing w:before="100" w:after="40"/>
      </w:pPr>
      <w:r>
        <w:rPr>
          <w:b/>
          <w:sz w:val="18"/>
        </w:rPr>
        <w:t>2. Which interviewing response is MOST appropriate when a client uses an unclear phrase such as “I lose it” without explaining what occurs?</w:t>
      </w:r>
    </w:p>
    <w:p>
      <w:pPr>
        <w:keepNext w:val="0"/>
        <w:keepLines/>
        <w:pageBreakBefore w:val="0"/>
        <w:spacing w:after="20"/>
        <w:ind w:left="259"/>
      </w:pPr>
      <w:r>
        <w:t>A. Confrontation</w:t>
      </w:r>
    </w:p>
    <w:p>
      <w:pPr>
        <w:keepNext w:val="0"/>
        <w:keepLines/>
        <w:pageBreakBefore w:val="0"/>
        <w:spacing w:after="20"/>
        <w:ind w:left="259"/>
      </w:pPr>
      <w:r>
        <w:t>B. Clarification</w:t>
      </w:r>
    </w:p>
    <w:p>
      <w:pPr>
        <w:keepNext w:val="0"/>
        <w:keepLines/>
        <w:pageBreakBefore w:val="0"/>
        <w:spacing w:after="20"/>
        <w:ind w:left="259"/>
      </w:pPr>
      <w:r>
        <w:t>C. Interpretation</w:t>
      </w:r>
    </w:p>
    <w:p>
      <w:pPr>
        <w:keepNext w:val="0"/>
        <w:keepLines/>
        <w:pageBreakBefore w:val="0"/>
        <w:spacing w:after="20"/>
        <w:ind w:left="259"/>
      </w:pPr>
      <w:r>
        <w:t>D. Advice</w:t>
      </w:r>
    </w:p>
    <w:p>
      <w:pPr>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LCSW-WB04-Q003 | Recall | Easy | Primary concept: Positive screening result</w:t>
      </w:r>
    </w:p>
    <w:p>
      <w:pPr>
        <w:keepNext/>
        <w:keepLines/>
        <w:pageBreakBefore w:val="0"/>
        <w:spacing w:before="100" w:after="40"/>
      </w:pPr>
      <w:r>
        <w:rPr>
          <w:b/>
          <w:sz w:val="18"/>
        </w:rPr>
        <w:t>3. A positive substance-use screening result indicates that the social worker should:</w:t>
      </w:r>
    </w:p>
    <w:p>
      <w:pPr>
        <w:keepNext w:val="0"/>
        <w:keepLines/>
        <w:pageBreakBefore w:val="0"/>
        <w:spacing w:after="20"/>
        <w:ind w:left="259"/>
      </w:pPr>
      <w:r>
        <w:t>A. Diagnose a substance use disorder</w:t>
      </w:r>
    </w:p>
    <w:p>
      <w:pPr>
        <w:keepNext w:val="0"/>
        <w:keepLines/>
        <w:pageBreakBefore w:val="0"/>
        <w:spacing w:after="20"/>
        <w:ind w:left="259"/>
      </w:pPr>
      <w:r>
        <w:t>B. Require inpatient treatment</w:t>
      </w:r>
    </w:p>
    <w:p>
      <w:pPr>
        <w:keepNext w:val="0"/>
        <w:keepLines/>
        <w:pageBreakBefore w:val="0"/>
        <w:spacing w:after="20"/>
        <w:ind w:left="259"/>
      </w:pPr>
      <w:r>
        <w:t>C. Complete or arrange further assessment</w:t>
      </w:r>
    </w:p>
    <w:p>
      <w:pPr>
        <w:keepNext w:val="0"/>
        <w:keepLines/>
        <w:pageBreakBefore w:val="0"/>
        <w:spacing w:after="20"/>
        <w:ind w:left="259"/>
      </w:pPr>
      <w:r>
        <w:t>D. Notify the client’s family</w:t>
      </w:r>
    </w:p>
    <w:p>
      <w:pPr>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LCSW-WB04-Q004 | Application | Moderate | Primary concept: Mandated-client engagement</w:t>
      </w:r>
    </w:p>
    <w:p>
      <w:pPr>
        <w:keepNext/>
        <w:keepLines/>
        <w:pageBreakBefore w:val="0"/>
        <w:spacing w:before="100" w:after="40"/>
      </w:pPr>
      <w:r>
        <w:rPr>
          <w:b/>
          <w:sz w:val="18"/>
        </w:rPr>
        <w:t>4. A court-referred client says, “You are just here to report me. I do not trust you.” What should the social worker do first?</w:t>
      </w:r>
    </w:p>
    <w:p>
      <w:pPr>
        <w:keepNext w:val="0"/>
        <w:keepLines/>
        <w:pageBreakBefore w:val="0"/>
        <w:spacing w:after="20"/>
        <w:ind w:left="259"/>
      </w:pPr>
      <w:r>
        <w:t>A. Warn the client that refusal will be reported</w:t>
      </w:r>
    </w:p>
    <w:p>
      <w:pPr>
        <w:keepNext w:val="0"/>
        <w:keepLines/>
        <w:pageBreakBefore w:val="0"/>
        <w:spacing w:after="20"/>
        <w:ind w:left="259"/>
      </w:pPr>
      <w:r>
        <w:t>B. Confront the client’s projection</w:t>
      </w:r>
    </w:p>
    <w:p>
      <w:pPr>
        <w:keepNext w:val="0"/>
        <w:keepLines/>
        <w:pageBreakBefore w:val="0"/>
        <w:spacing w:after="20"/>
        <w:ind w:left="259"/>
      </w:pPr>
      <w:r>
        <w:t>C. End the interview because trust is absent</w:t>
      </w:r>
    </w:p>
    <w:p>
      <w:pPr>
        <w:keepNext w:val="0"/>
        <w:keepLines/>
        <w:pageBreakBefore w:val="0"/>
        <w:spacing w:after="20"/>
        <w:ind w:left="259"/>
      </w:pPr>
      <w:r>
        <w:t>D. Acknowledge the concern, clarify the role and limits, and invite the client’s understanding and priorities</w:t>
      </w:r>
    </w:p>
    <w:p>
      <w:pPr>
        <w:spacing w:after="160"/>
      </w:pPr>
      <w:r>
        <w:rPr>
          <w:rFonts w:ascii="Aptos" w:hAnsi="Aptos"/>
          <w:i/>
          <w:color w:val="6B7280"/>
          <w:sz w:val="18"/>
        </w:rPr>
        <w:t>My answer: ______    Confidence: 1  2  3</w:t>
      </w:r>
    </w:p>
    <w:p>
      <w:r>
        <w:br w:type="page"/>
      </w:r>
    </w:p>
    <w:p>
      <w:pPr>
        <w:keepNext/>
        <w:spacing w:before="160" w:after="80"/>
        <w:shd w:fill="0E7490" w:val="clear"/>
      </w:pPr>
      <w:r>
        <w:rPr>
          <w:rFonts w:ascii="Aptos" w:hAnsi="Aptos"/>
          <w:b/>
          <w:color w:val="FFFFFF"/>
          <w:sz w:val="17"/>
        </w:rPr>
        <w:t>LCSW-WB04-Q005 | Application | Moderate | Primary concept: Concrete-needs assessment</w:t>
      </w:r>
    </w:p>
    <w:p>
      <w:pPr>
        <w:keepNext/>
        <w:keepLines/>
        <w:pageBreakBefore w:val="0"/>
        <w:spacing w:before="100" w:after="40"/>
      </w:pPr>
      <w:r>
        <w:rPr>
          <w:b/>
          <w:sz w:val="18"/>
        </w:rPr>
        <w:t>5. A client who recently lost work asks for help paying rent. What should the social worker do first?</w:t>
      </w:r>
    </w:p>
    <w:p>
      <w:pPr>
        <w:keepNext w:val="0"/>
        <w:keepLines/>
        <w:pageBreakBefore w:val="0"/>
        <w:spacing w:after="20"/>
        <w:ind w:left="259"/>
      </w:pPr>
      <w:r>
        <w:t>A. Assess the immediate housing risk, income, benefits, household needs, supports, eligibility, barriers, and the client’s priorities</w:t>
      </w:r>
    </w:p>
    <w:p>
      <w:pPr>
        <w:keepNext w:val="0"/>
        <w:keepLines/>
        <w:pageBreakBefore w:val="0"/>
        <w:spacing w:after="20"/>
        <w:ind w:left="259"/>
      </w:pPr>
      <w:r>
        <w:t>B. Provide the first emergency-housing number available</w:t>
      </w:r>
    </w:p>
    <w:p>
      <w:pPr>
        <w:keepNext w:val="0"/>
        <w:keepLines/>
        <w:pageBreakBefore w:val="0"/>
        <w:spacing w:after="20"/>
        <w:ind w:left="259"/>
      </w:pPr>
      <w:r>
        <w:t>C. Begin therapy for financial anxiety</w:t>
      </w:r>
    </w:p>
    <w:p>
      <w:pPr>
        <w:keepNext w:val="0"/>
        <w:keepLines/>
        <w:pageBreakBefore w:val="0"/>
        <w:spacing w:after="20"/>
        <w:ind w:left="259"/>
      </w:pPr>
      <w:r>
        <w:t>D. Tell the client to contact several agencies independently</w:t>
      </w:r>
    </w:p>
    <w:p>
      <w:pPr>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LCSW-WB04-Q006 | Application | Moderate | Primary concept: Medication-adherence barriers</w:t>
      </w:r>
    </w:p>
    <w:p>
      <w:pPr>
        <w:keepNext/>
        <w:keepLines/>
        <w:pageBreakBefore w:val="0"/>
        <w:spacing w:before="100" w:after="40"/>
      </w:pPr>
      <w:r>
        <w:rPr>
          <w:b/>
          <w:sz w:val="18"/>
        </w:rPr>
        <w:t>6. A client with bipolar disorder has missed several doses of medication. What should the social worker do first?</w:t>
      </w:r>
    </w:p>
    <w:p>
      <w:pPr>
        <w:keepNext w:val="0"/>
        <w:keepLines/>
        <w:pageBreakBefore w:val="0"/>
        <w:spacing w:after="20"/>
        <w:ind w:left="259"/>
      </w:pPr>
      <w:r>
        <w:t>A. Explain that noncompliance will lead to discharge</w:t>
      </w:r>
    </w:p>
    <w:p>
      <w:pPr>
        <w:keepNext w:val="0"/>
        <w:keepLines/>
        <w:pageBreakBefore w:val="0"/>
        <w:spacing w:after="20"/>
        <w:ind w:left="259"/>
      </w:pPr>
      <w:r>
        <w:t>B. Assess the client’s understanding, side effects, cost, access, routine, beliefs, symptoms, safety, and preferences</w:t>
      </w:r>
    </w:p>
    <w:p>
      <w:pPr>
        <w:keepNext w:val="0"/>
        <w:keepLines/>
        <w:pageBreakBefore w:val="0"/>
        <w:spacing w:after="20"/>
        <w:ind w:left="259"/>
      </w:pPr>
      <w:r>
        <w:t>C. Call the pharmacy and refill the prescription without the client</w:t>
      </w:r>
    </w:p>
    <w:p>
      <w:pPr>
        <w:keepNext w:val="0"/>
        <w:keepLines/>
        <w:pageBreakBefore w:val="0"/>
        <w:spacing w:after="20"/>
        <w:ind w:left="259"/>
      </w:pPr>
      <w:r>
        <w:t>D. Tell the family to supervise every dose</w:t>
      </w:r>
    </w:p>
    <w:p>
      <w:pPr>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LCSW-WB04-Q007 | Scenario | Moderate | Primary concept: Sensitive inquiry</w:t>
      </w:r>
    </w:p>
    <w:p>
      <w:pPr>
        <w:keepNext/>
        <w:keepLines/>
        <w:pageBreakBefore w:val="0"/>
        <w:spacing w:before="100" w:after="40"/>
      </w:pPr>
      <w:r>
        <w:rPr>
          <w:b/>
          <w:sz w:val="18"/>
        </w:rPr>
        <w:t>7. During an intake, a client becomes visibly tense when the social worker asks about substance use. What should the social worker do first?</w:t>
      </w:r>
    </w:p>
    <w:p>
      <w:pPr>
        <w:keepNext w:val="0"/>
        <w:keepLines/>
        <w:pageBreakBefore w:val="0"/>
        <w:spacing w:after="20"/>
        <w:ind w:left="259"/>
      </w:pPr>
      <w:r>
        <w:t>A. Skip the topic permanently to preserve rapport</w:t>
      </w:r>
    </w:p>
    <w:p>
      <w:pPr>
        <w:keepNext w:val="0"/>
        <w:keepLines/>
        <w:pageBreakBefore w:val="0"/>
        <w:spacing w:after="20"/>
        <w:ind w:left="259"/>
      </w:pPr>
      <w:r>
        <w:t>B. State that tension confirms substance misuse</w:t>
      </w:r>
    </w:p>
    <w:p>
      <w:pPr>
        <w:keepNext w:val="0"/>
        <w:keepLines/>
        <w:pageBreakBefore w:val="0"/>
        <w:spacing w:after="20"/>
        <w:ind w:left="259"/>
      </w:pPr>
      <w:r>
        <w:t>C. Explain why the question is relevant, acknowledge the discomfort, and ask in clear, nonjudgmental behavioral terms while monitoring the client’s response</w:t>
      </w:r>
    </w:p>
    <w:p>
      <w:pPr>
        <w:keepNext w:val="0"/>
        <w:keepLines/>
        <w:pageBreakBefore w:val="0"/>
        <w:spacing w:after="20"/>
        <w:ind w:left="259"/>
      </w:pPr>
      <w:r>
        <w:t>D. Contact family members immediately</w:t>
      </w:r>
    </w:p>
    <w:p>
      <w:pPr>
        <w:spacing w:after="160"/>
      </w:pPr>
      <w:r>
        <w:rPr>
          <w:rFonts w:ascii="Aptos" w:hAnsi="Aptos"/>
          <w:i/>
          <w:color w:val="6B7280"/>
          <w:sz w:val="18"/>
        </w:rPr>
        <w:t>My answer: ______    Confidence: 1  2  3</w:t>
      </w:r>
    </w:p>
    <w:p>
      <w:r>
        <w:br w:type="page"/>
      </w:r>
    </w:p>
    <w:p>
      <w:pPr>
        <w:keepNext/>
        <w:spacing w:before="160" w:after="80"/>
        <w:shd w:fill="0E7490" w:val="clear"/>
      </w:pPr>
      <w:r>
        <w:rPr>
          <w:rFonts w:ascii="Aptos" w:hAnsi="Aptos"/>
          <w:b/>
          <w:color w:val="FFFFFF"/>
          <w:sz w:val="17"/>
        </w:rPr>
        <w:t>LCSW-WB04-Q008 | Scenario | Moderate | Primary concept: Overdose emergency response</w:t>
      </w:r>
    </w:p>
    <w:p>
      <w:pPr>
        <w:keepNext/>
        <w:keepLines/>
        <w:pageBreakBefore w:val="0"/>
        <w:spacing w:before="100" w:after="40"/>
      </w:pPr>
      <w:r>
        <w:rPr>
          <w:b/>
          <w:sz w:val="18"/>
        </w:rPr>
        <w:t>8. A client in an outpatient clinic is difficult to awaken and has very slow breathing after using an unknown substance. What should the social worker do first?</w:t>
      </w:r>
    </w:p>
    <w:p>
      <w:pPr>
        <w:keepNext w:val="0"/>
        <w:keepLines/>
        <w:pageBreakBefore w:val="0"/>
        <w:spacing w:after="20"/>
        <w:ind w:left="259"/>
      </w:pPr>
      <w:r>
        <w:t>A. Complete a substance-use assessment</w:t>
      </w:r>
    </w:p>
    <w:p>
      <w:pPr>
        <w:keepNext w:val="0"/>
        <w:keepLines/>
        <w:pageBreakBefore w:val="0"/>
        <w:spacing w:after="20"/>
        <w:ind w:left="259"/>
      </w:pPr>
      <w:r>
        <w:t>B. Call the client’s therapist for collateral information</w:t>
      </w:r>
    </w:p>
    <w:p>
      <w:pPr>
        <w:keepNext w:val="0"/>
        <w:keepLines/>
        <w:pageBreakBefore w:val="0"/>
        <w:spacing w:after="20"/>
        <w:ind w:left="259"/>
      </w:pPr>
      <w:r>
        <w:t>C. Ask the client to sign a treatment contract</w:t>
      </w:r>
    </w:p>
    <w:p>
      <w:pPr>
        <w:keepNext w:val="0"/>
        <w:keepLines/>
        <w:pageBreakBefore w:val="0"/>
        <w:spacing w:after="20"/>
        <w:ind w:left="259"/>
      </w:pPr>
      <w:r>
        <w:t>D. Activate emergency response and follow the site’s overdose protocol</w:t>
      </w:r>
    </w:p>
    <w:p>
      <w:pPr>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LCSW-WB04-Q009 | Scenario | Moderate | Primary concept: Discharge and access</w:t>
      </w:r>
    </w:p>
    <w:p>
      <w:pPr>
        <w:keepNext/>
        <w:keepLines/>
        <w:pageBreakBefore w:val="0"/>
        <w:spacing w:before="100" w:after="40"/>
      </w:pPr>
      <w:r>
        <w:rPr>
          <w:b/>
          <w:sz w:val="18"/>
        </w:rPr>
        <w:t>9. A client is ready for psychiatric discharge but cannot afford the prescribed medication and lacks transportation to follow-up appointments. What should the social worker do first?</w:t>
      </w:r>
    </w:p>
    <w:p>
      <w:pPr>
        <w:keepNext w:val="0"/>
        <w:keepLines/>
        <w:pageBreakBefore w:val="0"/>
        <w:spacing w:after="20"/>
        <w:ind w:left="259"/>
      </w:pPr>
      <w:r>
        <w:t>A. Assess available insurance, benefits, pharmacy assistance, transportation, follow-up options, client preferences, and immediate clinical risk with the team</w:t>
      </w:r>
    </w:p>
    <w:p>
      <w:pPr>
        <w:keepNext w:val="0"/>
        <w:keepLines/>
        <w:pageBreakBefore w:val="0"/>
        <w:spacing w:after="20"/>
        <w:ind w:left="259"/>
      </w:pPr>
      <w:r>
        <w:t>B. Document noncompliance and proceed with discharge</w:t>
      </w:r>
    </w:p>
    <w:p>
      <w:pPr>
        <w:keepNext w:val="0"/>
        <w:keepLines/>
        <w:pageBreakBefore w:val="0"/>
        <w:spacing w:after="20"/>
        <w:ind w:left="259"/>
      </w:pPr>
      <w:r>
        <w:t>C. Tell the family to pay for the medication</w:t>
      </w:r>
    </w:p>
    <w:p>
      <w:pPr>
        <w:keepNext w:val="0"/>
        <w:keepLines/>
        <w:pageBreakBefore w:val="0"/>
        <w:spacing w:after="20"/>
        <w:ind w:left="259"/>
      </w:pPr>
      <w:r>
        <w:t>D. Advise the client to take half doses to make the prescription last</w:t>
      </w:r>
    </w:p>
    <w:p>
      <w:pPr>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LCSW-WB04-Q010 | Integrated | Challenge | Primary concept: Least restrictive integrated planning</w:t>
      </w:r>
    </w:p>
    <w:p>
      <w:pPr>
        <w:keepNext/>
        <w:keepLines/>
        <w:pageBreakBefore w:val="0"/>
        <w:spacing w:before="100" w:after="40"/>
      </w:pPr>
      <w:r>
        <w:rPr>
          <w:b/>
          <w:sz w:val="18"/>
        </w:rPr>
        <w:t>10. An older hospital patient wants to return home. The patient has recently become confused, has fallen twice, and is taking multiple prescription and over-the-counter medications. A relative demands immediate placement. What should the social worker do first?</w:t>
      </w:r>
    </w:p>
    <w:p>
      <w:pPr>
        <w:keepNext w:val="0"/>
        <w:keepLines/>
        <w:pageBreakBefore w:val="0"/>
        <w:spacing w:after="20"/>
        <w:ind w:left="259"/>
      </w:pPr>
      <w:r>
        <w:t>A. Arrange placement because the relative is concerned</w:t>
      </w:r>
    </w:p>
    <w:p>
      <w:pPr>
        <w:keepNext w:val="0"/>
        <w:keepLines/>
        <w:pageBreakBefore w:val="0"/>
        <w:spacing w:after="20"/>
        <w:ind w:left="259"/>
      </w:pPr>
      <w:r>
        <w:t>B. Coordinate assessment of cognition, medical and medication factors, functional safety, decision-making ability, home supports, access needs, and the patient’s preferences before developing the least restrictive safe plan</w:t>
      </w:r>
    </w:p>
    <w:p>
      <w:pPr>
        <w:keepNext w:val="0"/>
        <w:keepLines/>
        <w:pageBreakBefore w:val="0"/>
        <w:spacing w:after="20"/>
        <w:ind w:left="259"/>
      </w:pPr>
      <w:r>
        <w:t>C. Discharge home immediately to honor self-determination</w:t>
      </w:r>
    </w:p>
    <w:p>
      <w:pPr>
        <w:keepNext w:val="0"/>
        <w:keepLines/>
        <w:pageBreakBefore w:val="0"/>
        <w:spacing w:after="20"/>
        <w:ind w:left="259"/>
      </w:pPr>
      <w:r>
        <w:t>D. Ask the family to decide without professional involvement</w:t>
      </w:r>
    </w:p>
    <w:p>
      <w:pPr>
        <w:spacing w:after="160"/>
      </w:pPr>
      <w:r>
        <w:rPr>
          <w:rFonts w:ascii="Aptos" w:hAnsi="Aptos"/>
          <w:i/>
          <w:color w:val="6B7280"/>
          <w:sz w:val="18"/>
        </w:rPr>
        <w:t>My answer: ______    Confidence: 1  2  3</w:t>
      </w:r>
    </w:p>
    <w:p>
      <w:r>
        <w:br w:type="page"/>
      </w:r>
    </w:p>
    <w:p>
      <w:pPr>
        <w:pStyle w:val="Heading1"/>
        <w:keepNext/>
        <w:keepLines/>
        <w:pageBreakBefore w:val="0"/>
      </w:pPr>
      <w:r>
        <w:t>Answer Key and Detailed Rationales</w:t>
      </w:r>
    </w:p>
    <w:p>
      <w:pPr>
        <w:pStyle w:val="Heading2"/>
        <w:keepNext/>
        <w:keepLines/>
        <w:pageBreakBefore w:val="0"/>
      </w:pPr>
      <w:r>
        <w:t>Question 1 (LCSW-WB04-Q001)</w:t>
      </w:r>
    </w:p>
    <w:p>
      <w:pPr>
        <w:spacing w:after="60"/>
      </w:pPr>
      <w:r>
        <w:rPr>
          <w:b/>
        </w:rPr>
        <w:t>Correct Answer: A</w:t>
      </w:r>
    </w:p>
    <w:p>
      <w:pPr>
        <w:spacing w:after="40"/>
      </w:pPr>
      <w:r>
        <w:rPr>
          <w:b/>
        </w:rPr>
        <w:t>A. Collateral information supplements the assessment and comes from a source other than the client.</w:t>
      </w:r>
    </w:p>
    <w:p>
      <w:pPr>
        <w:spacing w:after="40"/>
      </w:pPr>
      <w:r>
        <w:rPr>
          <w:b/>
        </w:rPr>
        <w:t>B. Outside information may be factual or opinion-based and is not automatically a diagnosis or fully objective.</w:t>
      </w:r>
    </w:p>
    <w:p>
      <w:pPr>
        <w:spacing w:after="40"/>
      </w:pPr>
      <w:r>
        <w:rPr>
          <w:b/>
        </w:rPr>
        <w:t>C. Client self-report comes directly from the client.</w:t>
      </w:r>
    </w:p>
    <w:p>
      <w:pPr>
        <w:spacing w:after="40"/>
      </w:pPr>
      <w:r>
        <w:rPr>
          <w:b/>
        </w:rPr>
        <w:t>D. Clinical observation is what the social worker directly sees or hears during contact.</w:t>
      </w:r>
    </w:p>
    <w:tbl>
      <w:tblPr>
        <w:tblW w:type="auto" w:w="0"/>
        <w:jc w:val="center"/>
        <w:tblLayout w:type="fixed"/>
        <w:tblLook w:firstColumn="1" w:firstRow="1" w:lastColumn="0" w:lastRow="0" w:noHBand="0" w:noVBand="1" w:val="04A0"/>
      </w:tblPr>
      <w:tblGrid>
        <w:gridCol w:w="9936"/>
      </w:tblGrid>
      <w:tr>
        <w:trPr>
          <w:cantSplit/>
        </w:trPr>
        <w:tc>
          <w:tcPr>
            <w:tcW w:type="dxa" w:w="10080"/>
            <w:shd w:fill="EAF4F8"/>
            <w:tcMar>
              <w:top w:w="100" w:type="dxa"/>
              <w:start w:w="120" w:type="dxa"/>
              <w:bottom w:w="100" w:type="dxa"/>
              <w:end w:w="120" w:type="dxa"/>
            </w:tcMar>
          </w:tcPr>
          <w:p>
            <w:pPr>
              <w:spacing w:after="40"/>
            </w:pPr>
            <w:r>
              <w:rPr>
                <w:b/>
                <w:color w:val="1F4E78"/>
                <w:sz w:val="17"/>
              </w:rPr>
              <w:t>EXAM STRATEGY</w:t>
            </w:r>
          </w:p>
          <w:p>
            <w:pPr>
              <w:spacing w:after="0"/>
            </w:pPr>
            <w:r>
              <w:rPr>
                <w:sz w:val="18"/>
              </w:rPr>
              <w:t>Identify the source of the information before judging its reliability or clinical meaning.</w:t>
            </w:r>
          </w:p>
        </w:tc>
      </w:tr>
    </w:tbl>
    <w:p>
      <w:pPr>
        <w:spacing w:after="0" w:before="0" w:line="240" w:lineRule="auto"/>
      </w:pPr>
      <w:r>
        <w:rPr>
          <w:sz w:val="6"/>
        </w:rPr>
      </w:r>
    </w:p>
    <w:p>
      <w:pPr>
        <w:pStyle w:val="Heading2"/>
        <w:keepNext/>
        <w:keepLines/>
        <w:pageBreakBefore w:val="0"/>
      </w:pPr>
      <w:r>
        <w:t>Question 2 (LCSW-WB04-Q002)</w:t>
      </w:r>
    </w:p>
    <w:p>
      <w:pPr>
        <w:spacing w:after="60"/>
      </w:pPr>
      <w:r>
        <w:rPr>
          <w:b/>
        </w:rPr>
        <w:t>Correct Answer: B</w:t>
      </w:r>
    </w:p>
    <w:p>
      <w:pPr>
        <w:spacing w:after="40"/>
      </w:pPr>
      <w:r>
        <w:rPr>
          <w:b/>
        </w:rPr>
        <w:t>A. There is not yet a clear discrepancy to confront.</w:t>
      </w:r>
    </w:p>
    <w:p>
      <w:pPr>
        <w:spacing w:after="40"/>
      </w:pPr>
      <w:r>
        <w:rPr>
          <w:b/>
        </w:rPr>
        <w:t>B. Clarification defines the client’s meaning before the social worker draws conclusions.</w:t>
      </w:r>
    </w:p>
    <w:p>
      <w:pPr>
        <w:spacing w:after="40"/>
      </w:pPr>
      <w:r>
        <w:rPr>
          <w:b/>
        </w:rPr>
        <w:t>C. Interpretation would exceed the available information.</w:t>
      </w:r>
    </w:p>
    <w:p>
      <w:pPr>
        <w:spacing w:after="40"/>
      </w:pPr>
      <w:r>
        <w:rPr>
          <w:b/>
        </w:rPr>
        <w:t>D. Advice is premature because the behavior and context are not yet understood.</w:t>
      </w:r>
    </w:p>
    <w:tbl>
      <w:tblPr>
        <w:tblW w:type="auto" w:w="0"/>
        <w:jc w:val="center"/>
        <w:tblLayout w:type="fixed"/>
        <w:tblLook w:firstColumn="1" w:firstRow="1" w:lastColumn="0" w:lastRow="0" w:noHBand="0" w:noVBand="1" w:val="04A0"/>
      </w:tblPr>
      <w:tblGrid>
        <w:gridCol w:w="9936"/>
      </w:tblGrid>
      <w:tr>
        <w:trPr>
          <w:cantSplit/>
        </w:trPr>
        <w:tc>
          <w:tcPr>
            <w:tcW w:type="dxa" w:w="10080"/>
            <w:shd w:fill="EAF4F8"/>
            <w:tcMar>
              <w:top w:w="100" w:type="dxa"/>
              <w:start w:w="120" w:type="dxa"/>
              <w:bottom w:w="100" w:type="dxa"/>
              <w:end w:w="120" w:type="dxa"/>
            </w:tcMar>
          </w:tcPr>
          <w:p>
            <w:pPr>
              <w:spacing w:after="40"/>
            </w:pPr>
            <w:r>
              <w:rPr>
                <w:b/>
                <w:color w:val="1F4E78"/>
                <w:sz w:val="17"/>
              </w:rPr>
              <w:t>EXAM STRATEGY</w:t>
            </w:r>
          </w:p>
          <w:p>
            <w:pPr>
              <w:spacing w:after="0"/>
            </w:pPr>
            <w:r>
              <w:rPr>
                <w:sz w:val="18"/>
              </w:rPr>
              <w:t>When a phrase is ambiguous, clarify behavior, context, frequency, and consequences before interpreting or intervening.</w:t>
            </w:r>
          </w:p>
        </w:tc>
      </w:tr>
    </w:tbl>
    <w:p>
      <w:pPr>
        <w:spacing w:after="0" w:before="0" w:line="240" w:lineRule="auto"/>
      </w:pPr>
      <w:r>
        <w:rPr>
          <w:sz w:val="6"/>
        </w:rPr>
      </w:r>
    </w:p>
    <w:p>
      <w:pPr>
        <w:pStyle w:val="Heading2"/>
        <w:keepNext/>
        <w:keepLines/>
        <w:pageBreakBefore w:val="0"/>
      </w:pPr>
      <w:r>
        <w:t>Question 3 (LCSW-WB04-Q003)</w:t>
      </w:r>
    </w:p>
    <w:p>
      <w:pPr>
        <w:spacing w:after="60"/>
      </w:pPr>
      <w:r>
        <w:rPr>
          <w:b/>
        </w:rPr>
        <w:t>Correct Answer: C</w:t>
      </w:r>
    </w:p>
    <w:p>
      <w:pPr>
        <w:spacing w:after="40"/>
      </w:pPr>
      <w:r>
        <w:rPr>
          <w:b/>
        </w:rPr>
        <w:t>A. Screening does not by itself establish diagnosis.</w:t>
      </w:r>
    </w:p>
    <w:p>
      <w:pPr>
        <w:spacing w:after="40"/>
      </w:pPr>
      <w:r>
        <w:rPr>
          <w:b/>
        </w:rPr>
        <w:t>B. Level of care requires more information.</w:t>
      </w:r>
    </w:p>
    <w:p>
      <w:pPr>
        <w:spacing w:after="40"/>
      </w:pPr>
      <w:r>
        <w:rPr>
          <w:b/>
        </w:rPr>
        <w:t>C. A positive screen identifies the need for additional assessment.</w:t>
      </w:r>
    </w:p>
    <w:p>
      <w:pPr>
        <w:spacing w:after="40"/>
      </w:pPr>
      <w:r>
        <w:rPr>
          <w:b/>
        </w:rPr>
        <w:t>D. Family notification is not automatically indicated and may violate confidentiality.</w:t>
      </w:r>
    </w:p>
    <w:tbl>
      <w:tblPr>
        <w:tblW w:type="auto" w:w="0"/>
        <w:jc w:val="center"/>
        <w:tblLayout w:type="fixed"/>
        <w:tblLook w:firstColumn="1" w:firstRow="1" w:lastColumn="0" w:lastRow="0" w:noHBand="0" w:noVBand="1" w:val="04A0"/>
      </w:tblPr>
      <w:tblGrid>
        <w:gridCol w:w="9936"/>
      </w:tblGrid>
      <w:tr>
        <w:trPr>
          <w:cantSplit/>
        </w:trPr>
        <w:tc>
          <w:tcPr>
            <w:tcW w:type="dxa" w:w="10080"/>
            <w:shd w:fill="EAF4F8"/>
            <w:tcMar>
              <w:top w:w="100" w:type="dxa"/>
              <w:start w:w="120" w:type="dxa"/>
              <w:bottom w:w="100" w:type="dxa"/>
              <w:end w:w="120" w:type="dxa"/>
            </w:tcMar>
          </w:tcPr>
          <w:p>
            <w:pPr>
              <w:spacing w:after="40"/>
            </w:pPr>
            <w:r>
              <w:rPr>
                <w:b/>
                <w:color w:val="1F4E78"/>
                <w:sz w:val="17"/>
              </w:rPr>
              <w:t>EXAM STRATEGY</w:t>
            </w:r>
          </w:p>
          <w:p>
            <w:pPr>
              <w:spacing w:after="0"/>
            </w:pPr>
            <w:r>
              <w:rPr>
                <w:sz w:val="18"/>
              </w:rPr>
              <w:t>Screening identifies who needs a closer look. It does not by itself determine diagnosis, disclosure, or level of care.</w:t>
            </w:r>
          </w:p>
        </w:tc>
      </w:tr>
    </w:tbl>
    <w:p>
      <w:pPr>
        <w:spacing w:after="0" w:before="0" w:line="240" w:lineRule="auto"/>
      </w:pPr>
      <w:r>
        <w:rPr>
          <w:sz w:val="6"/>
        </w:rPr>
      </w:r>
    </w:p>
    <w:p>
      <w:r>
        <w:br w:type="page"/>
      </w:r>
    </w:p>
    <w:p>
      <w:pPr>
        <w:pStyle w:val="Heading2"/>
        <w:keepNext/>
        <w:keepLines/>
        <w:pageBreakBefore w:val="0"/>
      </w:pPr>
      <w:r>
        <w:t>Question 4 (LCSW-WB04-Q004)</w:t>
      </w:r>
    </w:p>
    <w:p>
      <w:pPr>
        <w:spacing w:after="60"/>
      </w:pPr>
      <w:r>
        <w:rPr>
          <w:b/>
        </w:rPr>
        <w:t>Correct Answer: D</w:t>
      </w:r>
    </w:p>
    <w:p>
      <w:pPr>
        <w:spacing w:after="40"/>
      </w:pPr>
      <w:r>
        <w:rPr>
          <w:b/>
        </w:rPr>
        <w:t>A. A threat may increase defensiveness and does not begin engagement.</w:t>
      </w:r>
    </w:p>
    <w:p>
      <w:pPr>
        <w:spacing w:after="40"/>
      </w:pPr>
      <w:r>
        <w:rPr>
          <w:b/>
        </w:rPr>
        <w:t>B. This interpretation is premature and unlikely to build trust.</w:t>
      </w:r>
    </w:p>
    <w:p>
      <w:pPr>
        <w:spacing w:after="40"/>
      </w:pPr>
      <w:r>
        <w:rPr>
          <w:b/>
        </w:rPr>
        <w:t>C. Mandated context may complicate trust, but it does not make engagement impossible.</w:t>
      </w:r>
    </w:p>
    <w:p>
      <w:pPr>
        <w:spacing w:after="40"/>
      </w:pPr>
      <w:r>
        <w:rPr>
          <w:b/>
        </w:rPr>
        <w:t>D. This addresses emotion, role clarity, transparency, and client participation.</w:t>
      </w:r>
    </w:p>
    <w:tbl>
      <w:tblPr>
        <w:tblW w:type="auto" w:w="0"/>
        <w:jc w:val="center"/>
        <w:tblLayout w:type="fixed"/>
        <w:tblLook w:firstColumn="1" w:firstRow="1" w:lastColumn="0" w:lastRow="0" w:noHBand="0" w:noVBand="1" w:val="04A0"/>
      </w:tblPr>
      <w:tblGrid>
        <w:gridCol w:w="9936"/>
      </w:tblGrid>
      <w:tr>
        <w:trPr>
          <w:cantSplit/>
        </w:trPr>
        <w:tc>
          <w:tcPr>
            <w:tcW w:type="dxa" w:w="10080"/>
            <w:shd w:fill="EAF4F8"/>
            <w:tcMar>
              <w:top w:w="100" w:type="dxa"/>
              <w:start w:w="120" w:type="dxa"/>
              <w:bottom w:w="100" w:type="dxa"/>
              <w:end w:w="120" w:type="dxa"/>
            </w:tcMar>
          </w:tcPr>
          <w:p>
            <w:pPr>
              <w:spacing w:after="40"/>
            </w:pPr>
            <w:r>
              <w:rPr>
                <w:b/>
                <w:color w:val="1F4E78"/>
                <w:sz w:val="17"/>
              </w:rPr>
              <w:t>EXAM STRATEGY</w:t>
            </w:r>
          </w:p>
          <w:p>
            <w:pPr>
              <w:spacing w:after="0"/>
            </w:pPr>
            <w:r>
              <w:rPr>
                <w:sz w:val="18"/>
              </w:rPr>
              <w:t>With mandated clients, transparency and role clarity usually come before confrontation, persuasion, or consequences.</w:t>
            </w:r>
          </w:p>
        </w:tc>
      </w:tr>
    </w:tbl>
    <w:p>
      <w:pPr>
        <w:spacing w:after="0" w:before="0" w:line="240" w:lineRule="auto"/>
      </w:pPr>
      <w:r>
        <w:rPr>
          <w:sz w:val="6"/>
        </w:rPr>
      </w:r>
    </w:p>
    <w:p>
      <w:pPr>
        <w:pStyle w:val="Heading2"/>
        <w:keepNext/>
        <w:keepLines/>
        <w:pageBreakBefore w:val="0"/>
      </w:pPr>
      <w:r>
        <w:t>Question 5 (LCSW-WB04-Q005)</w:t>
      </w:r>
    </w:p>
    <w:p>
      <w:pPr>
        <w:spacing w:after="60"/>
      </w:pPr>
      <w:r>
        <w:rPr>
          <w:b/>
        </w:rPr>
        <w:t>Correct Answer: A</w:t>
      </w:r>
    </w:p>
    <w:p>
      <w:pPr>
        <w:spacing w:after="40"/>
      </w:pPr>
      <w:r>
        <w:rPr>
          <w:b/>
        </w:rPr>
        <w:t>A. This person-in-environment assessment supports an accurate and usable service response.</w:t>
      </w:r>
    </w:p>
    <w:p>
      <w:pPr>
        <w:spacing w:after="40"/>
      </w:pPr>
      <w:r>
        <w:rPr>
          <w:b/>
        </w:rPr>
        <w:t>B. A resource may not fit the need, eligibility, location, or client preference.</w:t>
      </w:r>
    </w:p>
    <w:p>
      <w:pPr>
        <w:spacing w:after="40"/>
      </w:pPr>
      <w:r>
        <w:rPr>
          <w:b/>
        </w:rPr>
        <w:t>C. Emotional support may matter, but it does not replace assessment of the immediate material need.</w:t>
      </w:r>
    </w:p>
    <w:p>
      <w:pPr>
        <w:spacing w:after="40"/>
      </w:pPr>
      <w:r>
        <w:rPr>
          <w:b/>
        </w:rPr>
        <w:t>D. A referral list without fit or follow-through may not resolve the barrier.</w:t>
      </w:r>
    </w:p>
    <w:tbl>
      <w:tblPr>
        <w:tblW w:type="auto" w:w="0"/>
        <w:jc w:val="center"/>
        <w:tblLayout w:type="fixed"/>
        <w:tblLook w:firstColumn="1" w:firstRow="1" w:lastColumn="0" w:lastRow="0" w:noHBand="0" w:noVBand="1" w:val="04A0"/>
      </w:tblPr>
      <w:tblGrid>
        <w:gridCol w:w="9936"/>
      </w:tblGrid>
      <w:tr>
        <w:trPr>
          <w:cantSplit/>
        </w:trPr>
        <w:tc>
          <w:tcPr>
            <w:tcW w:type="dxa" w:w="10080"/>
            <w:shd w:fill="EAF4F8"/>
            <w:tcMar>
              <w:top w:w="100" w:type="dxa"/>
              <w:start w:w="120" w:type="dxa"/>
              <w:bottom w:w="100" w:type="dxa"/>
              <w:end w:w="120" w:type="dxa"/>
            </w:tcMar>
          </w:tcPr>
          <w:p>
            <w:pPr>
              <w:spacing w:after="40"/>
            </w:pPr>
            <w:r>
              <w:rPr>
                <w:b/>
                <w:color w:val="1F4E78"/>
                <w:sz w:val="17"/>
              </w:rPr>
              <w:t>EXAM STRATEGY</w:t>
            </w:r>
          </w:p>
          <w:p>
            <w:pPr>
              <w:spacing w:after="0"/>
            </w:pPr>
            <w:r>
              <w:rPr>
                <w:sz w:val="18"/>
              </w:rPr>
              <w:t>Assess the concrete need and the client’s context before referring. A phone number is not a completed intervention.</w:t>
            </w:r>
          </w:p>
        </w:tc>
      </w:tr>
    </w:tbl>
    <w:p>
      <w:pPr>
        <w:spacing w:after="0" w:before="0" w:line="240" w:lineRule="auto"/>
      </w:pPr>
      <w:r>
        <w:rPr>
          <w:sz w:val="6"/>
        </w:rPr>
      </w:r>
    </w:p>
    <w:p>
      <w:pPr>
        <w:pStyle w:val="Heading2"/>
        <w:keepNext/>
        <w:keepLines/>
        <w:pageBreakBefore w:val="0"/>
      </w:pPr>
      <w:r>
        <w:t>Question 6 (LCSW-WB04-Q006)</w:t>
      </w:r>
    </w:p>
    <w:p>
      <w:pPr>
        <w:spacing w:after="60"/>
      </w:pPr>
      <w:r>
        <w:rPr>
          <w:b/>
        </w:rPr>
        <w:t>Correct Answer: B</w:t>
      </w:r>
    </w:p>
    <w:p>
      <w:pPr>
        <w:spacing w:after="40"/>
      </w:pPr>
      <w:r>
        <w:rPr>
          <w:b/>
        </w:rPr>
        <w:t>A. This is punitive and does not identify the barrier.</w:t>
      </w:r>
    </w:p>
    <w:p>
      <w:pPr>
        <w:spacing w:after="40"/>
      </w:pPr>
      <w:r>
        <w:rPr>
          <w:b/>
        </w:rPr>
        <w:t>B. This involves the client and assesses person, treatment, and environment.</w:t>
      </w:r>
    </w:p>
    <w:p>
      <w:pPr>
        <w:spacing w:after="40"/>
      </w:pPr>
      <w:r>
        <w:rPr>
          <w:b/>
        </w:rPr>
        <w:t>C. The social worker cannot independently authorize medication and should involve the client.</w:t>
      </w:r>
    </w:p>
    <w:p>
      <w:pPr>
        <w:spacing w:after="40"/>
      </w:pPr>
      <w:r>
        <w:rPr>
          <w:b/>
        </w:rPr>
        <w:t>D. Family monitoring may be inappropriate and requires assessment and consent.</w:t>
      </w:r>
    </w:p>
    <w:tbl>
      <w:tblPr>
        <w:tblW w:type="auto" w:w="0"/>
        <w:jc w:val="center"/>
        <w:tblLayout w:type="fixed"/>
        <w:tblLook w:firstColumn="1" w:firstRow="1" w:lastColumn="0" w:lastRow="0" w:noHBand="0" w:noVBand="1" w:val="04A0"/>
      </w:tblPr>
      <w:tblGrid>
        <w:gridCol w:w="9936"/>
      </w:tblGrid>
      <w:tr>
        <w:trPr>
          <w:cantSplit/>
        </w:trPr>
        <w:tc>
          <w:tcPr>
            <w:tcW w:type="dxa" w:w="10080"/>
            <w:shd w:fill="EAF4F8"/>
            <w:tcMar>
              <w:top w:w="100" w:type="dxa"/>
              <w:start w:w="120" w:type="dxa"/>
              <w:bottom w:w="100" w:type="dxa"/>
              <w:end w:w="120" w:type="dxa"/>
            </w:tcMar>
          </w:tcPr>
          <w:p>
            <w:pPr>
              <w:spacing w:after="40"/>
            </w:pPr>
            <w:r>
              <w:rPr>
                <w:b/>
                <w:color w:val="1F4E78"/>
                <w:sz w:val="17"/>
              </w:rPr>
              <w:t>EXAM STRATEGY</w:t>
            </w:r>
          </w:p>
          <w:p>
            <w:pPr>
              <w:spacing w:after="0"/>
            </w:pPr>
            <w:r>
              <w:rPr>
                <w:sz w:val="18"/>
              </w:rPr>
              <w:t>Translate “noncompliance” into assessable barriers, symptoms, preferences, and safety concerns.</w:t>
            </w:r>
          </w:p>
        </w:tc>
      </w:tr>
    </w:tbl>
    <w:p>
      <w:pPr>
        <w:spacing w:after="0" w:before="0" w:line="240" w:lineRule="auto"/>
      </w:pPr>
      <w:r>
        <w:rPr>
          <w:sz w:val="6"/>
        </w:rPr>
      </w:r>
    </w:p>
    <w:p>
      <w:r>
        <w:br w:type="page"/>
      </w:r>
    </w:p>
    <w:p>
      <w:pPr>
        <w:pStyle w:val="Heading2"/>
        <w:keepNext/>
        <w:keepLines/>
        <w:pageBreakBefore w:val="0"/>
      </w:pPr>
      <w:r>
        <w:t>Question 7 (LCSW-WB04-Q007)</w:t>
      </w:r>
    </w:p>
    <w:p>
      <w:pPr>
        <w:spacing w:after="60"/>
      </w:pPr>
      <w:r>
        <w:rPr>
          <w:b/>
        </w:rPr>
        <w:t>Correct Answer: C</w:t>
      </w:r>
    </w:p>
    <w:p>
      <w:pPr>
        <w:spacing w:after="40"/>
      </w:pPr>
      <w:r>
        <w:rPr>
          <w:b/>
        </w:rPr>
        <w:t>A. Avoiding the topic may leave important risk and assessment information unaddressed.</w:t>
      </w:r>
    </w:p>
    <w:p>
      <w:pPr>
        <w:spacing w:after="40"/>
      </w:pPr>
      <w:r>
        <w:rPr>
          <w:b/>
        </w:rPr>
        <w:t>B. Tension is not diagnostic.</w:t>
      </w:r>
    </w:p>
    <w:p>
      <w:pPr>
        <w:spacing w:after="40"/>
      </w:pPr>
      <w:r>
        <w:rPr>
          <w:b/>
        </w:rPr>
        <w:t>C. This preserves transparency, trauma-informed pacing, and the need for clinically relevant information.</w:t>
      </w:r>
    </w:p>
    <w:p>
      <w:pPr>
        <w:spacing w:after="40"/>
      </w:pPr>
      <w:r>
        <w:rPr>
          <w:b/>
        </w:rPr>
        <w:t>D. Collateral contact is premature and may require permission.</w:t>
      </w:r>
    </w:p>
    <w:tbl>
      <w:tblPr>
        <w:tblW w:type="auto" w:w="0"/>
        <w:jc w:val="center"/>
        <w:tblLayout w:type="fixed"/>
        <w:tblLook w:firstColumn="1" w:firstRow="1" w:lastColumn="0" w:lastRow="0" w:noHBand="0" w:noVBand="1" w:val="04A0"/>
      </w:tblPr>
      <w:tblGrid>
        <w:gridCol w:w="9936"/>
      </w:tblGrid>
      <w:tr>
        <w:trPr>
          <w:cantSplit/>
        </w:trPr>
        <w:tc>
          <w:tcPr>
            <w:tcW w:type="dxa" w:w="10080"/>
            <w:shd w:fill="EAF4F8"/>
            <w:tcMar>
              <w:top w:w="100" w:type="dxa"/>
              <w:start w:w="120" w:type="dxa"/>
              <w:bottom w:w="100" w:type="dxa"/>
              <w:end w:w="120" w:type="dxa"/>
            </w:tcMar>
          </w:tcPr>
          <w:p>
            <w:pPr>
              <w:spacing w:after="40"/>
            </w:pPr>
            <w:r>
              <w:rPr>
                <w:b/>
                <w:color w:val="1F4E78"/>
                <w:sz w:val="17"/>
              </w:rPr>
              <w:t>EXAM STRATEGY</w:t>
            </w:r>
          </w:p>
          <w:p>
            <w:pPr>
              <w:spacing w:after="0"/>
            </w:pPr>
            <w:r>
              <w:rPr>
                <w:sz w:val="18"/>
              </w:rPr>
              <w:t>Sensitive inquiry should be relevant, transparent, behaviorally specific, paced, and connected to the next clinical step.</w:t>
            </w:r>
          </w:p>
        </w:tc>
      </w:tr>
    </w:tbl>
    <w:p>
      <w:pPr>
        <w:spacing w:after="0" w:before="0" w:line="240" w:lineRule="auto"/>
      </w:pPr>
      <w:r>
        <w:rPr>
          <w:sz w:val="6"/>
        </w:rPr>
      </w:r>
    </w:p>
    <w:p>
      <w:pPr>
        <w:pStyle w:val="Heading2"/>
        <w:keepNext/>
        <w:keepLines/>
        <w:pageBreakBefore w:val="0"/>
      </w:pPr>
      <w:r>
        <w:t>Question 8 (LCSW-WB04-Q008)</w:t>
      </w:r>
    </w:p>
    <w:p>
      <w:pPr>
        <w:spacing w:after="60"/>
      </w:pPr>
      <w:r>
        <w:rPr>
          <w:b/>
        </w:rPr>
        <w:t>Correct Answer: D</w:t>
      </w:r>
    </w:p>
    <w:p>
      <w:pPr>
        <w:spacing w:after="40"/>
      </w:pPr>
      <w:r>
        <w:rPr>
          <w:b/>
        </w:rPr>
        <w:t>A. Assessment must not delay emergency care.</w:t>
      </w:r>
    </w:p>
    <w:p>
      <w:pPr>
        <w:spacing w:after="40"/>
      </w:pPr>
      <w:r>
        <w:rPr>
          <w:b/>
        </w:rPr>
        <w:t>B. Collateral information is secondary to immediate response.</w:t>
      </w:r>
    </w:p>
    <w:p>
      <w:pPr>
        <w:spacing w:after="40"/>
      </w:pPr>
      <w:r>
        <w:rPr>
          <w:b/>
        </w:rPr>
        <w:t>C. A contract is irrelevant to the emergency.</w:t>
      </w:r>
    </w:p>
    <w:p>
      <w:pPr>
        <w:spacing w:after="40"/>
      </w:pPr>
      <w:r>
        <w:rPr>
          <w:b/>
        </w:rPr>
        <w:t>D. Reduced consciousness and slow breathing may indicate a life-threatening overdose.</w:t>
      </w:r>
    </w:p>
    <w:tbl>
      <w:tblPr>
        <w:tblW w:type="auto" w:w="0"/>
        <w:jc w:val="center"/>
        <w:tblLayout w:type="fixed"/>
        <w:tblLook w:firstColumn="1" w:firstRow="1" w:lastColumn="0" w:lastRow="0" w:noHBand="0" w:noVBand="1" w:val="04A0"/>
      </w:tblPr>
      <w:tblGrid>
        <w:gridCol w:w="9936"/>
      </w:tblGrid>
      <w:tr>
        <w:trPr>
          <w:cantSplit/>
        </w:trPr>
        <w:tc>
          <w:tcPr>
            <w:tcW w:type="dxa" w:w="10080"/>
            <w:shd w:fill="EAF4F8"/>
            <w:tcMar>
              <w:top w:w="100" w:type="dxa"/>
              <w:start w:w="120" w:type="dxa"/>
              <w:bottom w:w="100" w:type="dxa"/>
              <w:end w:w="120" w:type="dxa"/>
            </w:tcMar>
          </w:tcPr>
          <w:p>
            <w:pPr>
              <w:spacing w:after="40"/>
            </w:pPr>
            <w:r>
              <w:rPr>
                <w:b/>
                <w:color w:val="1F4E78"/>
                <w:sz w:val="17"/>
              </w:rPr>
              <w:t>EXAM STRATEGY</w:t>
            </w:r>
          </w:p>
          <w:p>
            <w:pPr>
              <w:spacing w:after="0"/>
            </w:pPr>
            <w:r>
              <w:rPr>
                <w:sz w:val="18"/>
              </w:rPr>
              <w:t>When the vignette contains signs of a life-threatening condition, choose emergency response before routine assessment or documentation.</w:t>
            </w:r>
          </w:p>
        </w:tc>
      </w:tr>
    </w:tbl>
    <w:p>
      <w:pPr>
        <w:spacing w:after="0" w:before="0" w:line="240" w:lineRule="auto"/>
      </w:pPr>
      <w:r>
        <w:rPr>
          <w:sz w:val="6"/>
        </w:rPr>
      </w:r>
    </w:p>
    <w:p>
      <w:pPr>
        <w:pStyle w:val="Heading2"/>
        <w:keepNext/>
        <w:keepLines/>
        <w:pageBreakBefore w:val="0"/>
      </w:pPr>
      <w:r>
        <w:t>Question 9 (LCSW-WB04-Q009)</w:t>
      </w:r>
    </w:p>
    <w:p>
      <w:pPr>
        <w:spacing w:after="60"/>
      </w:pPr>
      <w:r>
        <w:rPr>
          <w:b/>
        </w:rPr>
        <w:t>Correct Answer: A</w:t>
      </w:r>
    </w:p>
    <w:p>
      <w:pPr>
        <w:spacing w:after="40"/>
      </w:pPr>
      <w:r>
        <w:rPr>
          <w:b/>
        </w:rPr>
        <w:t>A. This applies person-in-environment assessment and coordinated discharge planning.</w:t>
      </w:r>
    </w:p>
    <w:p>
      <w:pPr>
        <w:spacing w:after="40"/>
      </w:pPr>
      <w:r>
        <w:rPr>
          <w:b/>
        </w:rPr>
        <w:t>B. The issue is an access barrier, not established noncompliance.</w:t>
      </w:r>
    </w:p>
    <w:p>
      <w:pPr>
        <w:spacing w:after="40"/>
      </w:pPr>
      <w:r>
        <w:rPr>
          <w:b/>
        </w:rPr>
        <w:t>C. Family support cannot be assumed or imposed.</w:t>
      </w:r>
    </w:p>
    <w:p>
      <w:pPr>
        <w:spacing w:after="40"/>
      </w:pPr>
      <w:r>
        <w:rPr>
          <w:b/>
        </w:rPr>
        <w:t>D. Dose changes are unsafe and outside the role.</w:t>
      </w:r>
    </w:p>
    <w:tbl>
      <w:tblPr>
        <w:tblW w:type="auto" w:w="0"/>
        <w:jc w:val="center"/>
        <w:tblLayout w:type="fixed"/>
        <w:tblLook w:firstColumn="1" w:firstRow="1" w:lastColumn="0" w:lastRow="0" w:noHBand="0" w:noVBand="1" w:val="04A0"/>
      </w:tblPr>
      <w:tblGrid>
        <w:gridCol w:w="9936"/>
      </w:tblGrid>
      <w:tr>
        <w:trPr>
          <w:cantSplit/>
        </w:trPr>
        <w:tc>
          <w:tcPr>
            <w:tcW w:type="dxa" w:w="10080"/>
            <w:shd w:fill="EAF4F8"/>
            <w:tcMar>
              <w:top w:w="100" w:type="dxa"/>
              <w:start w:w="120" w:type="dxa"/>
              <w:bottom w:w="100" w:type="dxa"/>
              <w:end w:w="120" w:type="dxa"/>
            </w:tcMar>
          </w:tcPr>
          <w:p>
            <w:pPr>
              <w:spacing w:after="40"/>
            </w:pPr>
            <w:r>
              <w:rPr>
                <w:b/>
                <w:color w:val="1F4E78"/>
                <w:sz w:val="17"/>
              </w:rPr>
              <w:t>EXAM STRATEGY</w:t>
            </w:r>
          </w:p>
          <w:p>
            <w:pPr>
              <w:spacing w:after="0"/>
            </w:pPr>
            <w:r>
              <w:rPr>
                <w:sz w:val="18"/>
              </w:rPr>
              <w:t>Integrate clinical risk, client choice, and concrete access barriers. Discharge planning is not complete until the plan is usable.</w:t>
            </w:r>
          </w:p>
        </w:tc>
      </w:tr>
    </w:tbl>
    <w:p>
      <w:pPr>
        <w:spacing w:after="0" w:before="0" w:line="240" w:lineRule="auto"/>
      </w:pPr>
      <w:r>
        <w:rPr>
          <w:sz w:val="6"/>
        </w:rPr>
      </w:r>
    </w:p>
    <w:p>
      <w:r>
        <w:br w:type="page"/>
      </w:r>
    </w:p>
    <w:p>
      <w:pPr>
        <w:pStyle w:val="Heading2"/>
        <w:keepNext/>
        <w:keepLines/>
        <w:pageBreakBefore w:val="0"/>
      </w:pPr>
      <w:r>
        <w:t>Question 10 (LCSW-WB04-Q010)</w:t>
      </w:r>
    </w:p>
    <w:p>
      <w:pPr>
        <w:spacing w:after="60"/>
      </w:pPr>
      <w:r>
        <w:rPr>
          <w:b/>
        </w:rPr>
        <w:t>Correct Answer: B</w:t>
      </w:r>
    </w:p>
    <w:p>
      <w:pPr>
        <w:spacing w:after="40"/>
      </w:pPr>
      <w:r>
        <w:rPr>
          <w:b/>
        </w:rPr>
        <w:t>A. Concern does not by itself determine level of care or override the patient.</w:t>
      </w:r>
    </w:p>
    <w:p>
      <w:pPr>
        <w:spacing w:after="40"/>
      </w:pPr>
      <w:r>
        <w:rPr>
          <w:b/>
        </w:rPr>
        <w:t>B. This integrates medical, medication, functional, environmental, and client-participation factors.</w:t>
      </w:r>
    </w:p>
    <w:p>
      <w:pPr>
        <w:spacing w:after="40"/>
      </w:pPr>
      <w:r>
        <w:rPr>
          <w:b/>
        </w:rPr>
        <w:t>C. Self-determination includes informed assessment of safety and ability.</w:t>
      </w:r>
    </w:p>
    <w:p>
      <w:pPr>
        <w:spacing w:after="40"/>
      </w:pPr>
      <w:r>
        <w:rPr>
          <w:b/>
        </w:rPr>
        <w:t>D. The social worker has a role in assessment and coordinated planning.</w:t>
      </w:r>
    </w:p>
    <w:tbl>
      <w:tblPr>
        <w:tblW w:type="auto" w:w="0"/>
        <w:jc w:val="center"/>
        <w:tblLayout w:type="fixed"/>
        <w:tblLook w:firstColumn="1" w:firstRow="1" w:lastColumn="0" w:lastRow="0" w:noHBand="0" w:noVBand="1" w:val="04A0"/>
      </w:tblPr>
      <w:tblGrid>
        <w:gridCol w:w="9936"/>
      </w:tblGrid>
      <w:tr>
        <w:trPr>
          <w:cantSplit/>
        </w:trPr>
        <w:tc>
          <w:tcPr>
            <w:tcW w:type="dxa" w:w="10080"/>
            <w:shd w:fill="EAF4F8"/>
            <w:tcMar>
              <w:top w:w="100" w:type="dxa"/>
              <w:start w:w="120" w:type="dxa"/>
              <w:bottom w:w="100" w:type="dxa"/>
              <w:end w:w="120" w:type="dxa"/>
            </w:tcMar>
          </w:tcPr>
          <w:p>
            <w:pPr>
              <w:spacing w:after="40"/>
            </w:pPr>
            <w:r>
              <w:rPr>
                <w:b/>
                <w:color w:val="1F4E78"/>
                <w:sz w:val="17"/>
              </w:rPr>
              <w:t>EXAM STRATEGY</w:t>
            </w:r>
          </w:p>
          <w:p>
            <w:pPr>
              <w:spacing w:after="0"/>
            </w:pPr>
            <w:r>
              <w:rPr>
                <w:sz w:val="18"/>
              </w:rPr>
              <w:t>Integrated challenge questions often require holding self-determination, safety, capacity, environment, and least restrictive planning at the same time.</w:t>
            </w:r>
          </w:p>
        </w:tc>
      </w:tr>
    </w:tbl>
    <w:p>
      <w:pPr>
        <w:spacing w:after="0" w:before="0" w:line="240" w:lineRule="auto"/>
      </w:pPr>
      <w:r>
        <w:rPr>
          <w:sz w:val="6"/>
        </w:rPr>
      </w:r>
    </w:p>
    <w:p>
      <w:pPr>
        <w:pStyle w:val="Heading1"/>
        <w:keepNext/>
        <w:keepLines/>
        <w:pageBreakBefore w:val="0"/>
      </w:pPr>
      <w:r>
        <w:t>Score and Study Plan</w:t>
      </w:r>
    </w:p>
    <w:tbl>
      <w:tblPr>
        <w:tblW w:type="auto" w:w="0"/>
        <w:jc w:val="center"/>
        <w:tblLayout w:type="fixed"/>
        <w:tblLook w:firstColumn="1" w:firstRow="1" w:lastColumn="0" w:lastRow="0" w:noHBand="0" w:noVBand="1" w:val="04A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3360"/>
        <w:gridCol w:w="3360"/>
        <w:gridCol w:w="3360"/>
      </w:tblGrid>
      <w:tr>
        <w:trPr>
          <w:tblHeader w:val="true"/>
          <w:cantSplit/>
        </w:trPr>
        <w:tc>
          <w:tcPr>
            <w:tcW w:type="dxa" w:w="1440"/>
            <w:shd w:fill="17365D"/>
            <w:tcMar>
              <w:top w:w="75" w:type="dxa"/>
              <w:start w:w="80" w:type="dxa"/>
              <w:bottom w:w="75" w:type="dxa"/>
              <w:end w:w="80" w:type="dxa"/>
            </w:tcMar>
          </w:tcPr>
          <w:p>
            <w:pPr>
              <w:jc w:val="left"/>
            </w:pPr>
            <w:r>
              <w:rPr>
                <w:b/>
                <w:color w:val="FFFFFF"/>
                <w:sz w:val="16"/>
              </w:rPr>
              <w:t>Score</w:t>
            </w:r>
          </w:p>
        </w:tc>
        <w:tc>
          <w:tcPr>
            <w:tcW w:type="dxa" w:w="2304"/>
            <w:shd w:fill="17365D"/>
            <w:tcMar>
              <w:top w:w="75" w:type="dxa"/>
              <w:start w:w="80" w:type="dxa"/>
              <w:bottom w:w="75" w:type="dxa"/>
              <w:end w:w="80" w:type="dxa"/>
            </w:tcMar>
          </w:tcPr>
          <w:p>
            <w:pPr>
              <w:jc w:val="left"/>
            </w:pPr>
            <w:r>
              <w:rPr>
                <w:b/>
                <w:color w:val="FFFFFF"/>
                <w:sz w:val="16"/>
              </w:rPr>
              <w:t>Interpretation</w:t>
            </w:r>
          </w:p>
        </w:tc>
        <w:tc>
          <w:tcPr>
            <w:tcW w:type="dxa" w:w="6192"/>
            <w:shd w:fill="17365D"/>
            <w:tcMar>
              <w:top w:w="75" w:type="dxa"/>
              <w:start w:w="80" w:type="dxa"/>
              <w:bottom w:w="75" w:type="dxa"/>
              <w:end w:w="80" w:type="dxa"/>
            </w:tcMar>
          </w:tcPr>
          <w:p>
            <w:pPr>
              <w:jc w:val="left"/>
            </w:pPr>
            <w:r>
              <w:rPr>
                <w:b/>
                <w:color w:val="FFFFFF"/>
                <w:sz w:val="16"/>
              </w:rPr>
              <w:t>Next Step</w:t>
            </w:r>
          </w:p>
        </w:tc>
      </w:tr>
      <w:tr>
        <w:trPr>
          <w:cantSplit/>
        </w:trPr>
        <w:tc>
          <w:tcPr>
            <w:tcW w:type="dxa" w:w="1440"/>
            <w:tcMar>
              <w:top w:w="65" w:type="dxa"/>
              <w:start w:w="75" w:type="dxa"/>
              <w:bottom w:w="65" w:type="dxa"/>
              <w:end w:w="75" w:type="dxa"/>
            </w:tcMar>
          </w:tcPr>
          <w:p>
            <w:pPr>
              <w:spacing w:after="0"/>
            </w:pPr>
            <w:r>
              <w:rPr>
                <w:sz w:val="16"/>
              </w:rPr>
              <w:t>9-10</w:t>
            </w:r>
          </w:p>
        </w:tc>
        <w:tc>
          <w:tcPr>
            <w:tcW w:type="dxa" w:w="2304"/>
            <w:tcMar>
              <w:top w:w="65" w:type="dxa"/>
              <w:start w:w="75" w:type="dxa"/>
              <w:bottom w:w="65" w:type="dxa"/>
              <w:end w:w="75" w:type="dxa"/>
            </w:tcMar>
          </w:tcPr>
          <w:p>
            <w:pPr>
              <w:spacing w:after="0"/>
            </w:pPr>
            <w:r>
              <w:rPr>
                <w:sz w:val="16"/>
              </w:rPr>
              <w:t>Strong foundation</w:t>
            </w:r>
          </w:p>
        </w:tc>
        <w:tc>
          <w:tcPr>
            <w:tcW w:type="dxa" w:w="6192"/>
            <w:tcMar>
              <w:top w:w="65" w:type="dxa"/>
              <w:start w:w="75" w:type="dxa"/>
              <w:bottom w:w="65" w:type="dxa"/>
              <w:end w:w="75" w:type="dxa"/>
            </w:tcMar>
          </w:tcPr>
          <w:p>
            <w:pPr>
              <w:spacing w:after="0"/>
            </w:pPr>
            <w:r>
              <w:rPr>
                <w:sz w:val="16"/>
              </w:rPr>
              <w:t>Continue to the next assigned workbook and revisit only uncertain concepts.</w:t>
            </w:r>
          </w:p>
        </w:tc>
      </w:tr>
      <w:tr>
        <w:trPr>
          <w:cantSplit/>
        </w:trPr>
        <w:tc>
          <w:tcPr>
            <w:tcW w:type="dxa" w:w="1440"/>
            <w:tcMar>
              <w:top w:w="65" w:type="dxa"/>
              <w:start w:w="75" w:type="dxa"/>
              <w:bottom w:w="65" w:type="dxa"/>
              <w:end w:w="75" w:type="dxa"/>
            </w:tcMar>
            <w:shd w:fill="F2F2F2"/>
          </w:tcPr>
          <w:p>
            <w:pPr>
              <w:spacing w:after="0"/>
            </w:pPr>
            <w:r>
              <w:rPr>
                <w:sz w:val="16"/>
              </w:rPr>
              <w:t>7-8</w:t>
            </w:r>
          </w:p>
        </w:tc>
        <w:tc>
          <w:tcPr>
            <w:tcW w:type="dxa" w:w="2304"/>
            <w:tcMar>
              <w:top w:w="65" w:type="dxa"/>
              <w:start w:w="75" w:type="dxa"/>
              <w:bottom w:w="65" w:type="dxa"/>
              <w:end w:w="75" w:type="dxa"/>
            </w:tcMar>
            <w:shd w:fill="F2F2F2"/>
          </w:tcPr>
          <w:p>
            <w:pPr>
              <w:spacing w:after="0"/>
            </w:pPr>
            <w:r>
              <w:rPr>
                <w:sz w:val="16"/>
              </w:rPr>
              <w:t>Developing mastery</w:t>
            </w:r>
          </w:p>
        </w:tc>
        <w:tc>
          <w:tcPr>
            <w:tcW w:type="dxa" w:w="6192"/>
            <w:tcMar>
              <w:top w:w="65" w:type="dxa"/>
              <w:start w:w="75" w:type="dxa"/>
              <w:bottom w:w="65" w:type="dxa"/>
              <w:end w:w="75" w:type="dxa"/>
            </w:tcMar>
            <w:shd w:fill="F2F2F2"/>
          </w:tcPr>
          <w:p>
            <w:pPr>
              <w:spacing w:after="0"/>
            </w:pPr>
            <w:r>
              <w:rPr>
                <w:sz w:val="16"/>
              </w:rPr>
              <w:t>Review missed rationales, rewrite the decision rule, and retry the missed items.</w:t>
            </w:r>
          </w:p>
        </w:tc>
      </w:tr>
      <w:tr>
        <w:trPr>
          <w:cantSplit/>
        </w:trPr>
        <w:tc>
          <w:tcPr>
            <w:tcW w:type="dxa" w:w="1440"/>
            <w:tcMar>
              <w:top w:w="65" w:type="dxa"/>
              <w:start w:w="75" w:type="dxa"/>
              <w:bottom w:w="65" w:type="dxa"/>
              <w:end w:w="75" w:type="dxa"/>
            </w:tcMar>
          </w:tcPr>
          <w:p>
            <w:pPr>
              <w:spacing w:after="0"/>
            </w:pPr>
            <w:r>
              <w:rPr>
                <w:sz w:val="16"/>
              </w:rPr>
              <w:t>5-6</w:t>
            </w:r>
          </w:p>
        </w:tc>
        <w:tc>
          <w:tcPr>
            <w:tcW w:type="dxa" w:w="2304"/>
            <w:tcMar>
              <w:top w:w="65" w:type="dxa"/>
              <w:start w:w="75" w:type="dxa"/>
              <w:bottom w:w="65" w:type="dxa"/>
              <w:end w:w="75" w:type="dxa"/>
            </w:tcMar>
          </w:tcPr>
          <w:p>
            <w:pPr>
              <w:spacing w:after="0"/>
            </w:pPr>
            <w:r>
              <w:rPr>
                <w:sz w:val="16"/>
              </w:rPr>
              <w:t>Needs reinforcement</w:t>
            </w:r>
          </w:p>
        </w:tc>
        <w:tc>
          <w:tcPr>
            <w:tcW w:type="dxa" w:w="6192"/>
            <w:tcMar>
              <w:top w:w="65" w:type="dxa"/>
              <w:start w:w="75" w:type="dxa"/>
              <w:bottom w:w="65" w:type="dxa"/>
              <w:end w:w="75" w:type="dxa"/>
            </w:tcMar>
          </w:tcPr>
          <w:p>
            <w:pPr>
              <w:spacing w:after="0"/>
            </w:pPr>
            <w:r>
              <w:rPr>
                <w:sz w:val="16"/>
              </w:rPr>
              <w:t>Repeat the core sequence and complete a second set of mixed vignettes.</w:t>
            </w:r>
          </w:p>
        </w:tc>
      </w:tr>
      <w:tr>
        <w:trPr>
          <w:cantSplit/>
        </w:trPr>
        <w:tc>
          <w:tcPr>
            <w:tcW w:type="dxa" w:w="1440"/>
            <w:tcMar>
              <w:top w:w="65" w:type="dxa"/>
              <w:start w:w="75" w:type="dxa"/>
              <w:bottom w:w="65" w:type="dxa"/>
              <w:end w:w="75" w:type="dxa"/>
            </w:tcMar>
            <w:shd w:fill="F2F2F2"/>
          </w:tcPr>
          <w:p>
            <w:pPr>
              <w:spacing w:after="0"/>
            </w:pPr>
            <w:r>
              <w:rPr>
                <w:sz w:val="16"/>
              </w:rPr>
              <w:t>0-4</w:t>
            </w:r>
          </w:p>
        </w:tc>
        <w:tc>
          <w:tcPr>
            <w:tcW w:type="dxa" w:w="2304"/>
            <w:tcMar>
              <w:top w:w="65" w:type="dxa"/>
              <w:start w:w="75" w:type="dxa"/>
              <w:bottom w:w="65" w:type="dxa"/>
              <w:end w:w="75" w:type="dxa"/>
            </w:tcMar>
            <w:shd w:fill="F2F2F2"/>
          </w:tcPr>
          <w:p>
            <w:pPr>
              <w:spacing w:after="0"/>
            </w:pPr>
            <w:r>
              <w:rPr>
                <w:sz w:val="16"/>
              </w:rPr>
              <w:t>Rebuild the foundation</w:t>
            </w:r>
          </w:p>
        </w:tc>
        <w:tc>
          <w:tcPr>
            <w:tcW w:type="dxa" w:w="6192"/>
            <w:tcMar>
              <w:top w:w="65" w:type="dxa"/>
              <w:start w:w="75" w:type="dxa"/>
              <w:bottom w:w="65" w:type="dxa"/>
              <w:end w:w="75" w:type="dxa"/>
            </w:tcMar>
            <w:shd w:fill="F2F2F2"/>
          </w:tcPr>
          <w:p>
            <w:pPr>
              <w:spacing w:after="0"/>
            </w:pPr>
            <w:r>
              <w:rPr>
                <w:sz w:val="16"/>
              </w:rPr>
              <w:t>Re-study the assessment sequence before attempting more complex intervention questions.</w:t>
            </w:r>
          </w:p>
        </w:tc>
      </w:tr>
    </w:tbl>
    <w:p>
      <w:pPr>
        <w:spacing w:after="0" w:before="0" w:line="240" w:lineRule="auto"/>
      </w:pPr>
      <w:r>
        <w:rPr>
          <w:sz w:val="8"/>
        </w:rPr>
      </w:r>
    </w:p>
    <w:tbl>
      <w:tblPr>
        <w:tblW w:type="auto" w:w="0"/>
        <w:jc w:val="center"/>
        <w:tblLayout w:type="fixed"/>
        <w:tblLook w:firstColumn="1" w:firstRow="1" w:lastColumn="0" w:lastRow="0" w:noHBand="0" w:noVBand="1" w:val="04A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5040"/>
        <w:gridCol w:w="5040"/>
      </w:tblGrid>
      <w:tr>
        <w:trPr>
          <w:tblHeader w:val="true"/>
          <w:cantSplit/>
        </w:trPr>
        <w:tc>
          <w:tcPr>
            <w:tcW w:type="dxa" w:w="7056"/>
            <w:gridSpan w:val="2"/>
            <w:shd w:fill="17365D"/>
            <w:tcMar>
              <w:top w:w="80" w:type="dxa"/>
              <w:start w:w="90" w:type="dxa"/>
              <w:bottom w:w="80" w:type="dxa"/>
              <w:end w:w="90" w:type="dxa"/>
            </w:tcMar>
          </w:tcPr>
          <w:p>
            <w:r>
              <w:rPr>
                <w:b/>
                <w:color w:val="FFFFFF"/>
                <w:sz w:val="18"/>
              </w:rPr>
              <w:t>Personal Study Plan</w:t>
            </w:r>
          </w:p>
        </w:tc>
      </w:tr>
      <w:tr>
        <w:trPr>
          <w:cantSplit/>
        </w:trPr>
        <w:tc>
          <w:tcPr>
            <w:tcW w:type="dxa" w:w="2880"/>
            <w:shd w:fill="EAF4F8"/>
            <w:tcMar>
              <w:top w:w="70" w:type="dxa"/>
              <w:start w:w="80" w:type="dxa"/>
              <w:bottom w:w="70" w:type="dxa"/>
              <w:end w:w="80" w:type="dxa"/>
            </w:tcMar>
          </w:tcPr>
          <w:p>
            <w:r>
              <w:rPr>
                <w:b/>
                <w:sz w:val="16"/>
              </w:rPr>
              <w:t>My strongest skill</w:t>
            </w:r>
          </w:p>
        </w:tc>
        <w:tc>
          <w:tcPr>
            <w:tcW w:type="dxa" w:w="7056"/>
            <w:tcMar>
              <w:top w:w="70" w:type="dxa"/>
              <w:start w:w="80" w:type="dxa"/>
              <w:bottom w:w="70" w:type="dxa"/>
              <w:end w:w="80" w:type="dxa"/>
            </w:tcMar>
          </w:tcPr>
          <w:p>
            <w:r>
              <w:t xml:space="preserve"> </w:t>
            </w:r>
          </w:p>
          <w:p>
            <w:r>
              <w:t xml:space="preserve"> </w:t>
            </w:r>
          </w:p>
        </w:tc>
      </w:tr>
      <w:tr>
        <w:trPr>
          <w:cantSplit/>
        </w:trPr>
        <w:tc>
          <w:tcPr>
            <w:tcW w:type="dxa" w:w="2880"/>
            <w:shd w:fill="EAF4F8"/>
            <w:tcMar>
              <w:top w:w="70" w:type="dxa"/>
              <w:start w:w="80" w:type="dxa"/>
              <w:bottom w:w="70" w:type="dxa"/>
              <w:end w:w="80" w:type="dxa"/>
            </w:tcMar>
          </w:tcPr>
          <w:p>
            <w:r>
              <w:rPr>
                <w:b/>
                <w:sz w:val="16"/>
              </w:rPr>
              <w:t>My most common trap</w:t>
            </w:r>
          </w:p>
        </w:tc>
        <w:tc>
          <w:tcPr>
            <w:tcW w:type="dxa" w:w="7056"/>
            <w:tcMar>
              <w:top w:w="70" w:type="dxa"/>
              <w:start w:w="80" w:type="dxa"/>
              <w:bottom w:w="70" w:type="dxa"/>
              <w:end w:w="80" w:type="dxa"/>
            </w:tcMar>
          </w:tcPr>
          <w:p>
            <w:r>
              <w:t xml:space="preserve"> </w:t>
            </w:r>
          </w:p>
          <w:p>
            <w:r>
              <w:t xml:space="preserve"> </w:t>
            </w:r>
          </w:p>
        </w:tc>
      </w:tr>
      <w:tr>
        <w:trPr>
          <w:cantSplit/>
        </w:trPr>
        <w:tc>
          <w:tcPr>
            <w:tcW w:type="dxa" w:w="2880"/>
            <w:shd w:fill="EAF4F8"/>
            <w:tcMar>
              <w:top w:w="70" w:type="dxa"/>
              <w:start w:w="80" w:type="dxa"/>
              <w:bottom w:w="70" w:type="dxa"/>
              <w:end w:w="80" w:type="dxa"/>
            </w:tcMar>
          </w:tcPr>
          <w:p>
            <w:r>
              <w:rPr>
                <w:b/>
                <w:sz w:val="16"/>
              </w:rPr>
              <w:t>One concept to review</w:t>
            </w:r>
          </w:p>
        </w:tc>
        <w:tc>
          <w:tcPr>
            <w:tcW w:type="dxa" w:w="7056"/>
            <w:tcMar>
              <w:top w:w="70" w:type="dxa"/>
              <w:start w:w="80" w:type="dxa"/>
              <w:bottom w:w="70" w:type="dxa"/>
              <w:end w:w="80" w:type="dxa"/>
            </w:tcMar>
          </w:tcPr>
          <w:p>
            <w:r>
              <w:t xml:space="preserve"> </w:t>
            </w:r>
          </w:p>
          <w:p>
            <w:r>
              <w:t xml:space="preserve"> </w:t>
            </w:r>
          </w:p>
        </w:tc>
      </w:tr>
      <w:tr>
        <w:trPr>
          <w:cantSplit/>
        </w:trPr>
        <w:tc>
          <w:tcPr>
            <w:tcW w:type="dxa" w:w="2880"/>
            <w:shd w:fill="EAF4F8"/>
            <w:tcMar>
              <w:top w:w="70" w:type="dxa"/>
              <w:start w:w="80" w:type="dxa"/>
              <w:bottom w:w="70" w:type="dxa"/>
              <w:end w:w="80" w:type="dxa"/>
            </w:tcMar>
          </w:tcPr>
          <w:p>
            <w:r>
              <w:rPr>
                <w:b/>
                <w:sz w:val="16"/>
              </w:rPr>
              <w:t>One action for the next study session</w:t>
            </w:r>
          </w:p>
        </w:tc>
        <w:tc>
          <w:tcPr>
            <w:tcW w:type="dxa" w:w="7056"/>
            <w:tcMar>
              <w:top w:w="70" w:type="dxa"/>
              <w:start w:w="80" w:type="dxa"/>
              <w:bottom w:w="70" w:type="dxa"/>
              <w:end w:w="80" w:type="dxa"/>
            </w:tcMar>
          </w:tcPr>
          <w:p>
            <w:r>
              <w:t xml:space="preserve"> </w:t>
            </w:r>
          </w:p>
          <w:p>
            <w:r>
              <w:t xml:space="preserve"> </w:t>
            </w:r>
          </w:p>
        </w:tc>
      </w:tr>
    </w:tbl>
    <w:p>
      <w:pPr>
        <w:spacing w:after="0" w:before="0" w:line="240" w:lineRule="auto"/>
      </w:pPr>
      <w:r>
        <w:rPr>
          <w:sz w:val="8"/>
        </w:rPr>
      </w:r>
    </w:p>
    <w:p>
      <w:pPr>
        <w:pStyle w:val="Heading1"/>
        <w:keepNext/>
        <w:keepLines/>
        <w:pageBreakBefore w:val="0"/>
      </w:pPr>
      <w:r>
        <w:t>Sources and Currency Note</w:t>
      </w:r>
    </w:p>
    <w:p>
      <w:pPr>
        <w:pStyle w:val="ListBullet"/>
      </w:pPr>
      <w:r>
        <w:t>Association of Social Work Boards. ASWB Examination Guidebook and 2026 Clinical content outline for examinations administered on or after August 3, 2026.</w:t>
      </w:r>
    </w:p>
    <w:p>
      <w:pPr>
        <w:pStyle w:val="ListBullet"/>
      </w:pPr>
      <w:r>
        <w:t>Association of Social Work Boards. 2026 Changes to the Social Work Licensing Exams.</w:t>
      </w:r>
    </w:p>
    <w:p>
      <w:pPr>
        <w:pStyle w:val="ListBullet"/>
      </w:pPr>
      <w:r>
        <w:t>Official examination outlines, testing rules, and jurisdictional requirements may change. Verify current ASWB and licensing-board requirements before testing.</w:t>
      </w:r>
    </w:p>
    <w:p>
      <w:pPr/>
      <w:r>
        <w:t>All practice questions are original CTA items. Examination specifications and professional requirements may change; consult current official sources before testing or practice.</w:t>
      </w:r>
    </w:p>
    <w:sectPr>
      <w:headerReference w:type="first" r:id="rId10"/>
      <w:footerReference w:type="first" r:id="rId11"/>
      <w:headerReference w:type="default" r:id="rId12"/>
      <w:footerReference w:type="default" r:id="rId13"/>
      <w:pgSz w:w="12240" w:h="15840"/>
      <w:pgMar w:top="936" w:right="1080" w:bottom="936" w:left="1080" w:header="360"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5040"/>
      <w:gridCol w:w="5040"/>
    </w:tblGrid>
    <w:tr>
      <w:tc>
        <w:tcPr>
          <w:tcW w:type="dxa" w:w="5040"/>
        </w:tcPr>
        <w:p>
          <w:r>
            <w:rPr>
              <w:rFonts w:ascii="Aptos" w:hAnsi="Aptos"/>
              <w:color w:val="6B7280"/>
              <w:sz w:val="16"/>
            </w:rPr>
            <w:t>Clinical Training Academy • Student Workbook v1.0</w:t>
          </w:r>
        </w:p>
      </w:tc>
      <w:tc>
        <w:tcPr>
          <w:tcW w:type="dxa" w:w="5040"/>
        </w:tcPr>
        <w:p>
          <w:pPr>
            <w:jc w:val="right"/>
          </w:pPr>
          <w:r>
            <w:rPr>
              <w:rFonts w:ascii="Aptos" w:hAnsi="Aptos"/>
              <w:color w:val="6B7280"/>
              <w:sz w:val="16"/>
            </w:rPr>
            <w:t xml:space="preserve">Page </w:t>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1325880" cy="299560"/>
          <wp:docPr id="1" name="Picture 1" descr="Image: item1.xml"/>
          <wp:cNvGraphicFramePr>
            <a:graphicFrameLocks noChangeAspect="1"/>
          </wp:cNvGraphicFramePr>
          <a:graphic>
            <a:graphicData uri="http://schemas.openxmlformats.org/drawingml/2006/picture">
              <pic:pic>
                <pic:nvPicPr>
                  <pic:cNvPr id="0" name="CTA_Horizontal_Logo.png"/>
                  <pic:cNvPicPr/>
                </pic:nvPicPr>
                <pic:blipFill>
                  <a:blip r:embed="rId1"/>
                  <a:stretch>
                    <a:fillRect/>
                  </a:stretch>
                </pic:blipFill>
                <pic:spPr>
                  <a:xfrm>
                    <a:off x="0" y="0"/>
                    <a:ext cx="1325880" cy="299560"/>
                  </a:xfrm>
                  <a:prstGeom prst="rect"/>
                </pic:spPr>
              </pic:pic>
            </a:graphicData>
          </a:graphic>
        </wp:inline>
      </w:drawing>
    </w:r>
    <w:r>
      <w:rPr>
        <w:rFonts w:ascii="Aptos" w:hAnsi="Aptos"/>
        <w:b/>
        <w:color w:val="6B7280"/>
        <w:sz w:val="16"/>
      </w:rPr>
      <w:t xml:space="preserve">   CTA LCSW Workbook 4 - Clinical Assessment, Interviewing, and Mental Status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0E749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eastAsia="Apto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Caps">
    <w:name w:val="CTA Small Caps"/>
    <w:pPr>
      <w:spacing w:after="40"/>
    </w:pPr>
    <w:rPr>
      <w:rFonts w:ascii="Aptos" w:hAnsi="Aptos"/>
      <w:b/>
      <w:color w:val="0E749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LCSW Workbook 4: Clinical Assessment, Interviewing, and Mental Status</dc:title>
  <dc:subject>Student-facing exam preparation workbook</dc:subject>
  <dc:creator/>
  <cp:keywords/>
  <dc:description>Version 1.0 - July 2026</dc:description>
  <cp:lastModifiedBy/>
  <cp:revision>1</cp:revision>
  <dcterms:created xsi:type="dcterms:W3CDTF">2013-12-23T23:15:00Z</dcterms:created>
  <dcterms:modified xsi:type="dcterms:W3CDTF">2013-12-23T23:15:00Z</dcterms:modified>
  <cp:category/>
</cp:coreProperties>
</file>