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234440" cy="892311"/>
            <wp:docPr id="1" name="Picture 1" descr="Clinical Training Academy logo" title="Clinical Training Academy"/>
            <wp:cNvGraphicFramePr>
              <a:graphicFrameLocks noChangeAspect="1"/>
            </wp:cNvGraphicFramePr>
            <a:graphic>
              <a:graphicData uri="http://schemas.openxmlformats.org/drawingml/2006/picture">
                <pic:pic>
                  <pic:nvPicPr>
                    <pic:cNvPr id="0" name="image.png" descr="Clinical Training Academy logo"/>
                    <pic:cNvPicPr/>
                  </pic:nvPicPr>
                  <pic:blipFill>
                    <a:blip r:embed="rId9"/>
                    <a:stretch>
                      <a:fillRect/>
                    </a:stretch>
                  </pic:blipFill>
                  <pic:spPr>
                    <a:xfrm>
                      <a:off x="0" y="0"/>
                      <a:ext cx="1234440" cy="892311"/>
                    </a:xfrm>
                    <a:prstGeom prst="rect"/>
                  </pic:spPr>
                </pic:pic>
              </a:graphicData>
            </a:graphic>
          </wp:inline>
        </w:drawing>
      </w:r>
    </w:p>
    <w:p>
      <w:pPr>
        <w:spacing w:after="60"/>
        <w:jc w:val="center"/>
      </w:pPr>
      <w:r>
        <w:rPr>
          <w:b/>
          <w:i w:val="0"/>
          <w:color w:val="0F7C82"/>
          <w:sz w:val="23"/>
        </w:rPr>
        <w:t>LCSW EXAM PREPARATION PROGRAM</w:t>
      </w:r>
    </w:p>
    <w:p>
      <w:pPr>
        <w:spacing w:after="240"/>
        <w:jc w:val="center"/>
      </w:pPr>
      <w:r>
        <w:rPr>
          <w:b/>
          <w:i w:val="0"/>
          <w:color w:val="C17C00"/>
          <w:sz w:val="30"/>
        </w:rPr>
        <w:t>Student Workbook</w:t>
      </w:r>
    </w:p>
    <w:p>
      <w:pPr>
        <w:pStyle w:val="Title"/>
        <w:spacing w:after="160"/>
        <w:jc w:val="center"/>
      </w:pPr>
      <w:r>
        <w:t>CTA LCSW Workbook 8: Clinical Interventions and Trauma-Informed Practice</w:t>
      </w:r>
    </w:p>
    <w:p>
      <w:pPr>
        <w:spacing w:after="240"/>
        <w:jc w:val="center"/>
      </w:pPr>
      <w:r>
        <w:rPr>
          <w:b w:val="0"/>
          <w:i/>
          <w:color w:val="5B6573"/>
          <w:sz w:val="24"/>
        </w:rPr>
        <w:t>How to match intervention function, timing, mechanism, readiness, strengths, culture, access, and scope to the client and person-in-environment formulation</w:t>
      </w:r>
    </w:p>
    <w:p>
      <w:pPr>
        <w:spacing w:after="360"/>
        <w:jc w:val="center"/>
      </w:pPr>
      <w:r>
        <w:rPr>
          <w:b w:val="0"/>
          <w:i w:val="0"/>
          <w:color w:val="667085"/>
          <w:sz w:val="21"/>
        </w:rPr>
        <w:t>Version 1.0 - July 2026</w:t>
      </w:r>
    </w:p>
    <w:p>
      <w:pPr>
        <w:spacing w:before="240"/>
        <w:jc w:val="center"/>
      </w:pPr>
      <w:r>
        <w:rPr>
          <w:b/>
          <w:i w:val="0"/>
          <w:color w:val="17365D"/>
          <w:sz w:val="22"/>
        </w:rPr>
        <w:t>Clinical Training Academy</w:t>
      </w:r>
    </w:p>
    <w:p>
      <w:r>
        <w:br w:type="page"/>
      </w:r>
    </w:p>
    <w:tbl>
      <w:tblPr>
        <w:tblW w:type="auto" w:w="0"/>
        <w:jc w:val="center"/>
        <w:tblLayout w:type="fixed"/>
        <w:tblLook w:firstColumn="1" w:firstRow="1" w:lastColumn="0" w:lastRow="0" w:noHBand="0" w:noVBand="1" w:val="04A0"/>
      </w:tblPr>
      <w:tblGrid>
        <w:gridCol w:w="8208"/>
      </w:tblGrid>
      <w:tr>
        <w:trPr>
          <w:cantSplit/>
          <w:tblHeader w:val="true"/>
        </w:trPr>
        <w:tc>
          <w:tcPr>
            <w:tcW w:type="dxa" w:w="10080"/>
            <w:shd w:fill="EEF6F8"/>
            <w:tcMar>
              <w:top w:w="120" w:type="dxa"/>
              <w:start w:w="140" w:type="dxa"/>
              <w:bottom w:w="120" w:type="dxa"/>
              <w:end w:w="140" w:type="dxa"/>
            </w:tcMar>
            <w:vAlign w:val="center"/>
          </w:tcPr>
          <w:p>
            <w:pPr>
              <w:spacing w:after="0" w:before="0" w:line="252" w:lineRule="auto"/>
              <w:jc w:val="center"/>
            </w:pPr>
            <w:r>
              <w:rPr>
                <w:b/>
              </w:rPr>
              <w:t>Educational and Non-Affiliation Notice</w:t>
            </w:r>
            <w:r>
              <w:br/>
              <w:t>This workbook is an independent educational resource developed by Clinical Training and Supervision Academy. CTA is not affiliated with, endorsed by, or sponsored by the California Board of Behavioral Sciences, Pearson VUE, the Association of Social Work Boards, or any other licensing or testing organization. Examination specifications, laws, regulations, and professional standards may change. Candidates are responsible for consulting current official sources. Completion of this program does not guarantee examination passage.</w:t>
            </w:r>
          </w:p>
        </w:tc>
      </w:tr>
    </w:tbl>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EEF6F8"/>
            <w:tcMar>
              <w:top w:w="120" w:type="dxa"/>
              <w:start w:w="140" w:type="dxa"/>
              <w:bottom w:w="120" w:type="dxa"/>
              <w:end w:w="140" w:type="dxa"/>
            </w:tcMar>
            <w:vAlign w:val="center"/>
          </w:tcPr>
          <w:p>
            <w:pPr>
              <w:spacing w:after="0" w:before="0" w:line="252" w:lineRule="auto"/>
            </w:pPr>
            <w:r>
              <w:rPr>
                <w:b/>
              </w:rPr>
              <w:t>National Examination and Clinical Scope Notice</w:t>
            </w:r>
            <w:r>
              <w:br/>
              <w:t>The ASWB examination is national. Unless a question supplies a jurisdiction or legal requirement, do not import California-specific rules. Follow the law stated in the item and use ethical clinical sequencing.</w:t>
              <w:br/>
              <w:br/>
              <w:t>The material is provided for examination preparation and professional education. It is not legal advice, clinical supervision, diagnosis, treatment, or a substitute for consultation with qualified legal, clinical, regulatory, or professional experts.</w:t>
            </w:r>
          </w:p>
        </w:tc>
      </w:tr>
    </w:tbl>
    <w:p>
      <w:pPr>
        <w:pStyle w:val="Heading1"/>
      </w:pPr>
      <w:r>
        <w:t>How to Use This Workbook</w:t>
      </w:r>
    </w:p>
    <w:p>
      <w:r>
        <w:rPr>
          <w:i w:val="0"/>
        </w:rPr>
        <w:t>Read the workbook in sequence and practice the FITS memory aid. For each vignette, identify the formulation, determine whether stabilization or a higher level of care is needed, name the target mechanism, evaluate suitability and access, and decide how the response will be checked. Complete the worksheet and all 10 questions before reviewing the rationales.</w:t>
      </w: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E7F5F4"/>
            <w:tcMar>
              <w:top w:w="150" w:type="dxa"/>
              <w:start w:w="180" w:type="dxa"/>
              <w:bottom w:w="150" w:type="dxa"/>
              <w:end w:w="180" w:type="dxa"/>
            </w:tcMar>
          </w:tcPr>
          <w:p>
            <w:pPr>
              <w:spacing w:after="80"/>
            </w:pPr>
            <w:r>
              <w:rPr>
                <w:b/>
                <w:i w:val="0"/>
                <w:color w:val="0F7C82"/>
              </w:rPr>
              <w:t>Core Exam Principle</w:t>
            </w:r>
          </w:p>
          <w:p>
            <w:pPr>
              <w:spacing w:after="0"/>
            </w:pPr>
            <w:r>
              <w:t>Do not choose an intervention because you recognize its name. Choose it because the target, timing, mechanism, client or client-system fit, and scope all line up.</w:t>
            </w:r>
          </w:p>
        </w:tc>
      </w:tr>
    </w:tbl>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FFF4D6"/>
            <w:tcMar>
              <w:top w:w="150" w:type="dxa"/>
              <w:start w:w="180" w:type="dxa"/>
              <w:bottom w:w="150" w:type="dxa"/>
              <w:end w:w="180" w:type="dxa"/>
            </w:tcMar>
          </w:tcPr>
          <w:p>
            <w:pPr>
              <w:spacing w:after="80"/>
            </w:pPr>
            <w:r>
              <w:rPr>
                <w:b/>
                <w:i w:val="0"/>
                <w:color w:val="C17C00"/>
              </w:rPr>
              <w:t>Blueprint Note</w:t>
            </w:r>
          </w:p>
          <w:p>
            <w:pPr>
              <w:spacing w:after="0"/>
            </w:pPr>
            <w:r>
              <w:t>For Clinical exams administered on or after August 3, 2026, the ASWB outline assigns 36% to Values and Ethics, 32% to Assessment and Planning, and 32% to Intervention and Practice. Intervention questions emphasize applied reasoning, client or client-system fit, ethical sequencing, and the use of both three- and four-option formats.</w:t>
            </w:r>
          </w:p>
        </w:tc>
      </w:tr>
    </w:tbl>
    <w:p>
      <w:pPr>
        <w:spacing w:after="0"/>
      </w:pPr>
    </w:p>
    <w:p>
      <w:pPr>
        <w:pStyle w:val="Heading1"/>
      </w:pPr>
      <w:r>
        <w:t>Learning Objectives</w:t>
      </w:r>
    </w:p>
    <w:p>
      <w:pPr>
        <w:pStyle w:val="ListBullet"/>
      </w:pPr>
      <w:r>
        <w:t>Use the FITS sequence to select and order interventions from person-in-environment formulation, immediacy, target mechanism, suitability, access, client preference, and response data.</w:t>
      </w:r>
    </w:p>
    <w:p>
      <w:pPr>
        <w:pStyle w:val="ListBullet"/>
      </w:pPr>
      <w:r>
        <w:t>Differentiate the exam-level functions and timing of trauma-informed care, cognitive and behavioral methods, DBT-informed skills, motivational interviewing, mindfulness, psychoeducation, grief support, problem solving, and harm reduction.</w:t>
      </w:r>
    </w:p>
    <w:p>
      <w:pPr>
        <w:pStyle w:val="ListBullet"/>
      </w:pPr>
      <w:r>
        <w:t>Determine when stabilization, resource intervention, medical or psychiatric coordination, consultation, referral, or a higher level of care should precede deeper clinical work.</w:t>
      </w:r>
    </w:p>
    <w:p>
      <w:pPr>
        <w:pStyle w:val="ListBullet"/>
      </w:pPr>
      <w:r>
        <w:t>Adapt intervention to development, culture, language, disability, health literacy, readiness, strengths, empowerment, environmental barriers, and actual service availability.</w:t>
      </w:r>
    </w:p>
    <w:p>
      <w:pPr>
        <w:pStyle w:val="ListBullet"/>
      </w:pPr>
      <w:r>
        <w:t>Evaluate ineffective or inaccessible interventions without blaming the client and protect competence and continuity through reassessment, advocacy, modification, consultation, or coordinated referral.</w:t>
      </w:r>
    </w:p>
    <w:p>
      <w:pPr>
        <w:pStyle w:val="Heading1"/>
      </w:pPr>
      <w:r>
        <w:t>Why This Topic Matters</w:t>
      </w:r>
    </w:p>
    <w:p>
      <w:r>
        <w:rPr>
          <w:i w:val="0"/>
        </w:rPr>
        <w:t>Intervention questions commonly present several reasonable methods. The best answer is the one that matches the current stage, the mechanism maintaining the problem, the client’s readiness and environment, and the social worker’s competence. A technique can be evidence informed and still be wrong now because the client needs safety, medical care, access support, or a smaller preparatory step first.</w:t>
      </w:r>
    </w:p>
    <w:p>
      <w:pPr>
        <w:pStyle w:val="Heading1"/>
      </w:pPr>
      <w:r>
        <w:t>1. The FITS Intervention Sequence</w:t>
      </w:r>
    </w:p>
    <w:tbl>
      <w:tblPr>
        <w:tblStyle w:val="TableGrid"/>
        <w:tblW w:type="auto" w:w="0"/>
        <w:jc w:val="center"/>
        <w:tblLayout w:type="fixed"/>
        <w:tblLook w:firstColumn="1" w:firstRow="1" w:lastColumn="0" w:lastRow="0" w:noHBand="0" w:noVBand="1" w:val="04A0"/>
      </w:tblPr>
      <w:tblGrid>
        <w:gridCol w:w="2088"/>
        <w:gridCol w:w="7848"/>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Step</w:t>
            </w:r>
          </w:p>
        </w:tc>
        <w:tc>
          <w:tcPr>
            <w:tcW w:type="dxa" w:w="5040"/>
            <w:shd w:fill="17365D"/>
            <w:tcMar>
              <w:top w:w="100" w:type="dxa"/>
              <w:start w:w="120" w:type="dxa"/>
              <w:bottom w:w="100" w:type="dxa"/>
              <w:end w:w="120" w:type="dxa"/>
            </w:tcMar>
          </w:tcPr>
          <w:p>
            <w:pPr>
              <w:spacing w:after="0"/>
            </w:pPr>
            <w:r>
              <w:rPr>
                <w:b/>
                <w:color w:val="FFFFFF"/>
                <w:sz w:val="17"/>
              </w:rPr>
              <w:t>Question</w:t>
            </w:r>
          </w:p>
        </w:tc>
      </w:tr>
      <w:tr>
        <w:trPr>
          <w:cantSplit/>
        </w:trPr>
        <w:tc>
          <w:tcPr>
            <w:tcW w:type="dxa" w:w="2088"/>
            <w:tcMar>
              <w:top w:w="100" w:type="dxa"/>
              <w:start w:w="120" w:type="dxa"/>
              <w:bottom w:w="100" w:type="dxa"/>
              <w:end w:w="120" w:type="dxa"/>
            </w:tcMar>
          </w:tcPr>
          <w:p>
            <w:pPr>
              <w:spacing w:after="0"/>
            </w:pPr>
            <w:r>
              <w:rPr>
                <w:sz w:val="17"/>
              </w:rPr>
              <w:t>F — Formulation</w:t>
            </w:r>
          </w:p>
        </w:tc>
        <w:tc>
          <w:tcPr>
            <w:tcW w:type="dxa" w:w="7848"/>
            <w:tcMar>
              <w:top w:w="100" w:type="dxa"/>
              <w:start w:w="120" w:type="dxa"/>
              <w:bottom w:w="100" w:type="dxa"/>
              <w:end w:w="120" w:type="dxa"/>
            </w:tcMar>
          </w:tcPr>
          <w:p>
            <w:pPr>
              <w:spacing w:after="0"/>
            </w:pPr>
            <w:r>
              <w:rPr>
                <w:sz w:val="17"/>
              </w:rPr>
              <w:t>What is maintaining the problem across clinical, functional, relational, environmental, and system factors?</w:t>
            </w:r>
          </w:p>
        </w:tc>
      </w:tr>
      <w:tr>
        <w:trPr>
          <w:cantSplit/>
        </w:trPr>
        <w:tc>
          <w:tcPr>
            <w:tcW w:type="dxa" w:w="2088"/>
            <w:tcMar>
              <w:top w:w="100" w:type="dxa"/>
              <w:start w:w="120" w:type="dxa"/>
              <w:bottom w:w="100" w:type="dxa"/>
              <w:end w:w="120" w:type="dxa"/>
            </w:tcMar>
            <w:shd w:fill="F7F8FA"/>
          </w:tcPr>
          <w:p>
            <w:pPr>
              <w:spacing w:after="0"/>
            </w:pPr>
            <w:r>
              <w:rPr>
                <w:sz w:val="17"/>
              </w:rPr>
              <w:t>I — Immediacy</w:t>
            </w:r>
          </w:p>
        </w:tc>
        <w:tc>
          <w:tcPr>
            <w:tcW w:type="dxa" w:w="7848"/>
            <w:tcMar>
              <w:top w:w="100" w:type="dxa"/>
              <w:start w:w="120" w:type="dxa"/>
              <w:bottom w:w="100" w:type="dxa"/>
              <w:end w:w="120" w:type="dxa"/>
            </w:tcMar>
            <w:shd w:fill="F7F8FA"/>
          </w:tcPr>
          <w:p>
            <w:pPr>
              <w:spacing w:after="0"/>
            </w:pPr>
            <w:r>
              <w:rPr>
                <w:sz w:val="17"/>
              </w:rPr>
              <w:t>Is stabilization, safety, medical evaluation, withdrawal management, or a higher level of care needed first?</w:t>
            </w:r>
          </w:p>
        </w:tc>
      </w:tr>
      <w:tr>
        <w:trPr>
          <w:cantSplit/>
        </w:trPr>
        <w:tc>
          <w:tcPr>
            <w:tcW w:type="dxa" w:w="2088"/>
            <w:tcMar>
              <w:top w:w="100" w:type="dxa"/>
              <w:start w:w="120" w:type="dxa"/>
              <w:bottom w:w="100" w:type="dxa"/>
              <w:end w:w="120" w:type="dxa"/>
            </w:tcMar>
          </w:tcPr>
          <w:p>
            <w:pPr>
              <w:spacing w:after="0"/>
            </w:pPr>
            <w:r>
              <w:rPr>
                <w:sz w:val="17"/>
              </w:rPr>
              <w:t>T — Target</w:t>
            </w:r>
          </w:p>
        </w:tc>
        <w:tc>
          <w:tcPr>
            <w:tcW w:type="dxa" w:w="7848"/>
            <w:tcMar>
              <w:top w:w="100" w:type="dxa"/>
              <w:start w:w="120" w:type="dxa"/>
              <w:bottom w:w="100" w:type="dxa"/>
              <w:end w:w="120" w:type="dxa"/>
            </w:tcMar>
          </w:tcPr>
          <w:p>
            <w:pPr>
              <w:spacing w:after="0"/>
            </w:pPr>
            <w:r>
              <w:rPr>
                <w:sz w:val="17"/>
              </w:rPr>
              <w:t>What thought, behavior, emotion, interaction, skill deficit, or barrier must change?</w:t>
            </w:r>
          </w:p>
        </w:tc>
      </w:tr>
      <w:tr>
        <w:trPr>
          <w:cantSplit/>
        </w:trPr>
        <w:tc>
          <w:tcPr>
            <w:tcW w:type="dxa" w:w="2088"/>
            <w:tcMar>
              <w:top w:w="100" w:type="dxa"/>
              <w:start w:w="120" w:type="dxa"/>
              <w:bottom w:w="100" w:type="dxa"/>
              <w:end w:w="120" w:type="dxa"/>
            </w:tcMar>
            <w:shd w:fill="F7F8FA"/>
          </w:tcPr>
          <w:p>
            <w:pPr>
              <w:spacing w:after="0"/>
            </w:pPr>
            <w:r>
              <w:rPr>
                <w:sz w:val="17"/>
              </w:rPr>
              <w:t>S — Suitability</w:t>
            </w:r>
          </w:p>
        </w:tc>
        <w:tc>
          <w:tcPr>
            <w:tcW w:type="dxa" w:w="7848"/>
            <w:tcMar>
              <w:top w:w="100" w:type="dxa"/>
              <w:start w:w="120" w:type="dxa"/>
              <w:bottom w:w="100" w:type="dxa"/>
              <w:end w:w="120" w:type="dxa"/>
            </w:tcMar>
            <w:shd w:fill="F7F8FA"/>
          </w:tcPr>
          <w:p>
            <w:pPr>
              <w:spacing w:after="0"/>
            </w:pPr>
            <w:r>
              <w:rPr>
                <w:sz w:val="17"/>
              </w:rPr>
              <w:t>Does the method fit readiness, development, culture, access, preference, health literacy, and competence?</w:t>
            </w:r>
          </w:p>
        </w:tc>
      </w:tr>
      <w:tr>
        <w:trPr>
          <w:cantSplit/>
        </w:trPr>
        <w:tc>
          <w:tcPr>
            <w:tcW w:type="dxa" w:w="2088"/>
            <w:tcMar>
              <w:top w:w="100" w:type="dxa"/>
              <w:start w:w="120" w:type="dxa"/>
              <w:bottom w:w="100" w:type="dxa"/>
              <w:end w:w="120" w:type="dxa"/>
            </w:tcMar>
          </w:tcPr>
          <w:p>
            <w:pPr>
              <w:spacing w:after="0"/>
            </w:pPr>
            <w:r>
              <w:rPr>
                <w:sz w:val="17"/>
              </w:rPr>
              <w:t>Response Check</w:t>
            </w:r>
          </w:p>
        </w:tc>
        <w:tc>
          <w:tcPr>
            <w:tcW w:type="dxa" w:w="7848"/>
            <w:tcMar>
              <w:top w:w="100" w:type="dxa"/>
              <w:start w:w="120" w:type="dxa"/>
              <w:bottom w:w="100" w:type="dxa"/>
              <w:end w:w="120" w:type="dxa"/>
            </w:tcMar>
          </w:tcPr>
          <w:p>
            <w:pPr>
              <w:spacing w:after="0"/>
            </w:pPr>
            <w:r>
              <w:rPr>
                <w:sz w:val="17"/>
              </w:rPr>
              <w:t>Is the intervention working, and what should be modified?</w:t>
            </w:r>
          </w:p>
        </w:tc>
      </w:tr>
    </w:tbl>
    <w:p>
      <w:pPr>
        <w:spacing w:after="0"/>
      </w:pP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FFF4D6"/>
            <w:tcMar>
              <w:top w:w="150" w:type="dxa"/>
              <w:start w:w="180" w:type="dxa"/>
              <w:bottom w:w="150" w:type="dxa"/>
              <w:end w:w="180" w:type="dxa"/>
            </w:tcMar>
          </w:tcPr>
          <w:p>
            <w:pPr>
              <w:spacing w:after="80"/>
            </w:pPr>
            <w:r>
              <w:rPr>
                <w:b/>
                <w:i w:val="0"/>
                <w:color w:val="C17C00"/>
              </w:rPr>
              <w:t>Memory Aid</w:t>
            </w:r>
          </w:p>
          <w:p>
            <w:pPr>
              <w:spacing w:after="0"/>
            </w:pPr>
            <w:r>
              <w:t>FITS: Formulation → Immediacy → Target → Suitability → Response Check</w:t>
            </w:r>
          </w:p>
        </w:tc>
      </w:tr>
    </w:tbl>
    <w:p>
      <w:pPr>
        <w:spacing w:after="0"/>
      </w:pPr>
    </w:p>
    <w:p>
      <w:pPr>
        <w:pStyle w:val="Heading1"/>
      </w:pPr>
      <w:r>
        <w:t>2. Intervention Functions</w:t>
      </w:r>
    </w:p>
    <w:tbl>
      <w:tblPr>
        <w:tblStyle w:val="TableGrid"/>
        <w:tblW w:type="auto" w:w="0"/>
        <w:jc w:val="center"/>
        <w:tblLayout w:type="fixed"/>
        <w:tblLook w:firstColumn="1" w:firstRow="1" w:lastColumn="0" w:lastRow="0" w:noHBand="0" w:noVBand="1" w:val="04A0"/>
      </w:tblPr>
      <w:tblGrid>
        <w:gridCol w:w="2592"/>
        <w:gridCol w:w="7344"/>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Clinical Function</w:t>
            </w:r>
          </w:p>
        </w:tc>
        <w:tc>
          <w:tcPr>
            <w:tcW w:type="dxa" w:w="5040"/>
            <w:shd w:fill="17365D"/>
            <w:tcMar>
              <w:top w:w="100" w:type="dxa"/>
              <w:start w:w="120" w:type="dxa"/>
              <w:bottom w:w="100" w:type="dxa"/>
              <w:end w:w="120" w:type="dxa"/>
            </w:tcMar>
          </w:tcPr>
          <w:p>
            <w:pPr>
              <w:spacing w:after="0"/>
            </w:pPr>
            <w:r>
              <w:rPr>
                <w:b/>
                <w:color w:val="FFFFFF"/>
                <w:sz w:val="17"/>
              </w:rPr>
              <w:t>Examples</w:t>
            </w:r>
          </w:p>
        </w:tc>
      </w:tr>
      <w:tr>
        <w:trPr>
          <w:cantSplit/>
        </w:trPr>
        <w:tc>
          <w:tcPr>
            <w:tcW w:type="dxa" w:w="2592"/>
            <w:tcMar>
              <w:top w:w="100" w:type="dxa"/>
              <w:start w:w="120" w:type="dxa"/>
              <w:bottom w:w="100" w:type="dxa"/>
              <w:end w:w="120" w:type="dxa"/>
            </w:tcMar>
          </w:tcPr>
          <w:p>
            <w:pPr>
              <w:spacing w:after="0"/>
            </w:pPr>
            <w:r>
              <w:rPr>
                <w:sz w:val="17"/>
              </w:rPr>
              <w:t>Engage</w:t>
            </w:r>
          </w:p>
        </w:tc>
        <w:tc>
          <w:tcPr>
            <w:tcW w:type="dxa" w:w="7344"/>
            <w:tcMar>
              <w:top w:w="100" w:type="dxa"/>
              <w:start w:w="120" w:type="dxa"/>
              <w:bottom w:w="100" w:type="dxa"/>
              <w:end w:w="120" w:type="dxa"/>
            </w:tcMar>
          </w:tcPr>
          <w:p>
            <w:pPr>
              <w:spacing w:after="0"/>
            </w:pPr>
            <w:r>
              <w:rPr>
                <w:sz w:val="17"/>
              </w:rPr>
              <w:t>Empathy, validation, transparency, motivational interviewing, and collaborative choice.</w:t>
            </w:r>
          </w:p>
        </w:tc>
      </w:tr>
      <w:tr>
        <w:trPr>
          <w:cantSplit/>
        </w:trPr>
        <w:tc>
          <w:tcPr>
            <w:tcW w:type="dxa" w:w="2592"/>
            <w:tcMar>
              <w:top w:w="100" w:type="dxa"/>
              <w:start w:w="120" w:type="dxa"/>
              <w:bottom w:w="100" w:type="dxa"/>
              <w:end w:w="120" w:type="dxa"/>
            </w:tcMar>
            <w:shd w:fill="F7F8FA"/>
          </w:tcPr>
          <w:p>
            <w:pPr>
              <w:spacing w:after="0"/>
            </w:pPr>
            <w:r>
              <w:rPr>
                <w:sz w:val="17"/>
              </w:rPr>
              <w:t>Stabilize</w:t>
            </w:r>
          </w:p>
        </w:tc>
        <w:tc>
          <w:tcPr>
            <w:tcW w:type="dxa" w:w="7344"/>
            <w:tcMar>
              <w:top w:w="100" w:type="dxa"/>
              <w:start w:w="120" w:type="dxa"/>
              <w:bottom w:w="100" w:type="dxa"/>
              <w:end w:w="120" w:type="dxa"/>
            </w:tcMar>
            <w:shd w:fill="F7F8FA"/>
          </w:tcPr>
          <w:p>
            <w:pPr>
              <w:spacing w:after="0"/>
            </w:pPr>
            <w:r>
              <w:rPr>
                <w:sz w:val="17"/>
              </w:rPr>
              <w:t>Grounding, crisis response, safety planning, distress tolerance, and environmental support.</w:t>
            </w:r>
          </w:p>
        </w:tc>
      </w:tr>
      <w:tr>
        <w:trPr>
          <w:cantSplit/>
        </w:trPr>
        <w:tc>
          <w:tcPr>
            <w:tcW w:type="dxa" w:w="2592"/>
            <w:tcMar>
              <w:top w:w="100" w:type="dxa"/>
              <w:start w:w="120" w:type="dxa"/>
              <w:bottom w:w="100" w:type="dxa"/>
              <w:end w:w="120" w:type="dxa"/>
            </w:tcMar>
          </w:tcPr>
          <w:p>
            <w:pPr>
              <w:spacing w:after="0"/>
            </w:pPr>
            <w:r>
              <w:rPr>
                <w:sz w:val="17"/>
              </w:rPr>
              <w:t>Educate</w:t>
            </w:r>
          </w:p>
        </w:tc>
        <w:tc>
          <w:tcPr>
            <w:tcW w:type="dxa" w:w="7344"/>
            <w:tcMar>
              <w:top w:w="100" w:type="dxa"/>
              <w:start w:w="120" w:type="dxa"/>
              <w:bottom w:w="100" w:type="dxa"/>
              <w:end w:w="120" w:type="dxa"/>
            </w:tcMar>
          </w:tcPr>
          <w:p>
            <w:pPr>
              <w:spacing w:after="0"/>
            </w:pPr>
            <w:r>
              <w:rPr>
                <w:sz w:val="17"/>
              </w:rPr>
              <w:t>Psychoeducation, relapse signs, medication-support information, parenting information, and resource orientation.</w:t>
            </w:r>
          </w:p>
        </w:tc>
      </w:tr>
      <w:tr>
        <w:trPr>
          <w:cantSplit/>
        </w:trPr>
        <w:tc>
          <w:tcPr>
            <w:tcW w:type="dxa" w:w="2592"/>
            <w:tcMar>
              <w:top w:w="100" w:type="dxa"/>
              <w:start w:w="120" w:type="dxa"/>
              <w:bottom w:w="100" w:type="dxa"/>
              <w:end w:w="120" w:type="dxa"/>
            </w:tcMar>
            <w:shd w:fill="F7F8FA"/>
          </w:tcPr>
          <w:p>
            <w:pPr>
              <w:spacing w:after="0"/>
            </w:pPr>
            <w:r>
              <w:rPr>
                <w:sz w:val="17"/>
              </w:rPr>
              <w:t>Build skills</w:t>
            </w:r>
          </w:p>
        </w:tc>
        <w:tc>
          <w:tcPr>
            <w:tcW w:type="dxa" w:w="7344"/>
            <w:tcMar>
              <w:top w:w="100" w:type="dxa"/>
              <w:start w:w="120" w:type="dxa"/>
              <w:bottom w:w="100" w:type="dxa"/>
              <w:end w:w="120" w:type="dxa"/>
            </w:tcMar>
            <w:shd w:fill="F7F8FA"/>
          </w:tcPr>
          <w:p>
            <w:pPr>
              <w:spacing w:after="0"/>
            </w:pPr>
            <w:r>
              <w:rPr>
                <w:sz w:val="17"/>
              </w:rPr>
              <w:t>Emotion regulation, communication, assertiveness, coping, problem solving, modeling, and rehearsal.</w:t>
            </w:r>
          </w:p>
        </w:tc>
      </w:tr>
      <w:tr>
        <w:trPr>
          <w:cantSplit/>
        </w:trPr>
        <w:tc>
          <w:tcPr>
            <w:tcW w:type="dxa" w:w="2592"/>
            <w:tcMar>
              <w:top w:w="100" w:type="dxa"/>
              <w:start w:w="120" w:type="dxa"/>
              <w:bottom w:w="100" w:type="dxa"/>
              <w:end w:w="120" w:type="dxa"/>
            </w:tcMar>
          </w:tcPr>
          <w:p>
            <w:pPr>
              <w:spacing w:after="0"/>
            </w:pPr>
            <w:r>
              <w:rPr>
                <w:sz w:val="17"/>
              </w:rPr>
              <w:t>Change maintaining patterns</w:t>
            </w:r>
          </w:p>
        </w:tc>
        <w:tc>
          <w:tcPr>
            <w:tcW w:type="dxa" w:w="7344"/>
            <w:tcMar>
              <w:top w:w="100" w:type="dxa"/>
              <w:start w:w="120" w:type="dxa"/>
              <w:bottom w:w="100" w:type="dxa"/>
              <w:end w:w="120" w:type="dxa"/>
            </w:tcMar>
          </w:tcPr>
          <w:p>
            <w:pPr>
              <w:spacing w:after="0"/>
            </w:pPr>
            <w:r>
              <w:rPr>
                <w:sz w:val="17"/>
              </w:rPr>
              <w:t>Cognitive restructuring, exposure, behavioral activation, contingency change, and relational restructuring.</w:t>
            </w:r>
          </w:p>
        </w:tc>
      </w:tr>
      <w:tr>
        <w:trPr>
          <w:cantSplit/>
        </w:trPr>
        <w:tc>
          <w:tcPr>
            <w:tcW w:type="dxa" w:w="2592"/>
            <w:tcMar>
              <w:top w:w="100" w:type="dxa"/>
              <w:start w:w="120" w:type="dxa"/>
              <w:bottom w:w="100" w:type="dxa"/>
              <w:end w:w="120" w:type="dxa"/>
            </w:tcMar>
            <w:shd w:fill="F7F8FA"/>
          </w:tcPr>
          <w:p>
            <w:pPr>
              <w:spacing w:after="0"/>
            </w:pPr>
            <w:r>
              <w:rPr>
                <w:sz w:val="17"/>
              </w:rPr>
              <w:t>Process and integrate</w:t>
            </w:r>
          </w:p>
        </w:tc>
        <w:tc>
          <w:tcPr>
            <w:tcW w:type="dxa" w:w="7344"/>
            <w:tcMar>
              <w:top w:w="100" w:type="dxa"/>
              <w:start w:w="120" w:type="dxa"/>
              <w:bottom w:w="100" w:type="dxa"/>
              <w:end w:w="120" w:type="dxa"/>
            </w:tcMar>
            <w:shd w:fill="F7F8FA"/>
          </w:tcPr>
          <w:p>
            <w:pPr>
              <w:spacing w:after="0"/>
            </w:pPr>
            <w:r>
              <w:rPr>
                <w:sz w:val="17"/>
              </w:rPr>
              <w:t>Grief work, meaning-making, and trauma processing by a trained clinician when appropriate.</w:t>
            </w:r>
          </w:p>
        </w:tc>
      </w:tr>
      <w:tr>
        <w:trPr>
          <w:cantSplit/>
        </w:trPr>
        <w:tc>
          <w:tcPr>
            <w:tcW w:type="dxa" w:w="2592"/>
            <w:tcMar>
              <w:top w:w="100" w:type="dxa"/>
              <w:start w:w="120" w:type="dxa"/>
              <w:bottom w:w="100" w:type="dxa"/>
              <w:end w:w="120" w:type="dxa"/>
            </w:tcMar>
          </w:tcPr>
          <w:p>
            <w:pPr>
              <w:spacing w:after="0"/>
            </w:pPr>
            <w:r>
              <w:rPr>
                <w:sz w:val="17"/>
              </w:rPr>
              <w:t>Mobilize systems</w:t>
            </w:r>
          </w:p>
        </w:tc>
        <w:tc>
          <w:tcPr>
            <w:tcW w:type="dxa" w:w="7344"/>
            <w:tcMar>
              <w:top w:w="100" w:type="dxa"/>
              <w:start w:w="120" w:type="dxa"/>
              <w:bottom w:w="100" w:type="dxa"/>
              <w:end w:w="120" w:type="dxa"/>
            </w:tcMar>
          </w:tcPr>
          <w:p>
            <w:pPr>
              <w:spacing w:after="0"/>
            </w:pPr>
            <w:r>
              <w:rPr>
                <w:sz w:val="17"/>
              </w:rPr>
              <w:t>Advocacy, case management, referral, care coordination, family support, and community resources.</w:t>
            </w:r>
          </w:p>
        </w:tc>
      </w:tr>
      <w:tr>
        <w:trPr>
          <w:cantSplit/>
        </w:trPr>
        <w:tc>
          <w:tcPr>
            <w:tcW w:type="dxa" w:w="2592"/>
            <w:tcMar>
              <w:top w:w="100" w:type="dxa"/>
              <w:start w:w="120" w:type="dxa"/>
              <w:bottom w:w="100" w:type="dxa"/>
              <w:end w:w="120" w:type="dxa"/>
            </w:tcMar>
            <w:shd w:fill="F7F8FA"/>
          </w:tcPr>
          <w:p>
            <w:pPr>
              <w:spacing w:after="0"/>
            </w:pPr>
            <w:r>
              <w:rPr>
                <w:sz w:val="17"/>
              </w:rPr>
              <w:t>Maintain gains</w:t>
            </w:r>
          </w:p>
        </w:tc>
        <w:tc>
          <w:tcPr>
            <w:tcW w:type="dxa" w:w="7344"/>
            <w:tcMar>
              <w:top w:w="100" w:type="dxa"/>
              <w:start w:w="120" w:type="dxa"/>
              <w:bottom w:w="100" w:type="dxa"/>
              <w:end w:w="120" w:type="dxa"/>
            </w:tcMar>
            <w:shd w:fill="F7F8FA"/>
          </w:tcPr>
          <w:p>
            <w:pPr>
              <w:spacing w:after="0"/>
            </w:pPr>
            <w:r>
              <w:rPr>
                <w:sz w:val="17"/>
              </w:rPr>
              <w:t>Relapse prevention, self-monitoring, aftercare, resource continuity, and follow-up planning.</w:t>
            </w:r>
          </w:p>
        </w:tc>
      </w:tr>
    </w:tbl>
    <w:p>
      <w:pPr>
        <w:spacing w:after="0"/>
      </w:pPr>
    </w:p>
    <w:p>
      <w:pPr>
        <w:pStyle w:val="Heading1"/>
      </w:pPr>
      <w:r>
        <w:t>3. Trauma-Informed Care and Timing</w:t>
      </w:r>
    </w:p>
    <w:p>
      <w:r>
        <w:rPr>
          <w:i w:val="0"/>
        </w:rPr>
        <w:t>Trauma-informed care is an approach rather than one branded technique. It recognizes trauma and its effects, reduces avoidable re-traumatization, supports transparency and choice, attends to safety and regulation, and adapts pacing to the client’s capacity. Detailed processing may be appropriate only after adequate assessment, informed participation, stabilization, and clinician competence.</w:t>
      </w:r>
    </w:p>
    <w:tbl>
      <w:tblPr>
        <w:tblStyle w:val="TableGrid"/>
        <w:tblW w:type="auto" w:w="0"/>
        <w:jc w:val="center"/>
        <w:tblLayout w:type="fixed"/>
        <w:tblLook w:firstColumn="1" w:firstRow="1" w:lastColumn="0" w:lastRow="0" w:noHBand="0" w:noVBand="1" w:val="04A0"/>
      </w:tblPr>
      <w:tblGrid>
        <w:gridCol w:w="2592"/>
        <w:gridCol w:w="7344"/>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Trauma-Informed Element</w:t>
            </w:r>
          </w:p>
        </w:tc>
        <w:tc>
          <w:tcPr>
            <w:tcW w:type="dxa" w:w="5040"/>
            <w:shd w:fill="17365D"/>
            <w:tcMar>
              <w:top w:w="100" w:type="dxa"/>
              <w:start w:w="120" w:type="dxa"/>
              <w:bottom w:w="100" w:type="dxa"/>
              <w:end w:w="120" w:type="dxa"/>
            </w:tcMar>
          </w:tcPr>
          <w:p>
            <w:pPr>
              <w:spacing w:after="0"/>
            </w:pPr>
            <w:r>
              <w:rPr>
                <w:b/>
                <w:color w:val="FFFFFF"/>
                <w:sz w:val="17"/>
              </w:rPr>
              <w:t>Exam-Level Application</w:t>
            </w:r>
          </w:p>
        </w:tc>
      </w:tr>
      <w:tr>
        <w:trPr>
          <w:cantSplit/>
        </w:trPr>
        <w:tc>
          <w:tcPr>
            <w:tcW w:type="dxa" w:w="2592"/>
            <w:tcMar>
              <w:top w:w="100" w:type="dxa"/>
              <w:start w:w="120" w:type="dxa"/>
              <w:bottom w:w="100" w:type="dxa"/>
              <w:end w:w="120" w:type="dxa"/>
            </w:tcMar>
          </w:tcPr>
          <w:p>
            <w:pPr>
              <w:spacing w:after="0"/>
            </w:pPr>
            <w:r>
              <w:rPr>
                <w:sz w:val="17"/>
              </w:rPr>
              <w:t>Safety</w:t>
            </w:r>
          </w:p>
        </w:tc>
        <w:tc>
          <w:tcPr>
            <w:tcW w:type="dxa" w:w="7344"/>
            <w:tcMar>
              <w:top w:w="100" w:type="dxa"/>
              <w:start w:w="120" w:type="dxa"/>
              <w:bottom w:w="100" w:type="dxa"/>
              <w:end w:w="120" w:type="dxa"/>
            </w:tcMar>
          </w:tcPr>
          <w:p>
            <w:pPr>
              <w:spacing w:after="0"/>
            </w:pPr>
            <w:r>
              <w:rPr>
                <w:sz w:val="17"/>
              </w:rPr>
              <w:t>Assess current danger, dissociation, self-harm, substance-related risk, and the environment before processing.</w:t>
            </w:r>
          </w:p>
        </w:tc>
      </w:tr>
      <w:tr>
        <w:trPr>
          <w:cantSplit/>
        </w:trPr>
        <w:tc>
          <w:tcPr>
            <w:tcW w:type="dxa" w:w="2592"/>
            <w:tcMar>
              <w:top w:w="100" w:type="dxa"/>
              <w:start w:w="120" w:type="dxa"/>
              <w:bottom w:w="100" w:type="dxa"/>
              <w:end w:w="120" w:type="dxa"/>
            </w:tcMar>
            <w:shd w:fill="F7F8FA"/>
          </w:tcPr>
          <w:p>
            <w:pPr>
              <w:spacing w:after="0"/>
            </w:pPr>
            <w:r>
              <w:rPr>
                <w:sz w:val="17"/>
              </w:rPr>
              <w:t>Choice and control</w:t>
            </w:r>
          </w:p>
        </w:tc>
        <w:tc>
          <w:tcPr>
            <w:tcW w:type="dxa" w:w="7344"/>
            <w:tcMar>
              <w:top w:w="100" w:type="dxa"/>
              <w:start w:w="120" w:type="dxa"/>
              <w:bottom w:w="100" w:type="dxa"/>
              <w:end w:w="120" w:type="dxa"/>
            </w:tcMar>
            <w:shd w:fill="F7F8FA"/>
          </w:tcPr>
          <w:p>
            <w:pPr>
              <w:spacing w:after="0"/>
            </w:pPr>
            <w:r>
              <w:rPr>
                <w:sz w:val="17"/>
              </w:rPr>
              <w:t>Offer options about pace, questions, positioning, breaks, and whether to continue.</w:t>
            </w:r>
          </w:p>
        </w:tc>
      </w:tr>
      <w:tr>
        <w:trPr>
          <w:cantSplit/>
        </w:trPr>
        <w:tc>
          <w:tcPr>
            <w:tcW w:type="dxa" w:w="2592"/>
            <w:tcMar>
              <w:top w:w="100" w:type="dxa"/>
              <w:start w:w="120" w:type="dxa"/>
              <w:bottom w:w="100" w:type="dxa"/>
              <w:end w:w="120" w:type="dxa"/>
            </w:tcMar>
          </w:tcPr>
          <w:p>
            <w:pPr>
              <w:spacing w:after="0"/>
            </w:pPr>
            <w:r>
              <w:rPr>
                <w:sz w:val="17"/>
              </w:rPr>
              <w:t>Transparency</w:t>
            </w:r>
          </w:p>
        </w:tc>
        <w:tc>
          <w:tcPr>
            <w:tcW w:type="dxa" w:w="7344"/>
            <w:tcMar>
              <w:top w:w="100" w:type="dxa"/>
              <w:start w:w="120" w:type="dxa"/>
              <w:bottom w:w="100" w:type="dxa"/>
              <w:end w:w="120" w:type="dxa"/>
            </w:tcMar>
          </w:tcPr>
          <w:p>
            <w:pPr>
              <w:spacing w:after="0"/>
            </w:pPr>
            <w:r>
              <w:rPr>
                <w:sz w:val="17"/>
              </w:rPr>
              <w:t>Explain the purpose of questions and what will happen with the information.</w:t>
            </w:r>
          </w:p>
        </w:tc>
      </w:tr>
      <w:tr>
        <w:trPr>
          <w:cantSplit/>
        </w:trPr>
        <w:tc>
          <w:tcPr>
            <w:tcW w:type="dxa" w:w="2592"/>
            <w:tcMar>
              <w:top w:w="100" w:type="dxa"/>
              <w:start w:w="120" w:type="dxa"/>
              <w:bottom w:w="100" w:type="dxa"/>
              <w:end w:w="120" w:type="dxa"/>
            </w:tcMar>
            <w:shd w:fill="F7F8FA"/>
          </w:tcPr>
          <w:p>
            <w:pPr>
              <w:spacing w:after="0"/>
            </w:pPr>
            <w:r>
              <w:rPr>
                <w:sz w:val="17"/>
              </w:rPr>
              <w:t>Regulation</w:t>
            </w:r>
          </w:p>
        </w:tc>
        <w:tc>
          <w:tcPr>
            <w:tcW w:type="dxa" w:w="7344"/>
            <w:tcMar>
              <w:top w:w="100" w:type="dxa"/>
              <w:start w:w="120" w:type="dxa"/>
              <w:bottom w:w="100" w:type="dxa"/>
              <w:end w:w="120" w:type="dxa"/>
            </w:tcMar>
            <w:shd w:fill="F7F8FA"/>
          </w:tcPr>
          <w:p>
            <w:pPr>
              <w:spacing w:after="0"/>
            </w:pPr>
            <w:r>
              <w:rPr>
                <w:sz w:val="17"/>
              </w:rPr>
              <w:t>Use grounding, orientation, paced breathing, sensory support, and present-moment coping when needed.</w:t>
            </w:r>
          </w:p>
        </w:tc>
      </w:tr>
      <w:tr>
        <w:trPr>
          <w:cantSplit/>
        </w:trPr>
        <w:tc>
          <w:tcPr>
            <w:tcW w:type="dxa" w:w="2592"/>
            <w:tcMar>
              <w:top w:w="100" w:type="dxa"/>
              <w:start w:w="120" w:type="dxa"/>
              <w:bottom w:w="100" w:type="dxa"/>
              <w:end w:w="120" w:type="dxa"/>
            </w:tcMar>
          </w:tcPr>
          <w:p>
            <w:pPr>
              <w:spacing w:after="0"/>
            </w:pPr>
            <w:r>
              <w:rPr>
                <w:sz w:val="17"/>
              </w:rPr>
              <w:t>Collaboration</w:t>
            </w:r>
          </w:p>
        </w:tc>
        <w:tc>
          <w:tcPr>
            <w:tcW w:type="dxa" w:w="7344"/>
            <w:tcMar>
              <w:top w:w="100" w:type="dxa"/>
              <w:start w:w="120" w:type="dxa"/>
              <w:bottom w:w="100" w:type="dxa"/>
              <w:end w:w="120" w:type="dxa"/>
            </w:tcMar>
          </w:tcPr>
          <w:p>
            <w:pPr>
              <w:spacing w:after="0"/>
            </w:pPr>
            <w:r>
              <w:rPr>
                <w:sz w:val="17"/>
              </w:rPr>
              <w:t>Develop goals and methods with the client rather than requiring disclosure or processing as a condition of care.</w:t>
            </w:r>
          </w:p>
        </w:tc>
      </w:tr>
      <w:tr>
        <w:trPr>
          <w:cantSplit/>
        </w:trPr>
        <w:tc>
          <w:tcPr>
            <w:tcW w:type="dxa" w:w="2592"/>
            <w:tcMar>
              <w:top w:w="100" w:type="dxa"/>
              <w:start w:w="120" w:type="dxa"/>
              <w:bottom w:w="100" w:type="dxa"/>
              <w:end w:w="120" w:type="dxa"/>
            </w:tcMar>
            <w:shd w:fill="F7F8FA"/>
          </w:tcPr>
          <w:p>
            <w:pPr>
              <w:spacing w:after="0"/>
            </w:pPr>
            <w:r>
              <w:rPr>
                <w:sz w:val="17"/>
              </w:rPr>
              <w:t>Cultural responsiveness</w:t>
            </w:r>
          </w:p>
        </w:tc>
        <w:tc>
          <w:tcPr>
            <w:tcW w:type="dxa" w:w="7344"/>
            <w:tcMar>
              <w:top w:w="100" w:type="dxa"/>
              <w:start w:w="120" w:type="dxa"/>
              <w:bottom w:w="100" w:type="dxa"/>
              <w:end w:w="120" w:type="dxa"/>
            </w:tcMar>
            <w:shd w:fill="F7F8FA"/>
          </w:tcPr>
          <w:p>
            <w:pPr>
              <w:spacing w:after="0"/>
            </w:pPr>
            <w:r>
              <w:rPr>
                <w:sz w:val="17"/>
              </w:rPr>
              <w:t>Ask how identity, history, discrimination, community, and healing traditions affect safety and fit.</w:t>
            </w:r>
          </w:p>
        </w:tc>
      </w:tr>
    </w:tbl>
    <w:p>
      <w:pPr>
        <w:spacing w:after="0"/>
      </w:pP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FCE8E6"/>
            <w:tcMar>
              <w:top w:w="150" w:type="dxa"/>
              <w:start w:w="180" w:type="dxa"/>
              <w:bottom w:w="150" w:type="dxa"/>
              <w:end w:w="180" w:type="dxa"/>
            </w:tcMar>
          </w:tcPr>
          <w:p>
            <w:pPr>
              <w:spacing w:after="80"/>
            </w:pPr>
            <w:r>
              <w:rPr>
                <w:b/>
                <w:i w:val="0"/>
                <w:color w:val="9C2B2E"/>
              </w:rPr>
              <w:t>Common Trap</w:t>
            </w:r>
          </w:p>
          <w:p>
            <w:pPr>
              <w:spacing w:after="0"/>
            </w:pPr>
            <w:r>
              <w:t>Selecting exposure, a trauma narrative, or another processing method before the client is oriented, safe enough, informed, and able to participate.</w:t>
            </w:r>
          </w:p>
        </w:tc>
      </w:tr>
    </w:tbl>
    <w:p>
      <w:pPr>
        <w:spacing w:after="0"/>
      </w:pPr>
    </w:p>
    <w:p>
      <w:pPr>
        <w:pStyle w:val="Heading1"/>
      </w:pPr>
      <w:r>
        <w:t>4. Cognitive and Behavioral Methods</w:t>
      </w:r>
    </w:p>
    <w:tbl>
      <w:tblPr>
        <w:tblStyle w:val="TableGrid"/>
        <w:tblW w:type="auto" w:w="0"/>
        <w:jc w:val="center"/>
        <w:tblLayout w:type="fixed"/>
        <w:tblLook w:firstColumn="1" w:firstRow="1" w:lastColumn="0" w:lastRow="0" w:noHBand="0" w:noVBand="1" w:val="04A0"/>
      </w:tblPr>
      <w:tblGrid>
        <w:gridCol w:w="2088"/>
        <w:gridCol w:w="3096"/>
        <w:gridCol w:w="4752"/>
      </w:tblGrid>
      <w:tr>
        <w:trPr>
          <w:tblHeader w:val="true"/>
          <w:cantSplit/>
        </w:trPr>
        <w:tc>
          <w:tcPr>
            <w:tcW w:type="dxa" w:w="3360"/>
            <w:shd w:fill="17365D"/>
            <w:tcMar>
              <w:top w:w="100" w:type="dxa"/>
              <w:start w:w="120" w:type="dxa"/>
              <w:bottom w:w="100" w:type="dxa"/>
              <w:end w:w="120" w:type="dxa"/>
            </w:tcMar>
          </w:tcPr>
          <w:p>
            <w:pPr>
              <w:spacing w:after="0"/>
            </w:pPr>
            <w:r>
              <w:rPr>
                <w:b/>
                <w:color w:val="FFFFFF"/>
                <w:sz w:val="17"/>
              </w:rPr>
              <w:t>Method</w:t>
            </w:r>
          </w:p>
        </w:tc>
        <w:tc>
          <w:tcPr>
            <w:tcW w:type="dxa" w:w="3360"/>
            <w:shd w:fill="17365D"/>
            <w:tcMar>
              <w:top w:w="100" w:type="dxa"/>
              <w:start w:w="120" w:type="dxa"/>
              <w:bottom w:w="100" w:type="dxa"/>
              <w:end w:w="120" w:type="dxa"/>
            </w:tcMar>
          </w:tcPr>
          <w:p>
            <w:pPr>
              <w:spacing w:after="0"/>
            </w:pPr>
            <w:r>
              <w:rPr>
                <w:b/>
                <w:color w:val="FFFFFF"/>
                <w:sz w:val="17"/>
              </w:rPr>
              <w:t>Primary Target</w:t>
            </w:r>
          </w:p>
        </w:tc>
        <w:tc>
          <w:tcPr>
            <w:tcW w:type="dxa" w:w="3360"/>
            <w:shd w:fill="17365D"/>
            <w:tcMar>
              <w:top w:w="100" w:type="dxa"/>
              <w:start w:w="120" w:type="dxa"/>
              <w:bottom w:w="100" w:type="dxa"/>
              <w:end w:w="120" w:type="dxa"/>
            </w:tcMar>
          </w:tcPr>
          <w:p>
            <w:pPr>
              <w:spacing w:after="0"/>
            </w:pPr>
            <w:r>
              <w:rPr>
                <w:b/>
                <w:color w:val="FFFFFF"/>
                <w:sz w:val="17"/>
              </w:rPr>
              <w:t>Exam-Level Application</w:t>
            </w:r>
          </w:p>
        </w:tc>
      </w:tr>
      <w:tr>
        <w:trPr>
          <w:cantSplit/>
        </w:trPr>
        <w:tc>
          <w:tcPr>
            <w:tcW w:type="dxa" w:w="2088"/>
            <w:tcMar>
              <w:top w:w="100" w:type="dxa"/>
              <w:start w:w="120" w:type="dxa"/>
              <w:bottom w:w="100" w:type="dxa"/>
              <w:end w:w="120" w:type="dxa"/>
            </w:tcMar>
          </w:tcPr>
          <w:p>
            <w:pPr>
              <w:spacing w:after="0"/>
            </w:pPr>
            <w:r>
              <w:rPr>
                <w:sz w:val="17"/>
              </w:rPr>
              <w:t>Cognitive restructuring</w:t>
            </w:r>
          </w:p>
        </w:tc>
        <w:tc>
          <w:tcPr>
            <w:tcW w:type="dxa" w:w="3096"/>
            <w:tcMar>
              <w:top w:w="100" w:type="dxa"/>
              <w:start w:w="120" w:type="dxa"/>
              <w:bottom w:w="100" w:type="dxa"/>
              <w:end w:w="120" w:type="dxa"/>
            </w:tcMar>
          </w:tcPr>
          <w:p>
            <w:pPr>
              <w:spacing w:after="0"/>
            </w:pPr>
            <w:r>
              <w:rPr>
                <w:sz w:val="17"/>
              </w:rPr>
              <w:t>Distorted or unhelpful appraisals.</w:t>
            </w:r>
          </w:p>
        </w:tc>
        <w:tc>
          <w:tcPr>
            <w:tcW w:type="dxa" w:w="4752"/>
            <w:tcMar>
              <w:top w:w="100" w:type="dxa"/>
              <w:start w:w="120" w:type="dxa"/>
              <w:bottom w:w="100" w:type="dxa"/>
              <w:end w:w="120" w:type="dxa"/>
            </w:tcMar>
          </w:tcPr>
          <w:p>
            <w:pPr>
              <w:spacing w:after="0"/>
            </w:pPr>
            <w:r>
              <w:rPr>
                <w:sz w:val="17"/>
              </w:rPr>
              <w:t>Identify the thought, examine evidence, develop a more workable appraisal, and test it in behavior.</w:t>
            </w:r>
          </w:p>
        </w:tc>
      </w:tr>
      <w:tr>
        <w:trPr>
          <w:cantSplit/>
        </w:trPr>
        <w:tc>
          <w:tcPr>
            <w:tcW w:type="dxa" w:w="2088"/>
            <w:tcMar>
              <w:top w:w="100" w:type="dxa"/>
              <w:start w:w="120" w:type="dxa"/>
              <w:bottom w:w="100" w:type="dxa"/>
              <w:end w:w="120" w:type="dxa"/>
            </w:tcMar>
            <w:shd w:fill="F7F8FA"/>
          </w:tcPr>
          <w:p>
            <w:pPr>
              <w:spacing w:after="0"/>
            </w:pPr>
            <w:r>
              <w:rPr>
                <w:sz w:val="17"/>
              </w:rPr>
              <w:t>Behavioral activation</w:t>
            </w:r>
          </w:p>
        </w:tc>
        <w:tc>
          <w:tcPr>
            <w:tcW w:type="dxa" w:w="3096"/>
            <w:tcMar>
              <w:top w:w="100" w:type="dxa"/>
              <w:start w:w="120" w:type="dxa"/>
              <w:bottom w:w="100" w:type="dxa"/>
              <w:end w:w="120" w:type="dxa"/>
            </w:tcMar>
            <w:shd w:fill="F7F8FA"/>
          </w:tcPr>
          <w:p>
            <w:pPr>
              <w:spacing w:after="0"/>
            </w:pPr>
            <w:r>
              <w:rPr>
                <w:sz w:val="17"/>
              </w:rPr>
              <w:t>Withdrawal and reduced reinforcement.</w:t>
            </w:r>
          </w:p>
        </w:tc>
        <w:tc>
          <w:tcPr>
            <w:tcW w:type="dxa" w:w="4752"/>
            <w:tcMar>
              <w:top w:w="100" w:type="dxa"/>
              <w:start w:w="120" w:type="dxa"/>
              <w:bottom w:w="100" w:type="dxa"/>
              <w:end w:w="120" w:type="dxa"/>
            </w:tcMar>
            <w:shd w:fill="F7F8FA"/>
          </w:tcPr>
          <w:p>
            <w:pPr>
              <w:spacing w:after="0"/>
            </w:pPr>
            <w:r>
              <w:rPr>
                <w:sz w:val="17"/>
              </w:rPr>
              <w:t>Schedule meaningful, achievable activities and monitor mood and functioning.</w:t>
            </w:r>
          </w:p>
        </w:tc>
      </w:tr>
      <w:tr>
        <w:trPr>
          <w:cantSplit/>
        </w:trPr>
        <w:tc>
          <w:tcPr>
            <w:tcW w:type="dxa" w:w="2088"/>
            <w:tcMar>
              <w:top w:w="100" w:type="dxa"/>
              <w:start w:w="120" w:type="dxa"/>
              <w:bottom w:w="100" w:type="dxa"/>
              <w:end w:w="120" w:type="dxa"/>
            </w:tcMar>
          </w:tcPr>
          <w:p>
            <w:pPr>
              <w:spacing w:after="0"/>
            </w:pPr>
            <w:r>
              <w:rPr>
                <w:sz w:val="17"/>
              </w:rPr>
              <w:t>Exposure</w:t>
            </w:r>
          </w:p>
        </w:tc>
        <w:tc>
          <w:tcPr>
            <w:tcW w:type="dxa" w:w="3096"/>
            <w:tcMar>
              <w:top w:w="100" w:type="dxa"/>
              <w:start w:w="120" w:type="dxa"/>
              <w:bottom w:w="100" w:type="dxa"/>
              <w:end w:w="120" w:type="dxa"/>
            </w:tcMar>
          </w:tcPr>
          <w:p>
            <w:pPr>
              <w:spacing w:after="0"/>
            </w:pPr>
            <w:r>
              <w:rPr>
                <w:sz w:val="17"/>
              </w:rPr>
              <w:t>Fear maintained by avoidance.</w:t>
            </w:r>
          </w:p>
        </w:tc>
        <w:tc>
          <w:tcPr>
            <w:tcW w:type="dxa" w:w="4752"/>
            <w:tcMar>
              <w:top w:w="100" w:type="dxa"/>
              <w:start w:w="120" w:type="dxa"/>
              <w:bottom w:w="100" w:type="dxa"/>
              <w:end w:w="120" w:type="dxa"/>
            </w:tcMar>
          </w:tcPr>
          <w:p>
            <w:pPr>
              <w:spacing w:after="0"/>
            </w:pPr>
            <w:r>
              <w:rPr>
                <w:sz w:val="17"/>
              </w:rPr>
              <w:t>Use planned, graduated exposure when indicated, with preparation, consent, and appropriate competence.</w:t>
            </w:r>
          </w:p>
        </w:tc>
      </w:tr>
      <w:tr>
        <w:trPr>
          <w:cantSplit/>
        </w:trPr>
        <w:tc>
          <w:tcPr>
            <w:tcW w:type="dxa" w:w="2088"/>
            <w:tcMar>
              <w:top w:w="100" w:type="dxa"/>
              <w:start w:w="120" w:type="dxa"/>
              <w:bottom w:w="100" w:type="dxa"/>
              <w:end w:w="120" w:type="dxa"/>
            </w:tcMar>
            <w:shd w:fill="F7F8FA"/>
          </w:tcPr>
          <w:p>
            <w:pPr>
              <w:spacing w:after="0"/>
            </w:pPr>
            <w:r>
              <w:rPr>
                <w:sz w:val="17"/>
              </w:rPr>
              <w:t>Skills and rehearsal</w:t>
            </w:r>
          </w:p>
        </w:tc>
        <w:tc>
          <w:tcPr>
            <w:tcW w:type="dxa" w:w="3096"/>
            <w:tcMar>
              <w:top w:w="100" w:type="dxa"/>
              <w:start w:w="120" w:type="dxa"/>
              <w:bottom w:w="100" w:type="dxa"/>
              <w:end w:w="120" w:type="dxa"/>
            </w:tcMar>
            <w:shd w:fill="F7F8FA"/>
          </w:tcPr>
          <w:p>
            <w:pPr>
              <w:spacing w:after="0"/>
            </w:pPr>
            <w:r>
              <w:rPr>
                <w:sz w:val="17"/>
              </w:rPr>
              <w:t>Performance deficit or inconsistent use.</w:t>
            </w:r>
          </w:p>
        </w:tc>
        <w:tc>
          <w:tcPr>
            <w:tcW w:type="dxa" w:w="4752"/>
            <w:tcMar>
              <w:top w:w="100" w:type="dxa"/>
              <w:start w:w="120" w:type="dxa"/>
              <w:bottom w:w="100" w:type="dxa"/>
              <w:end w:w="120" w:type="dxa"/>
            </w:tcMar>
            <w:shd w:fill="F7F8FA"/>
          </w:tcPr>
          <w:p>
            <w:pPr>
              <w:spacing w:after="0"/>
            </w:pPr>
            <w:r>
              <w:rPr>
                <w:sz w:val="17"/>
              </w:rPr>
              <w:t>Teach, model, role play, provide feedback, and practice in graduated steps.</w:t>
            </w:r>
          </w:p>
        </w:tc>
      </w:tr>
      <w:tr>
        <w:trPr>
          <w:cantSplit/>
        </w:trPr>
        <w:tc>
          <w:tcPr>
            <w:tcW w:type="dxa" w:w="2088"/>
            <w:tcMar>
              <w:top w:w="100" w:type="dxa"/>
              <w:start w:w="120" w:type="dxa"/>
              <w:bottom w:w="100" w:type="dxa"/>
              <w:end w:w="120" w:type="dxa"/>
            </w:tcMar>
          </w:tcPr>
          <w:p>
            <w:pPr>
              <w:spacing w:after="0"/>
            </w:pPr>
            <w:r>
              <w:rPr>
                <w:sz w:val="17"/>
              </w:rPr>
              <w:t>Contingency change</w:t>
            </w:r>
          </w:p>
        </w:tc>
        <w:tc>
          <w:tcPr>
            <w:tcW w:type="dxa" w:w="3096"/>
            <w:tcMar>
              <w:top w:w="100" w:type="dxa"/>
              <w:start w:w="120" w:type="dxa"/>
              <w:bottom w:w="100" w:type="dxa"/>
              <w:end w:w="120" w:type="dxa"/>
            </w:tcMar>
          </w:tcPr>
          <w:p>
            <w:pPr>
              <w:spacing w:after="0"/>
            </w:pPr>
            <w:r>
              <w:rPr>
                <w:sz w:val="17"/>
              </w:rPr>
              <w:t>Behavior maintained by reinforcement.</w:t>
            </w:r>
          </w:p>
        </w:tc>
        <w:tc>
          <w:tcPr>
            <w:tcW w:type="dxa" w:w="4752"/>
            <w:tcMar>
              <w:top w:w="100" w:type="dxa"/>
              <w:start w:w="120" w:type="dxa"/>
              <w:bottom w:w="100" w:type="dxa"/>
              <w:end w:w="120" w:type="dxa"/>
            </w:tcMar>
          </w:tcPr>
          <w:p>
            <w:pPr>
              <w:spacing w:after="0"/>
            </w:pPr>
            <w:r>
              <w:rPr>
                <w:sz w:val="17"/>
              </w:rPr>
              <w:t>Alter prompts, consequences, routines, and supports without punitive escalation.</w:t>
            </w:r>
          </w:p>
        </w:tc>
      </w:tr>
    </w:tbl>
    <w:p>
      <w:pPr>
        <w:spacing w:after="0"/>
      </w:pP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EAF3F8"/>
            <w:tcMar>
              <w:top w:w="150" w:type="dxa"/>
              <w:start w:w="180" w:type="dxa"/>
              <w:bottom w:w="150" w:type="dxa"/>
              <w:end w:w="180" w:type="dxa"/>
            </w:tcMar>
          </w:tcPr>
          <w:p>
            <w:pPr>
              <w:spacing w:after="80"/>
            </w:pPr>
            <w:r>
              <w:rPr>
                <w:b/>
                <w:i w:val="0"/>
                <w:color w:val="1F4E78"/>
              </w:rPr>
              <w:t>Mechanism Rule</w:t>
            </w:r>
          </w:p>
          <w:p>
            <w:pPr>
              <w:spacing w:after="0"/>
            </w:pPr>
            <w:r>
              <w:t>Behavioral activation is not generic busyness, and exposure is not simply “facing fear.” The rationale must identify what avoidance, reinforcement, or learning process is expected to change.</w:t>
            </w:r>
          </w:p>
        </w:tc>
      </w:tr>
    </w:tbl>
    <w:p>
      <w:pPr>
        <w:spacing w:after="0"/>
      </w:pPr>
    </w:p>
    <w:p>
      <w:pPr>
        <w:pStyle w:val="Heading1"/>
      </w:pPr>
      <w:r>
        <w:t>5. DBT-Informed and Emotional-Regulation Skills</w:t>
      </w:r>
    </w:p>
    <w:p>
      <w:r>
        <w:rPr>
          <w:i w:val="0"/>
        </w:rPr>
        <w:t>Exam-level DBT-informed reasoning includes mindfulness, distress tolerance, emotion regulation, interpersonal effectiveness, behavioral chain analysis, and balancing acceptance with change. A vignette may call for one skill without implying a complete DBT program. Acute risk still controls the sequence.</w:t>
      </w:r>
    </w:p>
    <w:tbl>
      <w:tblPr>
        <w:tblStyle w:val="TableGrid"/>
        <w:tblW w:type="auto" w:w="0"/>
        <w:jc w:val="center"/>
        <w:tblLayout w:type="fixed"/>
        <w:tblLook w:firstColumn="1" w:firstRow="1" w:lastColumn="0" w:lastRow="0" w:noHBand="0" w:noVBand="1" w:val="04A0"/>
      </w:tblPr>
      <w:tblGrid>
        <w:gridCol w:w="2880"/>
        <w:gridCol w:w="7056"/>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Need</w:t>
            </w:r>
          </w:p>
        </w:tc>
        <w:tc>
          <w:tcPr>
            <w:tcW w:type="dxa" w:w="5040"/>
            <w:shd w:fill="17365D"/>
            <w:tcMar>
              <w:top w:w="100" w:type="dxa"/>
              <w:start w:w="120" w:type="dxa"/>
              <w:bottom w:w="100" w:type="dxa"/>
              <w:end w:w="120" w:type="dxa"/>
            </w:tcMar>
          </w:tcPr>
          <w:p>
            <w:pPr>
              <w:spacing w:after="0"/>
            </w:pPr>
            <w:r>
              <w:rPr>
                <w:b/>
                <w:color w:val="FFFFFF"/>
                <w:sz w:val="17"/>
              </w:rPr>
              <w:t>Representative Response</w:t>
            </w:r>
          </w:p>
        </w:tc>
      </w:tr>
      <w:tr>
        <w:trPr>
          <w:cantSplit/>
        </w:trPr>
        <w:tc>
          <w:tcPr>
            <w:tcW w:type="dxa" w:w="2880"/>
            <w:tcMar>
              <w:top w:w="100" w:type="dxa"/>
              <w:start w:w="120" w:type="dxa"/>
              <w:bottom w:w="100" w:type="dxa"/>
              <w:end w:w="120" w:type="dxa"/>
            </w:tcMar>
          </w:tcPr>
          <w:p>
            <w:pPr>
              <w:spacing w:after="0"/>
            </w:pPr>
            <w:r>
              <w:rPr>
                <w:sz w:val="17"/>
              </w:rPr>
              <w:t>Rapid escalation</w:t>
            </w:r>
          </w:p>
        </w:tc>
        <w:tc>
          <w:tcPr>
            <w:tcW w:type="dxa" w:w="7056"/>
            <w:tcMar>
              <w:top w:w="100" w:type="dxa"/>
              <w:start w:w="120" w:type="dxa"/>
              <w:bottom w:w="100" w:type="dxa"/>
              <w:end w:w="120" w:type="dxa"/>
            </w:tcMar>
          </w:tcPr>
          <w:p>
            <w:pPr>
              <w:spacing w:after="0"/>
            </w:pPr>
            <w:r>
              <w:rPr>
                <w:sz w:val="17"/>
              </w:rPr>
              <w:t>Identify cues, use pause strategies, and rehearse safer behavior before the next high-intensity situation.</w:t>
            </w:r>
          </w:p>
        </w:tc>
      </w:tr>
      <w:tr>
        <w:trPr>
          <w:cantSplit/>
        </w:trPr>
        <w:tc>
          <w:tcPr>
            <w:tcW w:type="dxa" w:w="2880"/>
            <w:tcMar>
              <w:top w:w="100" w:type="dxa"/>
              <w:start w:w="120" w:type="dxa"/>
              <w:bottom w:w="100" w:type="dxa"/>
              <w:end w:w="120" w:type="dxa"/>
            </w:tcMar>
            <w:shd w:fill="F7F8FA"/>
          </w:tcPr>
          <w:p>
            <w:pPr>
              <w:spacing w:after="0"/>
            </w:pPr>
            <w:r>
              <w:rPr>
                <w:sz w:val="17"/>
              </w:rPr>
              <w:t>Overwhelming emotion</w:t>
            </w:r>
          </w:p>
        </w:tc>
        <w:tc>
          <w:tcPr>
            <w:tcW w:type="dxa" w:w="7056"/>
            <w:tcMar>
              <w:top w:w="100" w:type="dxa"/>
              <w:start w:w="120" w:type="dxa"/>
              <w:bottom w:w="100" w:type="dxa"/>
              <w:end w:w="120" w:type="dxa"/>
            </w:tcMar>
            <w:shd w:fill="F7F8FA"/>
          </w:tcPr>
          <w:p>
            <w:pPr>
              <w:spacing w:after="0"/>
            </w:pPr>
            <w:r>
              <w:rPr>
                <w:sz w:val="17"/>
              </w:rPr>
              <w:t>Use grounding and distress-tolerance methods that reduce immediate harmful action.</w:t>
            </w:r>
          </w:p>
        </w:tc>
      </w:tr>
      <w:tr>
        <w:trPr>
          <w:cantSplit/>
        </w:trPr>
        <w:tc>
          <w:tcPr>
            <w:tcW w:type="dxa" w:w="2880"/>
            <w:tcMar>
              <w:top w:w="100" w:type="dxa"/>
              <w:start w:w="120" w:type="dxa"/>
              <w:bottom w:w="100" w:type="dxa"/>
              <w:end w:w="120" w:type="dxa"/>
            </w:tcMar>
          </w:tcPr>
          <w:p>
            <w:pPr>
              <w:spacing w:after="0"/>
            </w:pPr>
            <w:r>
              <w:rPr>
                <w:sz w:val="17"/>
              </w:rPr>
              <w:t>Repeated interpersonal conflict</w:t>
            </w:r>
          </w:p>
        </w:tc>
        <w:tc>
          <w:tcPr>
            <w:tcW w:type="dxa" w:w="7056"/>
            <w:tcMar>
              <w:top w:w="100" w:type="dxa"/>
              <w:start w:w="120" w:type="dxa"/>
              <w:bottom w:w="100" w:type="dxa"/>
              <w:end w:w="120" w:type="dxa"/>
            </w:tcMar>
          </w:tcPr>
          <w:p>
            <w:pPr>
              <w:spacing w:after="0"/>
            </w:pPr>
            <w:r>
              <w:rPr>
                <w:sz w:val="17"/>
              </w:rPr>
              <w:t>Teach assertiveness, validation, boundary language, and problem-solving steps.</w:t>
            </w:r>
          </w:p>
        </w:tc>
      </w:tr>
      <w:tr>
        <w:trPr>
          <w:cantSplit/>
        </w:trPr>
        <w:tc>
          <w:tcPr>
            <w:tcW w:type="dxa" w:w="2880"/>
            <w:tcMar>
              <w:top w:w="100" w:type="dxa"/>
              <w:start w:w="120" w:type="dxa"/>
              <w:bottom w:w="100" w:type="dxa"/>
              <w:end w:w="120" w:type="dxa"/>
            </w:tcMar>
            <w:shd w:fill="F7F8FA"/>
          </w:tcPr>
          <w:p>
            <w:pPr>
              <w:spacing w:after="0"/>
            </w:pPr>
            <w:r>
              <w:rPr>
                <w:sz w:val="17"/>
              </w:rPr>
              <w:t>Behavior pattern unclear</w:t>
            </w:r>
          </w:p>
        </w:tc>
        <w:tc>
          <w:tcPr>
            <w:tcW w:type="dxa" w:w="7056"/>
            <w:tcMar>
              <w:top w:w="100" w:type="dxa"/>
              <w:start w:w="120" w:type="dxa"/>
              <w:bottom w:w="100" w:type="dxa"/>
              <w:end w:w="120" w:type="dxa"/>
            </w:tcMar>
            <w:shd w:fill="F7F8FA"/>
          </w:tcPr>
          <w:p>
            <w:pPr>
              <w:spacing w:after="0"/>
            </w:pPr>
            <w:r>
              <w:rPr>
                <w:sz w:val="17"/>
              </w:rPr>
              <w:t>Map vulnerability factors, prompting events, links, consequences, and alternative responses.</w:t>
            </w:r>
          </w:p>
        </w:tc>
      </w:tr>
    </w:tbl>
    <w:p>
      <w:pPr>
        <w:spacing w:after="0"/>
      </w:pPr>
    </w:p>
    <w:p>
      <w:pPr>
        <w:pStyle w:val="Heading1"/>
      </w:pPr>
      <w:r>
        <w:t>6. Motivational Interviewing and Readiness</w:t>
      </w:r>
    </w:p>
    <w:p>
      <w:r>
        <w:rPr>
          <w:i w:val="0"/>
        </w:rPr>
        <w:t>Motivational interviewing is useful when the client is ambivalent, externally pressured, or not yet committed to a recommended change. The social worker uses partnership, acceptance, compassion, and evocation; explores discrepancy without argument; and elicits the client’s own reasons and confidence for change. Mandated status should be clarified transparently without assuming meaningful engagement is impossible.</w:t>
      </w:r>
    </w:p>
    <w:tbl>
      <w:tblPr>
        <w:tblStyle w:val="TableGrid"/>
        <w:tblW w:type="auto" w:w="0"/>
        <w:jc w:val="center"/>
        <w:tblLayout w:type="fixed"/>
        <w:tblLook w:firstColumn="1" w:firstRow="1" w:lastColumn="0" w:lastRow="0" w:noHBand="0" w:noVBand="1" w:val="04A0"/>
      </w:tblPr>
      <w:tblGrid>
        <w:gridCol w:w="3672"/>
        <w:gridCol w:w="6264"/>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Weak Response</w:t>
            </w:r>
          </w:p>
        </w:tc>
        <w:tc>
          <w:tcPr>
            <w:tcW w:type="dxa" w:w="5040"/>
            <w:shd w:fill="17365D"/>
            <w:tcMar>
              <w:top w:w="100" w:type="dxa"/>
              <w:start w:w="120" w:type="dxa"/>
              <w:bottom w:w="100" w:type="dxa"/>
              <w:end w:w="120" w:type="dxa"/>
            </w:tcMar>
          </w:tcPr>
          <w:p>
            <w:pPr>
              <w:spacing w:after="0"/>
            </w:pPr>
            <w:r>
              <w:rPr>
                <w:b/>
                <w:color w:val="FFFFFF"/>
                <w:sz w:val="17"/>
              </w:rPr>
              <w:t>Stronger Response</w:t>
            </w:r>
          </w:p>
        </w:tc>
      </w:tr>
      <w:tr>
        <w:trPr>
          <w:cantSplit/>
        </w:trPr>
        <w:tc>
          <w:tcPr>
            <w:tcW w:type="dxa" w:w="3672"/>
            <w:tcMar>
              <w:top w:w="100" w:type="dxa"/>
              <w:start w:w="120" w:type="dxa"/>
              <w:bottom w:w="100" w:type="dxa"/>
              <w:end w:w="120" w:type="dxa"/>
            </w:tcMar>
          </w:tcPr>
          <w:p>
            <w:pPr>
              <w:spacing w:after="0"/>
            </w:pPr>
            <w:r>
              <w:rPr>
                <w:sz w:val="17"/>
              </w:rPr>
              <w:t>Argue that the client must change</w:t>
            </w:r>
          </w:p>
        </w:tc>
        <w:tc>
          <w:tcPr>
            <w:tcW w:type="dxa" w:w="6264"/>
            <w:tcMar>
              <w:top w:w="100" w:type="dxa"/>
              <w:start w:w="120" w:type="dxa"/>
              <w:bottom w:w="100" w:type="dxa"/>
              <w:end w:w="120" w:type="dxa"/>
            </w:tcMar>
          </w:tcPr>
          <w:p>
            <w:pPr>
              <w:spacing w:after="0"/>
            </w:pPr>
            <w:r>
              <w:rPr>
                <w:sz w:val="17"/>
              </w:rPr>
              <w:t>Explore what matters to the client and how the current pattern helps and harms those goals.</w:t>
            </w:r>
          </w:p>
        </w:tc>
      </w:tr>
      <w:tr>
        <w:trPr>
          <w:cantSplit/>
        </w:trPr>
        <w:tc>
          <w:tcPr>
            <w:tcW w:type="dxa" w:w="3672"/>
            <w:tcMar>
              <w:top w:w="100" w:type="dxa"/>
              <w:start w:w="120" w:type="dxa"/>
              <w:bottom w:w="100" w:type="dxa"/>
              <w:end w:w="120" w:type="dxa"/>
            </w:tcMar>
            <w:shd w:fill="F7F8FA"/>
          </w:tcPr>
          <w:p>
            <w:pPr>
              <w:spacing w:after="0"/>
            </w:pPr>
            <w:r>
              <w:rPr>
                <w:sz w:val="17"/>
              </w:rPr>
              <w:t>Label ambivalence as resistance</w:t>
            </w:r>
          </w:p>
        </w:tc>
        <w:tc>
          <w:tcPr>
            <w:tcW w:type="dxa" w:w="6264"/>
            <w:tcMar>
              <w:top w:w="100" w:type="dxa"/>
              <w:start w:w="120" w:type="dxa"/>
              <w:bottom w:w="100" w:type="dxa"/>
              <w:end w:w="120" w:type="dxa"/>
            </w:tcMar>
            <w:shd w:fill="F7F8FA"/>
          </w:tcPr>
          <w:p>
            <w:pPr>
              <w:spacing w:after="0"/>
            </w:pPr>
            <w:r>
              <w:rPr>
                <w:sz w:val="17"/>
              </w:rPr>
              <w:t>Assess readiness, prior experiences, confidence, barriers, and competing values.</w:t>
            </w:r>
          </w:p>
        </w:tc>
      </w:tr>
      <w:tr>
        <w:trPr>
          <w:cantSplit/>
        </w:trPr>
        <w:tc>
          <w:tcPr>
            <w:tcW w:type="dxa" w:w="3672"/>
            <w:tcMar>
              <w:top w:w="100" w:type="dxa"/>
              <w:start w:w="120" w:type="dxa"/>
              <w:bottom w:w="100" w:type="dxa"/>
              <w:end w:w="120" w:type="dxa"/>
            </w:tcMar>
          </w:tcPr>
          <w:p>
            <w:pPr>
              <w:spacing w:after="0"/>
            </w:pPr>
            <w:r>
              <w:rPr>
                <w:sz w:val="17"/>
              </w:rPr>
              <w:t>Threaten consequences as the main intervention</w:t>
            </w:r>
          </w:p>
        </w:tc>
        <w:tc>
          <w:tcPr>
            <w:tcW w:type="dxa" w:w="6264"/>
            <w:tcMar>
              <w:top w:w="100" w:type="dxa"/>
              <w:start w:w="120" w:type="dxa"/>
              <w:bottom w:w="100" w:type="dxa"/>
              <w:end w:w="120" w:type="dxa"/>
            </w:tcMar>
          </w:tcPr>
          <w:p>
            <w:pPr>
              <w:spacing w:after="0"/>
            </w:pPr>
            <w:r>
              <w:rPr>
                <w:sz w:val="17"/>
              </w:rPr>
              <w:t>Clarify real consequences while preserving choice about how the client participates.</w:t>
            </w:r>
          </w:p>
        </w:tc>
      </w:tr>
      <w:tr>
        <w:trPr>
          <w:cantSplit/>
        </w:trPr>
        <w:tc>
          <w:tcPr>
            <w:tcW w:type="dxa" w:w="3672"/>
            <w:tcMar>
              <w:top w:w="100" w:type="dxa"/>
              <w:start w:w="120" w:type="dxa"/>
              <w:bottom w:w="100" w:type="dxa"/>
              <w:end w:w="120" w:type="dxa"/>
            </w:tcMar>
            <w:shd w:fill="F7F8FA"/>
          </w:tcPr>
          <w:p>
            <w:pPr>
              <w:spacing w:after="0"/>
            </w:pPr>
            <w:r>
              <w:rPr>
                <w:sz w:val="17"/>
              </w:rPr>
              <w:t>Give a long lecture</w:t>
            </w:r>
          </w:p>
        </w:tc>
        <w:tc>
          <w:tcPr>
            <w:tcW w:type="dxa" w:w="6264"/>
            <w:tcMar>
              <w:top w:w="100" w:type="dxa"/>
              <w:start w:w="120" w:type="dxa"/>
              <w:bottom w:w="100" w:type="dxa"/>
              <w:end w:w="120" w:type="dxa"/>
            </w:tcMar>
            <w:shd w:fill="F7F8FA"/>
          </w:tcPr>
          <w:p>
            <w:pPr>
              <w:spacing w:after="0"/>
            </w:pPr>
            <w:r>
              <w:rPr>
                <w:sz w:val="17"/>
              </w:rPr>
              <w:t>Use open questions, reflections, affirmations, summaries, and change-talk elicitation.</w:t>
            </w:r>
          </w:p>
        </w:tc>
      </w:tr>
    </w:tbl>
    <w:p>
      <w:pPr>
        <w:spacing w:after="0"/>
      </w:pPr>
    </w:p>
    <w:p>
      <w:pPr>
        <w:pStyle w:val="Heading1"/>
      </w:pPr>
      <w:r>
        <w:t>7. Harm Reduction, Addiction, and Recovery</w:t>
      </w:r>
    </w:p>
    <w:p>
      <w:r>
        <w:rPr>
          <w:i w:val="0"/>
        </w:rPr>
        <w:t>Addiction intervention may include screening, motivational interviewing, psychoeducation, relapse prevention, coping skills, family or peer support, medication and medical referral, overdose prevention, withdrawal response, recovery services, and level-of-care placement. Harm reduction addresses current risk and supports engagement when abstinence is not yet chosen or feasible. It does not remove the need to assess emergency conditions or impaired capacity.</w:t>
      </w:r>
    </w:p>
    <w:tbl>
      <w:tblPr>
        <w:tblStyle w:val="TableGrid"/>
        <w:tblW w:type="auto" w:w="0"/>
        <w:jc w:val="center"/>
        <w:tblLayout w:type="fixed"/>
        <w:tblLook w:firstColumn="1" w:firstRow="1" w:lastColumn="0" w:lastRow="0" w:noHBand="0" w:noVBand="1" w:val="04A0"/>
      </w:tblPr>
      <w:tblGrid>
        <w:gridCol w:w="3168"/>
        <w:gridCol w:w="6768"/>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Client Need</w:t>
            </w:r>
          </w:p>
        </w:tc>
        <w:tc>
          <w:tcPr>
            <w:tcW w:type="dxa" w:w="5040"/>
            <w:shd w:fill="17365D"/>
            <w:tcMar>
              <w:top w:w="100" w:type="dxa"/>
              <w:start w:w="120" w:type="dxa"/>
              <w:bottom w:w="100" w:type="dxa"/>
              <w:end w:w="120" w:type="dxa"/>
            </w:tcMar>
          </w:tcPr>
          <w:p>
            <w:pPr>
              <w:spacing w:after="0"/>
            </w:pPr>
            <w:r>
              <w:rPr>
                <w:b/>
                <w:color w:val="FFFFFF"/>
                <w:sz w:val="17"/>
              </w:rPr>
              <w:t>Possible Response</w:t>
            </w:r>
          </w:p>
        </w:tc>
      </w:tr>
      <w:tr>
        <w:trPr>
          <w:cantSplit/>
        </w:trPr>
        <w:tc>
          <w:tcPr>
            <w:tcW w:type="dxa" w:w="3168"/>
            <w:tcMar>
              <w:top w:w="100" w:type="dxa"/>
              <w:start w:w="120" w:type="dxa"/>
              <w:bottom w:w="100" w:type="dxa"/>
              <w:end w:w="120" w:type="dxa"/>
            </w:tcMar>
          </w:tcPr>
          <w:p>
            <w:pPr>
              <w:spacing w:after="0"/>
            </w:pPr>
            <w:r>
              <w:rPr>
                <w:sz w:val="17"/>
              </w:rPr>
              <w:t>Not ready for abstinence</w:t>
            </w:r>
          </w:p>
        </w:tc>
        <w:tc>
          <w:tcPr>
            <w:tcW w:type="dxa" w:w="6768"/>
            <w:tcMar>
              <w:top w:w="100" w:type="dxa"/>
              <w:start w:w="120" w:type="dxa"/>
              <w:bottom w:w="100" w:type="dxa"/>
              <w:end w:w="120" w:type="dxa"/>
            </w:tcMar>
          </w:tcPr>
          <w:p>
            <w:pPr>
              <w:spacing w:after="0"/>
            </w:pPr>
            <w:r>
              <w:rPr>
                <w:sz w:val="17"/>
              </w:rPr>
              <w:t>Reduce infection, overdose, and other immediate risks while continuing motivational and treatment options.</w:t>
            </w:r>
          </w:p>
        </w:tc>
      </w:tr>
      <w:tr>
        <w:trPr>
          <w:cantSplit/>
        </w:trPr>
        <w:tc>
          <w:tcPr>
            <w:tcW w:type="dxa" w:w="3168"/>
            <w:tcMar>
              <w:top w:w="100" w:type="dxa"/>
              <w:start w:w="120" w:type="dxa"/>
              <w:bottom w:w="100" w:type="dxa"/>
              <w:end w:w="120" w:type="dxa"/>
            </w:tcMar>
            <w:shd w:fill="F7F8FA"/>
          </w:tcPr>
          <w:p>
            <w:pPr>
              <w:spacing w:after="0"/>
            </w:pPr>
            <w:r>
              <w:rPr>
                <w:sz w:val="17"/>
              </w:rPr>
              <w:t>Possible withdrawal or overdose</w:t>
            </w:r>
          </w:p>
        </w:tc>
        <w:tc>
          <w:tcPr>
            <w:tcW w:type="dxa" w:w="6768"/>
            <w:tcMar>
              <w:top w:w="100" w:type="dxa"/>
              <w:start w:w="120" w:type="dxa"/>
              <w:bottom w:w="100" w:type="dxa"/>
              <w:end w:w="120" w:type="dxa"/>
            </w:tcMar>
            <w:shd w:fill="F7F8FA"/>
          </w:tcPr>
          <w:p>
            <w:pPr>
              <w:spacing w:after="0"/>
            </w:pPr>
            <w:r>
              <w:rPr>
                <w:sz w:val="17"/>
              </w:rPr>
              <w:t>Prioritize medical or emergency evaluation rather than routine counseling.</w:t>
            </w:r>
          </w:p>
        </w:tc>
      </w:tr>
      <w:tr>
        <w:trPr>
          <w:cantSplit/>
        </w:trPr>
        <w:tc>
          <w:tcPr>
            <w:tcW w:type="dxa" w:w="3168"/>
            <w:tcMar>
              <w:top w:w="100" w:type="dxa"/>
              <w:start w:w="120" w:type="dxa"/>
              <w:bottom w:w="100" w:type="dxa"/>
              <w:end w:w="120" w:type="dxa"/>
            </w:tcMar>
          </w:tcPr>
          <w:p>
            <w:pPr>
              <w:spacing w:after="0"/>
            </w:pPr>
            <w:r>
              <w:rPr>
                <w:sz w:val="17"/>
              </w:rPr>
              <w:t>Repeated return to use</w:t>
            </w:r>
          </w:p>
        </w:tc>
        <w:tc>
          <w:tcPr>
            <w:tcW w:type="dxa" w:w="6768"/>
            <w:tcMar>
              <w:top w:w="100" w:type="dxa"/>
              <w:start w:w="120" w:type="dxa"/>
              <w:bottom w:w="100" w:type="dxa"/>
              <w:end w:w="120" w:type="dxa"/>
            </w:tcMar>
          </w:tcPr>
          <w:p>
            <w:pPr>
              <w:spacing w:after="0"/>
            </w:pPr>
            <w:r>
              <w:rPr>
                <w:sz w:val="17"/>
              </w:rPr>
              <w:t>Review triggers, coping, environment, supports, treatment intensity, medication options, and access.</w:t>
            </w:r>
          </w:p>
        </w:tc>
      </w:tr>
      <w:tr>
        <w:trPr>
          <w:cantSplit/>
        </w:trPr>
        <w:tc>
          <w:tcPr>
            <w:tcW w:type="dxa" w:w="3168"/>
            <w:tcMar>
              <w:top w:w="100" w:type="dxa"/>
              <w:start w:w="120" w:type="dxa"/>
              <w:bottom w:w="100" w:type="dxa"/>
              <w:end w:w="120" w:type="dxa"/>
            </w:tcMar>
            <w:shd w:fill="F7F8FA"/>
          </w:tcPr>
          <w:p>
            <w:pPr>
              <w:spacing w:after="0"/>
            </w:pPr>
            <w:r>
              <w:rPr>
                <w:sz w:val="17"/>
              </w:rPr>
              <w:t>Family conflict around substance use</w:t>
            </w:r>
          </w:p>
        </w:tc>
        <w:tc>
          <w:tcPr>
            <w:tcW w:type="dxa" w:w="6768"/>
            <w:tcMar>
              <w:top w:w="100" w:type="dxa"/>
              <w:start w:w="120" w:type="dxa"/>
              <w:bottom w:w="100" w:type="dxa"/>
              <w:end w:w="120" w:type="dxa"/>
            </w:tcMar>
            <w:shd w:fill="F7F8FA"/>
          </w:tcPr>
          <w:p>
            <w:pPr>
              <w:spacing w:after="0"/>
            </w:pPr>
            <w:r>
              <w:rPr>
                <w:sz w:val="17"/>
              </w:rPr>
              <w:t>Address safety, boundaries, reinforcement, communication, and recovery supports without blaming.</w:t>
            </w:r>
          </w:p>
        </w:tc>
      </w:tr>
    </w:tbl>
    <w:p>
      <w:pPr>
        <w:spacing w:after="0"/>
      </w:pPr>
    </w:p>
    <w:p>
      <w:pPr>
        <w:pStyle w:val="Heading1"/>
      </w:pPr>
      <w:r>
        <w:t>8. Psychoeducation, Health Literacy, and Role Play</w:t>
      </w:r>
    </w:p>
    <w:p>
      <w:r>
        <w:rPr>
          <w:i w:val="0"/>
        </w:rPr>
        <w:t>Psychoeducation is more than handing a client information. The social worker explains the topic in accessible language, connects it to the client’s goals, checks comprehension, corrects misconceptions, and invites questions and choice. Role play, modeling, feedback, and graduated rehearsal help translate knowledge into observable performance.</w:t>
      </w:r>
    </w:p>
    <w:tbl>
      <w:tblPr>
        <w:tblStyle w:val="TableGrid"/>
        <w:tblW w:type="auto" w:w="0"/>
        <w:jc w:val="center"/>
        <w:tblLayout w:type="fixed"/>
        <w:tblLook w:firstColumn="1" w:firstRow="1" w:lastColumn="0" w:lastRow="0" w:noHBand="0" w:noVBand="1" w:val="04A0"/>
      </w:tblPr>
      <w:tblGrid>
        <w:gridCol w:w="2376"/>
        <w:gridCol w:w="7560"/>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Intervention</w:t>
            </w:r>
          </w:p>
        </w:tc>
        <w:tc>
          <w:tcPr>
            <w:tcW w:type="dxa" w:w="5040"/>
            <w:shd w:fill="17365D"/>
            <w:tcMar>
              <w:top w:w="100" w:type="dxa"/>
              <w:start w:w="120" w:type="dxa"/>
              <w:bottom w:w="100" w:type="dxa"/>
              <w:end w:w="120" w:type="dxa"/>
            </w:tcMar>
          </w:tcPr>
          <w:p>
            <w:pPr>
              <w:spacing w:after="0"/>
            </w:pPr>
            <w:r>
              <w:rPr>
                <w:b/>
                <w:color w:val="FFFFFF"/>
                <w:sz w:val="17"/>
              </w:rPr>
              <w:t>Best Use</w:t>
            </w:r>
          </w:p>
        </w:tc>
      </w:tr>
      <w:tr>
        <w:trPr>
          <w:cantSplit/>
        </w:trPr>
        <w:tc>
          <w:tcPr>
            <w:tcW w:type="dxa" w:w="2376"/>
            <w:tcMar>
              <w:top w:w="100" w:type="dxa"/>
              <w:start w:w="120" w:type="dxa"/>
              <w:bottom w:w="100" w:type="dxa"/>
              <w:end w:w="120" w:type="dxa"/>
            </w:tcMar>
          </w:tcPr>
          <w:p>
            <w:pPr>
              <w:spacing w:after="0"/>
            </w:pPr>
            <w:r>
              <w:rPr>
                <w:sz w:val="17"/>
              </w:rPr>
              <w:t>Psychoeducation</w:t>
            </w:r>
          </w:p>
        </w:tc>
        <w:tc>
          <w:tcPr>
            <w:tcW w:type="dxa" w:w="7560"/>
            <w:tcMar>
              <w:top w:w="100" w:type="dxa"/>
              <w:start w:w="120" w:type="dxa"/>
              <w:bottom w:w="100" w:type="dxa"/>
              <w:end w:w="120" w:type="dxa"/>
            </w:tcMar>
          </w:tcPr>
          <w:p>
            <w:pPr>
              <w:spacing w:after="0"/>
            </w:pPr>
            <w:r>
              <w:rPr>
                <w:sz w:val="17"/>
              </w:rPr>
              <w:t>The client needs understandable information about symptoms, treatment, medication follow-up, relapse signs, parenting, coping, or resources.</w:t>
            </w:r>
          </w:p>
        </w:tc>
      </w:tr>
      <w:tr>
        <w:trPr>
          <w:cantSplit/>
        </w:trPr>
        <w:tc>
          <w:tcPr>
            <w:tcW w:type="dxa" w:w="2376"/>
            <w:tcMar>
              <w:top w:w="100" w:type="dxa"/>
              <w:start w:w="120" w:type="dxa"/>
              <w:bottom w:w="100" w:type="dxa"/>
              <w:end w:w="120" w:type="dxa"/>
            </w:tcMar>
            <w:shd w:fill="F7F8FA"/>
          </w:tcPr>
          <w:p>
            <w:pPr>
              <w:spacing w:after="0"/>
            </w:pPr>
            <w:r>
              <w:rPr>
                <w:sz w:val="17"/>
              </w:rPr>
              <w:t>Teach-back</w:t>
            </w:r>
          </w:p>
        </w:tc>
        <w:tc>
          <w:tcPr>
            <w:tcW w:type="dxa" w:w="7560"/>
            <w:tcMar>
              <w:top w:w="100" w:type="dxa"/>
              <w:start w:w="120" w:type="dxa"/>
              <w:bottom w:w="100" w:type="dxa"/>
              <w:end w:w="120" w:type="dxa"/>
            </w:tcMar>
            <w:shd w:fill="F7F8FA"/>
          </w:tcPr>
          <w:p>
            <w:pPr>
              <w:spacing w:after="0"/>
            </w:pPr>
            <w:r>
              <w:rPr>
                <w:sz w:val="17"/>
              </w:rPr>
              <w:t>The social worker needs to confirm understanding without shaming the client.</w:t>
            </w:r>
          </w:p>
        </w:tc>
      </w:tr>
      <w:tr>
        <w:trPr>
          <w:cantSplit/>
        </w:trPr>
        <w:tc>
          <w:tcPr>
            <w:tcW w:type="dxa" w:w="2376"/>
            <w:tcMar>
              <w:top w:w="100" w:type="dxa"/>
              <w:start w:w="120" w:type="dxa"/>
              <w:bottom w:w="100" w:type="dxa"/>
              <w:end w:w="120" w:type="dxa"/>
            </w:tcMar>
          </w:tcPr>
          <w:p>
            <w:pPr>
              <w:spacing w:after="0"/>
            </w:pPr>
            <w:r>
              <w:rPr>
                <w:sz w:val="17"/>
              </w:rPr>
              <w:t>Modeling</w:t>
            </w:r>
          </w:p>
        </w:tc>
        <w:tc>
          <w:tcPr>
            <w:tcW w:type="dxa" w:w="7560"/>
            <w:tcMar>
              <w:top w:w="100" w:type="dxa"/>
              <w:start w:w="120" w:type="dxa"/>
              <w:bottom w:w="100" w:type="dxa"/>
              <w:end w:w="120" w:type="dxa"/>
            </w:tcMar>
          </w:tcPr>
          <w:p>
            <w:pPr>
              <w:spacing w:after="0"/>
            </w:pPr>
            <w:r>
              <w:rPr>
                <w:sz w:val="17"/>
              </w:rPr>
              <w:t>The client benefits from observing the desired communication or coping behavior.</w:t>
            </w:r>
          </w:p>
        </w:tc>
      </w:tr>
      <w:tr>
        <w:trPr>
          <w:cantSplit/>
        </w:trPr>
        <w:tc>
          <w:tcPr>
            <w:tcW w:type="dxa" w:w="2376"/>
            <w:tcMar>
              <w:top w:w="100" w:type="dxa"/>
              <w:start w:w="120" w:type="dxa"/>
              <w:bottom w:w="100" w:type="dxa"/>
              <w:end w:w="120" w:type="dxa"/>
            </w:tcMar>
            <w:shd w:fill="F7F8FA"/>
          </w:tcPr>
          <w:p>
            <w:pPr>
              <w:spacing w:after="0"/>
            </w:pPr>
            <w:r>
              <w:rPr>
                <w:sz w:val="17"/>
              </w:rPr>
              <w:t>Role play and feedback</w:t>
            </w:r>
          </w:p>
        </w:tc>
        <w:tc>
          <w:tcPr>
            <w:tcW w:type="dxa" w:w="7560"/>
            <w:tcMar>
              <w:top w:w="100" w:type="dxa"/>
              <w:start w:w="120" w:type="dxa"/>
              <w:bottom w:w="100" w:type="dxa"/>
              <w:end w:w="120" w:type="dxa"/>
            </w:tcMar>
            <w:shd w:fill="F7F8FA"/>
          </w:tcPr>
          <w:p>
            <w:pPr>
              <w:spacing w:after="0"/>
            </w:pPr>
            <w:r>
              <w:rPr>
                <w:sz w:val="17"/>
              </w:rPr>
              <w:t>The client understands the idea but cannot perform it under stress.</w:t>
            </w:r>
          </w:p>
        </w:tc>
      </w:tr>
      <w:tr>
        <w:trPr>
          <w:cantSplit/>
        </w:trPr>
        <w:tc>
          <w:tcPr>
            <w:tcW w:type="dxa" w:w="2376"/>
            <w:tcMar>
              <w:top w:w="100" w:type="dxa"/>
              <w:start w:w="120" w:type="dxa"/>
              <w:bottom w:w="100" w:type="dxa"/>
              <w:end w:w="120" w:type="dxa"/>
            </w:tcMar>
          </w:tcPr>
          <w:p>
            <w:pPr>
              <w:spacing w:after="0"/>
            </w:pPr>
            <w:r>
              <w:rPr>
                <w:sz w:val="17"/>
              </w:rPr>
              <w:t>Graduated practice</w:t>
            </w:r>
          </w:p>
        </w:tc>
        <w:tc>
          <w:tcPr>
            <w:tcW w:type="dxa" w:w="7560"/>
            <w:tcMar>
              <w:top w:w="100" w:type="dxa"/>
              <w:start w:w="120" w:type="dxa"/>
              <w:bottom w:w="100" w:type="dxa"/>
              <w:end w:w="120" w:type="dxa"/>
            </w:tcMar>
          </w:tcPr>
          <w:p>
            <w:pPr>
              <w:spacing w:after="0"/>
            </w:pPr>
            <w:r>
              <w:rPr>
                <w:sz w:val="17"/>
              </w:rPr>
              <w:t>The task is too difficult to complete in one step and can be built through smaller successful attempts.</w:t>
            </w:r>
          </w:p>
        </w:tc>
      </w:tr>
    </w:tbl>
    <w:p>
      <w:pPr>
        <w:spacing w:after="0"/>
      </w:pPr>
    </w:p>
    <w:p>
      <w:pPr>
        <w:pStyle w:val="Heading1"/>
      </w:pPr>
      <w:r>
        <w:t>9. Grief, Strengths, Empowerment, and Person-in-Environment</w:t>
      </w:r>
    </w:p>
    <w:p>
      <w:r>
        <w:rPr>
          <w:i w:val="0"/>
        </w:rPr>
        <w:t>Grief intervention may include validation, remembrance, meaning-making, restoration of routines, cultural or spiritual resources, and assessment of functioning and safety. Person-in-environment reasoning adds functional needs, social supports, transportation, food, housing, health care, discrimination, and service barriers. Strengths and empowerment practice connects prior capacities with collaborative advocacy and resource action rather than blaming the client for structural barriers.</w:t>
      </w:r>
    </w:p>
    <w:tbl>
      <w:tblPr>
        <w:tblStyle w:val="TableGrid"/>
        <w:tblW w:type="auto" w:w="0"/>
        <w:jc w:val="center"/>
        <w:tblLayout w:type="fixed"/>
        <w:tblLook w:firstColumn="1" w:firstRow="1" w:lastColumn="0" w:lastRow="0" w:noHBand="0" w:noVBand="1" w:val="04A0"/>
      </w:tblPr>
      <w:tblGrid>
        <w:gridCol w:w="2016"/>
        <w:gridCol w:w="7920"/>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Lens</w:t>
            </w:r>
          </w:p>
        </w:tc>
        <w:tc>
          <w:tcPr>
            <w:tcW w:type="dxa" w:w="5040"/>
            <w:shd w:fill="17365D"/>
            <w:tcMar>
              <w:top w:w="100" w:type="dxa"/>
              <w:start w:w="120" w:type="dxa"/>
              <w:bottom w:w="100" w:type="dxa"/>
              <w:end w:w="120" w:type="dxa"/>
            </w:tcMar>
          </w:tcPr>
          <w:p>
            <w:pPr>
              <w:spacing w:after="0"/>
            </w:pPr>
            <w:r>
              <w:rPr>
                <w:b/>
                <w:color w:val="FFFFFF"/>
                <w:sz w:val="17"/>
              </w:rPr>
              <w:t>Questions</w:t>
            </w:r>
          </w:p>
        </w:tc>
      </w:tr>
      <w:tr>
        <w:trPr>
          <w:cantSplit/>
        </w:trPr>
        <w:tc>
          <w:tcPr>
            <w:tcW w:type="dxa" w:w="2016"/>
            <w:tcMar>
              <w:top w:w="100" w:type="dxa"/>
              <w:start w:w="120" w:type="dxa"/>
              <w:bottom w:w="100" w:type="dxa"/>
              <w:end w:w="120" w:type="dxa"/>
            </w:tcMar>
          </w:tcPr>
          <w:p>
            <w:pPr>
              <w:spacing w:after="0"/>
            </w:pPr>
            <w:r>
              <w:rPr>
                <w:sz w:val="17"/>
              </w:rPr>
              <w:t>Clinical</w:t>
            </w:r>
          </w:p>
        </w:tc>
        <w:tc>
          <w:tcPr>
            <w:tcW w:type="dxa" w:w="7920"/>
            <w:tcMar>
              <w:top w:w="100" w:type="dxa"/>
              <w:start w:w="120" w:type="dxa"/>
              <w:bottom w:w="100" w:type="dxa"/>
              <w:end w:w="120" w:type="dxa"/>
            </w:tcMar>
          </w:tcPr>
          <w:p>
            <w:pPr>
              <w:spacing w:after="0"/>
            </w:pPr>
            <w:r>
              <w:rPr>
                <w:sz w:val="17"/>
              </w:rPr>
              <w:t>What distress, grief, trauma, mood, cognition, or coping pattern requires attention?</w:t>
            </w:r>
          </w:p>
        </w:tc>
      </w:tr>
      <w:tr>
        <w:trPr>
          <w:cantSplit/>
        </w:trPr>
        <w:tc>
          <w:tcPr>
            <w:tcW w:type="dxa" w:w="2016"/>
            <w:tcMar>
              <w:top w:w="100" w:type="dxa"/>
              <w:start w:w="120" w:type="dxa"/>
              <w:bottom w:w="100" w:type="dxa"/>
              <w:end w:w="120" w:type="dxa"/>
            </w:tcMar>
            <w:shd w:fill="F7F8FA"/>
          </w:tcPr>
          <w:p>
            <w:pPr>
              <w:spacing w:after="0"/>
            </w:pPr>
            <w:r>
              <w:rPr>
                <w:sz w:val="17"/>
              </w:rPr>
              <w:t>Functional</w:t>
            </w:r>
          </w:p>
        </w:tc>
        <w:tc>
          <w:tcPr>
            <w:tcW w:type="dxa" w:w="7920"/>
            <w:tcMar>
              <w:top w:w="100" w:type="dxa"/>
              <w:start w:w="120" w:type="dxa"/>
              <w:bottom w:w="100" w:type="dxa"/>
              <w:end w:w="120" w:type="dxa"/>
            </w:tcMar>
            <w:shd w:fill="F7F8FA"/>
          </w:tcPr>
          <w:p>
            <w:pPr>
              <w:spacing w:after="0"/>
            </w:pPr>
            <w:r>
              <w:rPr>
                <w:sz w:val="17"/>
              </w:rPr>
              <w:t>What is happening with meals, medication, appointments, parenting, work, school, or daily living?</w:t>
            </w:r>
          </w:p>
        </w:tc>
      </w:tr>
      <w:tr>
        <w:trPr>
          <w:cantSplit/>
        </w:trPr>
        <w:tc>
          <w:tcPr>
            <w:tcW w:type="dxa" w:w="2016"/>
            <w:tcMar>
              <w:top w:w="100" w:type="dxa"/>
              <w:start w:w="120" w:type="dxa"/>
              <w:bottom w:w="100" w:type="dxa"/>
              <w:end w:w="120" w:type="dxa"/>
            </w:tcMar>
          </w:tcPr>
          <w:p>
            <w:pPr>
              <w:spacing w:after="0"/>
            </w:pPr>
            <w:r>
              <w:rPr>
                <w:sz w:val="17"/>
              </w:rPr>
              <w:t>Environmental</w:t>
            </w:r>
          </w:p>
        </w:tc>
        <w:tc>
          <w:tcPr>
            <w:tcW w:type="dxa" w:w="7920"/>
            <w:tcMar>
              <w:top w:w="100" w:type="dxa"/>
              <w:start w:w="120" w:type="dxa"/>
              <w:bottom w:w="100" w:type="dxa"/>
              <w:end w:w="120" w:type="dxa"/>
            </w:tcMar>
          </w:tcPr>
          <w:p>
            <w:pPr>
              <w:spacing w:after="0"/>
            </w:pPr>
            <w:r>
              <w:rPr>
                <w:sz w:val="17"/>
              </w:rPr>
              <w:t>What housing, transportation, language, disability, financial, discrimination, or safety barrier is present?</w:t>
            </w:r>
          </w:p>
        </w:tc>
      </w:tr>
      <w:tr>
        <w:trPr>
          <w:cantSplit/>
        </w:trPr>
        <w:tc>
          <w:tcPr>
            <w:tcW w:type="dxa" w:w="2016"/>
            <w:tcMar>
              <w:top w:w="100" w:type="dxa"/>
              <w:start w:w="120" w:type="dxa"/>
              <w:bottom w:w="100" w:type="dxa"/>
              <w:end w:w="120" w:type="dxa"/>
            </w:tcMar>
            <w:shd w:fill="F7F8FA"/>
          </w:tcPr>
          <w:p>
            <w:pPr>
              <w:spacing w:after="0"/>
            </w:pPr>
            <w:r>
              <w:rPr>
                <w:sz w:val="17"/>
              </w:rPr>
              <w:t>Strengths</w:t>
            </w:r>
          </w:p>
        </w:tc>
        <w:tc>
          <w:tcPr>
            <w:tcW w:type="dxa" w:w="7920"/>
            <w:tcMar>
              <w:top w:w="100" w:type="dxa"/>
              <w:start w:w="120" w:type="dxa"/>
              <w:bottom w:w="100" w:type="dxa"/>
              <w:end w:w="120" w:type="dxa"/>
            </w:tcMar>
            <w:shd w:fill="F7F8FA"/>
          </w:tcPr>
          <w:p>
            <w:pPr>
              <w:spacing w:after="0"/>
            </w:pPr>
            <w:r>
              <w:rPr>
                <w:sz w:val="17"/>
              </w:rPr>
              <w:t>What has the client done successfully before, and what support, identity, community, or skill can be mobilized?</w:t>
            </w:r>
          </w:p>
        </w:tc>
      </w:tr>
      <w:tr>
        <w:trPr>
          <w:cantSplit/>
        </w:trPr>
        <w:tc>
          <w:tcPr>
            <w:tcW w:type="dxa" w:w="2016"/>
            <w:tcMar>
              <w:top w:w="100" w:type="dxa"/>
              <w:start w:w="120" w:type="dxa"/>
              <w:bottom w:w="100" w:type="dxa"/>
              <w:end w:w="120" w:type="dxa"/>
            </w:tcMar>
          </w:tcPr>
          <w:p>
            <w:pPr>
              <w:spacing w:after="0"/>
            </w:pPr>
            <w:r>
              <w:rPr>
                <w:sz w:val="17"/>
              </w:rPr>
              <w:t>System action</w:t>
            </w:r>
          </w:p>
        </w:tc>
        <w:tc>
          <w:tcPr>
            <w:tcW w:type="dxa" w:w="7920"/>
            <w:tcMar>
              <w:top w:w="100" w:type="dxa"/>
              <w:start w:w="120" w:type="dxa"/>
              <w:bottom w:w="100" w:type="dxa"/>
              <w:end w:w="120" w:type="dxa"/>
            </w:tcMar>
          </w:tcPr>
          <w:p>
            <w:pPr>
              <w:spacing w:after="0"/>
            </w:pPr>
            <w:r>
              <w:rPr>
                <w:sz w:val="17"/>
              </w:rPr>
              <w:t>Is advocacy, case management, referral, care coordination, or policy navigation part of the intervention?</w:t>
            </w:r>
          </w:p>
        </w:tc>
      </w:tr>
    </w:tbl>
    <w:p>
      <w:pPr>
        <w:spacing w:after="0"/>
      </w:pPr>
    </w:p>
    <w:p>
      <w:pPr>
        <w:pStyle w:val="Heading1"/>
      </w:pPr>
      <w:r>
        <w:t>10. Development, Culture, Access, and Scope</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cantSplit/>
        </w:trPr>
        <w:tc>
          <w:tcPr>
            <w:tcW w:type="dxa" w:w="2016"/>
            <w:shd w:fill="17365D"/>
            <w:tcMar>
              <w:top w:w="100" w:type="dxa"/>
              <w:start w:w="120" w:type="dxa"/>
              <w:bottom w:w="100" w:type="dxa"/>
              <w:end w:w="120" w:type="dxa"/>
            </w:tcMar>
          </w:tcPr>
          <w:p>
            <w:pPr>
              <w:spacing w:after="0"/>
            </w:pPr>
            <w:r>
              <w:rPr>
                <w:b/>
                <w:color w:val="FFFFFF"/>
                <w:sz w:val="16"/>
              </w:rPr>
              <w:t>Development</w:t>
            </w:r>
          </w:p>
        </w:tc>
        <w:tc>
          <w:tcPr>
            <w:tcW w:type="dxa" w:w="2016"/>
            <w:shd w:fill="17365D"/>
            <w:tcMar>
              <w:top w:w="100" w:type="dxa"/>
              <w:start w:w="120" w:type="dxa"/>
              <w:bottom w:w="100" w:type="dxa"/>
              <w:end w:w="120" w:type="dxa"/>
            </w:tcMar>
          </w:tcPr>
          <w:p>
            <w:pPr>
              <w:spacing w:after="0"/>
            </w:pPr>
            <w:r>
              <w:rPr>
                <w:b/>
                <w:color w:val="FFFFFF"/>
                <w:sz w:val="16"/>
              </w:rPr>
              <w:t>Culture</w:t>
            </w:r>
          </w:p>
        </w:tc>
        <w:tc>
          <w:tcPr>
            <w:tcW w:type="dxa" w:w="2016"/>
            <w:shd w:fill="17365D"/>
            <w:tcMar>
              <w:top w:w="100" w:type="dxa"/>
              <w:start w:w="120" w:type="dxa"/>
              <w:bottom w:w="100" w:type="dxa"/>
              <w:end w:w="120" w:type="dxa"/>
            </w:tcMar>
          </w:tcPr>
          <w:p>
            <w:pPr>
              <w:spacing w:after="0"/>
            </w:pPr>
            <w:r>
              <w:rPr>
                <w:b/>
                <w:color w:val="FFFFFF"/>
                <w:sz w:val="16"/>
              </w:rPr>
              <w:t>Readiness</w:t>
            </w:r>
          </w:p>
        </w:tc>
        <w:tc>
          <w:tcPr>
            <w:tcW w:type="dxa" w:w="2016"/>
            <w:shd w:fill="17365D"/>
            <w:tcMar>
              <w:top w:w="100" w:type="dxa"/>
              <w:start w:w="120" w:type="dxa"/>
              <w:bottom w:w="100" w:type="dxa"/>
              <w:end w:w="120" w:type="dxa"/>
            </w:tcMar>
          </w:tcPr>
          <w:p>
            <w:pPr>
              <w:spacing w:after="0"/>
            </w:pPr>
            <w:r>
              <w:rPr>
                <w:b/>
                <w:color w:val="FFFFFF"/>
                <w:sz w:val="16"/>
              </w:rPr>
              <w:t>Access</w:t>
            </w:r>
          </w:p>
        </w:tc>
        <w:tc>
          <w:tcPr>
            <w:tcW w:type="dxa" w:w="2016"/>
            <w:shd w:fill="17365D"/>
            <w:tcMar>
              <w:top w:w="100" w:type="dxa"/>
              <w:start w:w="120" w:type="dxa"/>
              <w:bottom w:w="100" w:type="dxa"/>
              <w:end w:w="120" w:type="dxa"/>
            </w:tcMar>
          </w:tcPr>
          <w:p>
            <w:pPr>
              <w:spacing w:after="0"/>
            </w:pPr>
            <w:r>
              <w:rPr>
                <w:b/>
                <w:color w:val="FFFFFF"/>
                <w:sz w:val="16"/>
              </w:rPr>
              <w:t>System</w:t>
            </w:r>
          </w:p>
        </w:tc>
      </w:tr>
      <w:tr>
        <w:trPr>
          <w:cantSplit/>
        </w:trPr>
        <w:tc>
          <w:tcPr>
            <w:tcW w:type="dxa" w:w="1987"/>
            <w:tcMar>
              <w:top w:w="100" w:type="dxa"/>
              <w:start w:w="120" w:type="dxa"/>
              <w:bottom w:w="100" w:type="dxa"/>
              <w:end w:w="120" w:type="dxa"/>
            </w:tcMar>
          </w:tcPr>
          <w:p>
            <w:pPr>
              <w:spacing w:after="0"/>
            </w:pPr>
            <w:r>
              <w:rPr>
                <w:sz w:val="16"/>
              </w:rPr>
              <w:t>Use concrete, experiential, or caregiver-supported methods when appropriate.</w:t>
            </w:r>
          </w:p>
        </w:tc>
        <w:tc>
          <w:tcPr>
            <w:tcW w:type="dxa" w:w="1987"/>
            <w:tcMar>
              <w:top w:w="100" w:type="dxa"/>
              <w:start w:w="120" w:type="dxa"/>
              <w:bottom w:w="100" w:type="dxa"/>
              <w:end w:w="120" w:type="dxa"/>
            </w:tcMar>
          </w:tcPr>
          <w:p>
            <w:pPr>
              <w:spacing w:after="0"/>
            </w:pPr>
            <w:r>
              <w:rPr>
                <w:sz w:val="16"/>
              </w:rPr>
              <w:t>Ask how identity, beliefs, language, discrimination, and healing traditions affect fit.</w:t>
            </w:r>
          </w:p>
        </w:tc>
        <w:tc>
          <w:tcPr>
            <w:tcW w:type="dxa" w:w="1987"/>
            <w:tcMar>
              <w:top w:w="100" w:type="dxa"/>
              <w:start w:w="120" w:type="dxa"/>
              <w:bottom w:w="100" w:type="dxa"/>
              <w:end w:w="120" w:type="dxa"/>
            </w:tcMar>
          </w:tcPr>
          <w:p>
            <w:pPr>
              <w:spacing w:after="0"/>
            </w:pPr>
            <w:r>
              <w:rPr>
                <w:sz w:val="16"/>
              </w:rPr>
              <w:t>Match the step to motivation and capacity.</w:t>
            </w:r>
          </w:p>
        </w:tc>
        <w:tc>
          <w:tcPr>
            <w:tcW w:type="dxa" w:w="1987"/>
            <w:tcMar>
              <w:top w:w="100" w:type="dxa"/>
              <w:start w:w="120" w:type="dxa"/>
              <w:bottom w:w="100" w:type="dxa"/>
              <w:end w:w="120" w:type="dxa"/>
            </w:tcMar>
          </w:tcPr>
          <w:p>
            <w:pPr>
              <w:spacing w:after="0"/>
            </w:pPr>
            <w:r>
              <w:rPr>
                <w:sz w:val="16"/>
              </w:rPr>
              <w:t>Consider cost, transportation, disability, technology, eligibility, and availability.</w:t>
            </w:r>
          </w:p>
        </w:tc>
        <w:tc>
          <w:tcPr>
            <w:tcW w:type="dxa" w:w="1987"/>
            <w:tcMar>
              <w:top w:w="100" w:type="dxa"/>
              <w:start w:w="120" w:type="dxa"/>
              <w:bottom w:w="100" w:type="dxa"/>
              <w:end w:w="120" w:type="dxa"/>
            </w:tcMar>
          </w:tcPr>
          <w:p>
            <w:pPr>
              <w:spacing w:after="0"/>
            </w:pPr>
            <w:r>
              <w:rPr>
                <w:sz w:val="16"/>
              </w:rPr>
              <w:t>Assess family, workplace, school, legal, health, and community influences.</w:t>
            </w:r>
          </w:p>
        </w:tc>
      </w:tr>
    </w:tbl>
    <w:p>
      <w:pPr>
        <w:spacing w:after="0"/>
      </w:pPr>
    </w:p>
    <w:p>
      <w:r>
        <w:rPr>
          <w:i w:val="0"/>
        </w:rPr>
        <w:t>The most appropriate intervention may be consultation, coordinated care, referral, or a higher level of treatment. The social worker should recognize limits of competence and avoid attempting a specialized method after only a brief review. Referral should preserve engagement and continuity rather than function as rejection.</w:t>
      </w: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E7F5F4"/>
            <w:tcMar>
              <w:top w:w="150" w:type="dxa"/>
              <w:start w:w="180" w:type="dxa"/>
              <w:bottom w:w="150" w:type="dxa"/>
              <w:end w:w="180" w:type="dxa"/>
            </w:tcMar>
          </w:tcPr>
          <w:p>
            <w:pPr>
              <w:spacing w:after="80"/>
            </w:pPr>
            <w:r>
              <w:rPr>
                <w:b/>
                <w:i w:val="0"/>
                <w:color w:val="0F7C82"/>
              </w:rPr>
              <w:t>Scope Rule</w:t>
            </w:r>
          </w:p>
          <w:p>
            <w:pPr>
              <w:spacing w:after="0"/>
            </w:pPr>
            <w:r>
              <w:t>Explain the limitation, consult or obtain qualified training, and discuss competent alternatives or coordinated referral.</w:t>
            </w:r>
          </w:p>
        </w:tc>
      </w:tr>
    </w:tbl>
    <w:p>
      <w:pPr>
        <w:spacing w:after="0"/>
      </w:pPr>
    </w:p>
    <w:p>
      <w:pPr>
        <w:pStyle w:val="Heading1"/>
      </w:pPr>
      <w:r>
        <w:t>11. When an Intervention Is Not Working</w:t>
      </w:r>
    </w:p>
    <w:p>
      <w:r>
        <w:rPr>
          <w:i w:val="0"/>
        </w:rPr>
        <w:t>Nonresponse can reflect an inaccurate formulation, poor timing, weak alliance, incomplete implementation, cultural mismatch, inaccessible services, transportation or cost barriers, side effects, competing basic needs, inadequate intensity, or a change in risk. The social worker reassesses rather than labeling the client resistant or adding multiple unrelated techniques.</w:t>
      </w:r>
    </w:p>
    <w:p>
      <w:pPr>
        <w:pStyle w:val="ListNumber"/>
      </w:pPr>
      <w:r>
        <w:t>Review safety, medical or substance factors, and whether a different level of care is now required.</w:t>
      </w:r>
    </w:p>
    <w:p>
      <w:pPr>
        <w:pStyle w:val="ListNumber"/>
      </w:pPr>
      <w:r>
        <w:t>Ask whether the client feels understood and whether the target remains meaningful.</w:t>
      </w:r>
    </w:p>
    <w:p>
      <w:pPr>
        <w:pStyle w:val="ListNumber"/>
      </w:pPr>
      <w:r>
        <w:t>Determine whether the intervention was actually delivered and accessible as planned.</w:t>
      </w:r>
    </w:p>
    <w:p>
      <w:pPr>
        <w:pStyle w:val="ListNumber"/>
      </w:pPr>
      <w:r>
        <w:t>Review developmental, cultural, language, disability, financial, transportation, and organizational barriers.</w:t>
      </w:r>
    </w:p>
    <w:p>
      <w:pPr>
        <w:pStyle w:val="ListNumber"/>
      </w:pPr>
      <w:r>
        <w:t>Modify the method, pace, resource plan, consultation, referral, advocacy, or level of care.</w:t>
      </w:r>
    </w:p>
    <w:p>
      <w:pPr>
        <w:pStyle w:val="ListNumber"/>
      </w:pPr>
      <w:r>
        <w:t>Set a new response check and document the client’s participation and informed choices.</w:t>
      </w:r>
    </w:p>
    <w:p>
      <w:pPr>
        <w:pStyle w:val="Heading1"/>
      </w:pPr>
      <w:r>
        <w:t>Common Exam Traps</w:t>
      </w:r>
    </w:p>
    <w:tbl>
      <w:tblPr>
        <w:tblStyle w:val="TableGrid"/>
        <w:tblW w:type="auto" w:w="0"/>
        <w:jc w:val="center"/>
        <w:tblLayout w:type="fixed"/>
        <w:tblLook w:firstColumn="1" w:firstRow="1" w:lastColumn="0" w:lastRow="0" w:noHBand="0" w:noVBand="1" w:val="04A0"/>
      </w:tblPr>
      <w:tblGrid>
        <w:gridCol w:w="4176"/>
        <w:gridCol w:w="5760"/>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Trap</w:t>
            </w:r>
          </w:p>
        </w:tc>
        <w:tc>
          <w:tcPr>
            <w:tcW w:type="dxa" w:w="5040"/>
            <w:shd w:fill="17365D"/>
            <w:tcMar>
              <w:top w:w="100" w:type="dxa"/>
              <w:start w:w="120" w:type="dxa"/>
              <w:bottom w:w="100" w:type="dxa"/>
              <w:end w:w="120" w:type="dxa"/>
            </w:tcMar>
          </w:tcPr>
          <w:p>
            <w:pPr>
              <w:spacing w:after="0"/>
            </w:pPr>
            <w:r>
              <w:rPr>
                <w:b/>
                <w:color w:val="FFFFFF"/>
                <w:sz w:val="17"/>
              </w:rPr>
              <w:t>Correction</w:t>
            </w:r>
          </w:p>
        </w:tc>
      </w:tr>
      <w:tr>
        <w:trPr>
          <w:cantSplit/>
        </w:trPr>
        <w:tc>
          <w:tcPr>
            <w:tcW w:type="dxa" w:w="4176"/>
            <w:tcMar>
              <w:top w:w="100" w:type="dxa"/>
              <w:start w:w="120" w:type="dxa"/>
              <w:bottom w:w="100" w:type="dxa"/>
              <w:end w:w="120" w:type="dxa"/>
            </w:tcMar>
          </w:tcPr>
          <w:p>
            <w:pPr>
              <w:spacing w:after="0"/>
            </w:pPr>
            <w:r>
              <w:rPr>
                <w:sz w:val="17"/>
              </w:rPr>
              <w:t>Choosing a named method before identifying the target</w:t>
            </w:r>
          </w:p>
        </w:tc>
        <w:tc>
          <w:tcPr>
            <w:tcW w:type="dxa" w:w="5760"/>
            <w:tcMar>
              <w:top w:w="100" w:type="dxa"/>
              <w:start w:w="120" w:type="dxa"/>
              <w:bottom w:w="100" w:type="dxa"/>
              <w:end w:w="120" w:type="dxa"/>
            </w:tcMar>
          </w:tcPr>
          <w:p>
            <w:pPr>
              <w:spacing w:after="0"/>
            </w:pPr>
            <w:r>
              <w:rPr>
                <w:sz w:val="17"/>
              </w:rPr>
              <w:t>Use FITS and state what mechanism the intervention is expected to change.</w:t>
            </w:r>
          </w:p>
        </w:tc>
      </w:tr>
      <w:tr>
        <w:trPr>
          <w:cantSplit/>
        </w:trPr>
        <w:tc>
          <w:tcPr>
            <w:tcW w:type="dxa" w:w="4176"/>
            <w:tcMar>
              <w:top w:w="100" w:type="dxa"/>
              <w:start w:w="120" w:type="dxa"/>
              <w:bottom w:w="100" w:type="dxa"/>
              <w:end w:w="120" w:type="dxa"/>
            </w:tcMar>
            <w:shd w:fill="F7F8FA"/>
          </w:tcPr>
          <w:p>
            <w:pPr>
              <w:spacing w:after="0"/>
            </w:pPr>
            <w:r>
              <w:rPr>
                <w:sz w:val="17"/>
              </w:rPr>
              <w:t>Processing trauma while the client is acutely dysregulated</w:t>
            </w:r>
          </w:p>
        </w:tc>
        <w:tc>
          <w:tcPr>
            <w:tcW w:type="dxa" w:w="5760"/>
            <w:tcMar>
              <w:top w:w="100" w:type="dxa"/>
              <w:start w:w="120" w:type="dxa"/>
              <w:bottom w:w="100" w:type="dxa"/>
              <w:end w:w="120" w:type="dxa"/>
            </w:tcMar>
            <w:shd w:fill="F7F8FA"/>
          </w:tcPr>
          <w:p>
            <w:pPr>
              <w:spacing w:after="0"/>
            </w:pPr>
            <w:r>
              <w:rPr>
                <w:sz w:val="17"/>
              </w:rPr>
              <w:t>Orient, stabilize, and restore choice before intensive work.</w:t>
            </w:r>
          </w:p>
        </w:tc>
      </w:tr>
      <w:tr>
        <w:trPr>
          <w:cantSplit/>
        </w:trPr>
        <w:tc>
          <w:tcPr>
            <w:tcW w:type="dxa" w:w="4176"/>
            <w:tcMar>
              <w:top w:w="100" w:type="dxa"/>
              <w:start w:w="120" w:type="dxa"/>
              <w:bottom w:w="100" w:type="dxa"/>
              <w:end w:w="120" w:type="dxa"/>
            </w:tcMar>
          </w:tcPr>
          <w:p>
            <w:pPr>
              <w:spacing w:after="0"/>
            </w:pPr>
            <w:r>
              <w:rPr>
                <w:sz w:val="17"/>
              </w:rPr>
              <w:t>Treating ambivalence as defiance</w:t>
            </w:r>
          </w:p>
        </w:tc>
        <w:tc>
          <w:tcPr>
            <w:tcW w:type="dxa" w:w="5760"/>
            <w:tcMar>
              <w:top w:w="100" w:type="dxa"/>
              <w:start w:w="120" w:type="dxa"/>
              <w:bottom w:w="100" w:type="dxa"/>
              <w:end w:w="120" w:type="dxa"/>
            </w:tcMar>
          </w:tcPr>
          <w:p>
            <w:pPr>
              <w:spacing w:after="0"/>
            </w:pPr>
            <w:r>
              <w:rPr>
                <w:sz w:val="17"/>
              </w:rPr>
              <w:t>Explore readiness, meaning, and client-defined reasons for change.</w:t>
            </w:r>
          </w:p>
        </w:tc>
      </w:tr>
      <w:tr>
        <w:trPr>
          <w:cantSplit/>
        </w:trPr>
        <w:tc>
          <w:tcPr>
            <w:tcW w:type="dxa" w:w="4176"/>
            <w:tcMar>
              <w:top w:w="100" w:type="dxa"/>
              <w:start w:w="120" w:type="dxa"/>
              <w:bottom w:w="100" w:type="dxa"/>
              <w:end w:w="120" w:type="dxa"/>
            </w:tcMar>
            <w:shd w:fill="F7F8FA"/>
          </w:tcPr>
          <w:p>
            <w:pPr>
              <w:spacing w:after="0"/>
            </w:pPr>
            <w:r>
              <w:rPr>
                <w:sz w:val="17"/>
              </w:rPr>
              <w:t>Assuming evidence-based means automatically appropriate</w:t>
            </w:r>
          </w:p>
        </w:tc>
        <w:tc>
          <w:tcPr>
            <w:tcW w:type="dxa" w:w="5760"/>
            <w:tcMar>
              <w:top w:w="100" w:type="dxa"/>
              <w:start w:w="120" w:type="dxa"/>
              <w:bottom w:w="100" w:type="dxa"/>
              <w:end w:w="120" w:type="dxa"/>
            </w:tcMar>
            <w:shd w:fill="F7F8FA"/>
          </w:tcPr>
          <w:p>
            <w:pPr>
              <w:spacing w:after="0"/>
            </w:pPr>
            <w:r>
              <w:rPr>
                <w:sz w:val="17"/>
              </w:rPr>
              <w:t>Evaluate access, culture, development, preference, readiness, and competence.</w:t>
            </w:r>
          </w:p>
        </w:tc>
      </w:tr>
      <w:tr>
        <w:trPr>
          <w:cantSplit/>
        </w:trPr>
        <w:tc>
          <w:tcPr>
            <w:tcW w:type="dxa" w:w="4176"/>
            <w:tcMar>
              <w:top w:w="100" w:type="dxa"/>
              <w:start w:w="120" w:type="dxa"/>
              <w:bottom w:w="100" w:type="dxa"/>
              <w:end w:w="120" w:type="dxa"/>
            </w:tcMar>
          </w:tcPr>
          <w:p>
            <w:pPr>
              <w:spacing w:after="0"/>
            </w:pPr>
            <w:r>
              <w:rPr>
                <w:sz w:val="17"/>
              </w:rPr>
              <w:t>Giving information without checking understanding</w:t>
            </w:r>
          </w:p>
        </w:tc>
        <w:tc>
          <w:tcPr>
            <w:tcW w:type="dxa" w:w="5760"/>
            <w:tcMar>
              <w:top w:w="100" w:type="dxa"/>
              <w:start w:w="120" w:type="dxa"/>
              <w:bottom w:w="100" w:type="dxa"/>
              <w:end w:w="120" w:type="dxa"/>
            </w:tcMar>
          </w:tcPr>
          <w:p>
            <w:pPr>
              <w:spacing w:after="0"/>
            </w:pPr>
            <w:r>
              <w:rPr>
                <w:sz w:val="17"/>
              </w:rPr>
              <w:t>Use accessible language, teach-back, and practical application.</w:t>
            </w:r>
          </w:p>
        </w:tc>
      </w:tr>
      <w:tr>
        <w:trPr>
          <w:cantSplit/>
        </w:trPr>
        <w:tc>
          <w:tcPr>
            <w:tcW w:type="dxa" w:w="4176"/>
            <w:tcMar>
              <w:top w:w="100" w:type="dxa"/>
              <w:start w:w="120" w:type="dxa"/>
              <w:bottom w:w="100" w:type="dxa"/>
              <w:end w:w="120" w:type="dxa"/>
            </w:tcMar>
            <w:shd w:fill="F7F8FA"/>
          </w:tcPr>
          <w:p>
            <w:pPr>
              <w:spacing w:after="0"/>
            </w:pPr>
            <w:r>
              <w:rPr>
                <w:sz w:val="17"/>
              </w:rPr>
              <w:t>Ignoring functional and environmental needs during grief or depression</w:t>
            </w:r>
          </w:p>
        </w:tc>
        <w:tc>
          <w:tcPr>
            <w:tcW w:type="dxa" w:w="5760"/>
            <w:tcMar>
              <w:top w:w="100" w:type="dxa"/>
              <w:start w:w="120" w:type="dxa"/>
              <w:bottom w:w="100" w:type="dxa"/>
              <w:end w:w="120" w:type="dxa"/>
            </w:tcMar>
            <w:shd w:fill="F7F8FA"/>
          </w:tcPr>
          <w:p>
            <w:pPr>
              <w:spacing w:after="0"/>
            </w:pPr>
            <w:r>
              <w:rPr>
                <w:sz w:val="17"/>
              </w:rPr>
              <w:t>Integrate clinical support with person-in-environment assessment and resources.</w:t>
            </w:r>
          </w:p>
        </w:tc>
      </w:tr>
      <w:tr>
        <w:trPr>
          <w:cantSplit/>
        </w:trPr>
        <w:tc>
          <w:tcPr>
            <w:tcW w:type="dxa" w:w="4176"/>
            <w:tcMar>
              <w:top w:w="100" w:type="dxa"/>
              <w:start w:w="120" w:type="dxa"/>
              <w:bottom w:w="100" w:type="dxa"/>
              <w:end w:w="120" w:type="dxa"/>
            </w:tcMar>
          </w:tcPr>
          <w:p>
            <w:pPr>
              <w:spacing w:after="0"/>
            </w:pPr>
            <w:r>
              <w:rPr>
                <w:sz w:val="17"/>
              </w:rPr>
              <w:t>Attempting a specialized treatment outside competence</w:t>
            </w:r>
          </w:p>
        </w:tc>
        <w:tc>
          <w:tcPr>
            <w:tcW w:type="dxa" w:w="5760"/>
            <w:tcMar>
              <w:top w:w="100" w:type="dxa"/>
              <w:start w:w="120" w:type="dxa"/>
              <w:bottom w:w="100" w:type="dxa"/>
              <w:end w:w="120" w:type="dxa"/>
            </w:tcMar>
          </w:tcPr>
          <w:p>
            <w:pPr>
              <w:spacing w:after="0"/>
            </w:pPr>
            <w:r>
              <w:rPr>
                <w:sz w:val="17"/>
              </w:rPr>
              <w:t>Consult, train appropriately, coordinate referral, and preserve continuity.</w:t>
            </w:r>
          </w:p>
        </w:tc>
      </w:tr>
    </w:tbl>
    <w:p>
      <w:pPr>
        <w:spacing w:after="0"/>
      </w:pPr>
    </w:p>
    <w:p>
      <w:pPr>
        <w:pStyle w:val="Heading1"/>
      </w:pPr>
      <w:r>
        <w:t>Worked Example 1: Trauma Disclosure</w:t>
      </w:r>
    </w:p>
    <w:p>
      <w:r>
        <w:rPr>
          <w:i w:val="0"/>
        </w:rPr>
        <w:t>A client becomes quiet and avoids eye contact when asked about childhood abuse. The next step is not to force completion of the history. A trauma-informed response acknowledges possible discomfort, explains choice, and offers options about whether and how to continue. This protects engagement and reduces avoidable re-traumatization.</w:t>
      </w: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E7F5F4"/>
            <w:tcMar>
              <w:top w:w="150" w:type="dxa"/>
              <w:start w:w="180" w:type="dxa"/>
              <w:bottom w:w="150" w:type="dxa"/>
              <w:end w:w="180" w:type="dxa"/>
            </w:tcMar>
          </w:tcPr>
          <w:p>
            <w:pPr>
              <w:spacing w:after="80"/>
            </w:pPr>
            <w:r>
              <w:rPr>
                <w:b/>
                <w:i w:val="0"/>
                <w:color w:val="0F7C82"/>
              </w:rPr>
              <w:t>Best Next Step</w:t>
            </w:r>
          </w:p>
          <w:p>
            <w:pPr>
              <w:spacing w:after="0"/>
            </w:pPr>
            <w:r>
              <w:t>Acknowledge the discomfort and offer control over pace and disclosure.</w:t>
            </w:r>
          </w:p>
        </w:tc>
      </w:tr>
    </w:tbl>
    <w:p>
      <w:pPr>
        <w:spacing w:after="0"/>
      </w:pPr>
    </w:p>
    <w:p>
      <w:pPr>
        <w:pStyle w:val="Heading1"/>
      </w:pPr>
      <w:r>
        <w:t>Worked Example 2: Evidence and Access</w:t>
      </w:r>
    </w:p>
    <w:p>
      <w:r>
        <w:rPr>
          <w:i w:val="0"/>
        </w:rPr>
        <w:t>A client with severe social anxiety cannot currently attend an in-person group because of panic and transportation barriers. The social worker does not insist on the group simply because it is evidence based. The next step is to assess readiness and access, discuss feasible evidence-informed options, and build a stepwise plan toward the client’s goals.</w:t>
      </w: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E7F5F4"/>
            <w:tcMar>
              <w:top w:w="150" w:type="dxa"/>
              <w:start w:w="180" w:type="dxa"/>
              <w:bottom w:w="150" w:type="dxa"/>
              <w:end w:w="180" w:type="dxa"/>
            </w:tcMar>
          </w:tcPr>
          <w:p>
            <w:pPr>
              <w:spacing w:after="80"/>
            </w:pPr>
            <w:r>
              <w:rPr>
                <w:b/>
                <w:i w:val="0"/>
                <w:color w:val="0F7C82"/>
              </w:rPr>
              <w:t>Best Next Step</w:t>
            </w:r>
          </w:p>
          <w:p>
            <w:pPr>
              <w:spacing w:after="0"/>
            </w:pPr>
            <w:r>
              <w:t>Integrate effectiveness with readiness, accessibility, culture, and feasibility.</w:t>
            </w:r>
          </w:p>
        </w:tc>
      </w:tr>
    </w:tbl>
    <w:p>
      <w:pPr>
        <w:spacing w:after="0"/>
      </w:pPr>
    </w:p>
    <w:p>
      <w:r>
        <w:br w:type="page"/>
      </w:r>
    </w:p>
    <w:p>
      <w:pPr>
        <w:pStyle w:val="Heading1"/>
      </w:pPr>
      <w:r>
        <w:t>Intervention Selection Worksheet</w:t>
      </w:r>
    </w:p>
    <w:tbl>
      <w:tblPr>
        <w:tblStyle w:val="TableGrid"/>
        <w:tblW w:type="auto" w:w="0"/>
        <w:jc w:val="center"/>
        <w:tblLayout w:type="fixed"/>
        <w:tblLook w:firstColumn="1" w:firstRow="1" w:lastColumn="0" w:lastRow="0" w:noHBand="0" w:noVBand="1" w:val="04A0"/>
      </w:tblPr>
      <w:tblGrid>
        <w:gridCol w:w="5760"/>
        <w:gridCol w:w="4176"/>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Prompt</w:t>
            </w:r>
          </w:p>
        </w:tc>
        <w:tc>
          <w:tcPr>
            <w:tcW w:type="dxa" w:w="5040"/>
            <w:shd w:fill="17365D"/>
            <w:tcMar>
              <w:top w:w="100" w:type="dxa"/>
              <w:start w:w="120" w:type="dxa"/>
              <w:bottom w:w="100" w:type="dxa"/>
              <w:end w:w="120" w:type="dxa"/>
            </w:tcMar>
          </w:tcPr>
          <w:p>
            <w:pPr>
              <w:spacing w:after="0"/>
            </w:pPr>
            <w:r>
              <w:rPr>
                <w:b/>
                <w:color w:val="FFFFFF"/>
                <w:sz w:val="17"/>
              </w:rPr>
              <w:t>Notes</w:t>
            </w:r>
          </w:p>
        </w:tc>
      </w:tr>
      <w:tr>
        <w:trPr>
          <w:cantSplit/>
        </w:trPr>
        <w:tc>
          <w:tcPr>
            <w:tcW w:type="dxa" w:w="5760"/>
            <w:tcMar>
              <w:top w:w="100" w:type="dxa"/>
              <w:start w:w="120" w:type="dxa"/>
              <w:bottom w:w="100" w:type="dxa"/>
              <w:end w:w="120" w:type="dxa"/>
            </w:tcMar>
          </w:tcPr>
          <w:p>
            <w:pPr>
              <w:spacing w:after="0"/>
            </w:pPr>
            <w:r>
              <w:rPr>
                <w:sz w:val="17"/>
              </w:rPr>
              <w:t>Formulation: clinical, functional, relational, environmental, and system factors</w:t>
            </w:r>
          </w:p>
        </w:tc>
        <w:tc>
          <w:tcPr>
            <w:tcW w:type="dxa" w:w="4176"/>
            <w:tcMar>
              <w:top w:w="100" w:type="dxa"/>
              <w:start w:w="120" w:type="dxa"/>
              <w:bottom w:w="100" w:type="dxa"/>
              <w:end w:w="120" w:type="dxa"/>
            </w:tcMar>
          </w:tcPr>
          <w:p>
            <w:pPr>
              <w:spacing w:after="0"/>
            </w:pPr>
            <w:r>
              <w:rPr>
                <w:sz w:val="17"/>
              </w:rPr>
            </w:r>
          </w:p>
        </w:tc>
      </w:tr>
      <w:tr>
        <w:trPr>
          <w:cantSplit/>
        </w:trPr>
        <w:tc>
          <w:tcPr>
            <w:tcW w:type="dxa" w:w="5760"/>
            <w:tcMar>
              <w:top w:w="100" w:type="dxa"/>
              <w:start w:w="120" w:type="dxa"/>
              <w:bottom w:w="100" w:type="dxa"/>
              <w:end w:w="120" w:type="dxa"/>
            </w:tcMar>
            <w:shd w:fill="F7F8FA"/>
          </w:tcPr>
          <w:p>
            <w:pPr>
              <w:spacing w:after="0"/>
            </w:pPr>
            <w:r>
              <w:rPr>
                <w:sz w:val="17"/>
              </w:rPr>
              <w:t>Immediacy: safety, medical, withdrawal, overdose, or higher-level need</w:t>
            </w:r>
          </w:p>
        </w:tc>
        <w:tc>
          <w:tcPr>
            <w:tcW w:type="dxa" w:w="4176"/>
            <w:tcMar>
              <w:top w:w="100" w:type="dxa"/>
              <w:start w:w="120" w:type="dxa"/>
              <w:bottom w:w="100" w:type="dxa"/>
              <w:end w:w="120" w:type="dxa"/>
            </w:tcMar>
            <w:shd w:fill="F7F8FA"/>
          </w:tcPr>
          <w:p>
            <w:pPr>
              <w:spacing w:after="0"/>
            </w:pPr>
            <w:r>
              <w:rPr>
                <w:sz w:val="17"/>
              </w:rPr>
            </w:r>
          </w:p>
        </w:tc>
      </w:tr>
      <w:tr>
        <w:trPr>
          <w:cantSplit/>
        </w:trPr>
        <w:tc>
          <w:tcPr>
            <w:tcW w:type="dxa" w:w="5760"/>
            <w:tcMar>
              <w:top w:w="100" w:type="dxa"/>
              <w:start w:w="120" w:type="dxa"/>
              <w:bottom w:w="100" w:type="dxa"/>
              <w:end w:w="120" w:type="dxa"/>
            </w:tcMar>
          </w:tcPr>
          <w:p>
            <w:pPr>
              <w:spacing w:after="0"/>
            </w:pPr>
            <w:r>
              <w:rPr>
                <w:sz w:val="17"/>
              </w:rPr>
              <w:t>Target mechanism: thought, avoidance, reinforcement, emotion, skill, interaction, or barrier</w:t>
            </w:r>
          </w:p>
        </w:tc>
        <w:tc>
          <w:tcPr>
            <w:tcW w:type="dxa" w:w="4176"/>
            <w:tcMar>
              <w:top w:w="100" w:type="dxa"/>
              <w:start w:w="120" w:type="dxa"/>
              <w:bottom w:w="100" w:type="dxa"/>
              <w:end w:w="120" w:type="dxa"/>
            </w:tcMar>
          </w:tcPr>
          <w:p>
            <w:pPr>
              <w:spacing w:after="0"/>
            </w:pPr>
            <w:r>
              <w:rPr>
                <w:sz w:val="17"/>
              </w:rPr>
            </w:r>
          </w:p>
        </w:tc>
      </w:tr>
      <w:tr>
        <w:trPr>
          <w:cantSplit/>
        </w:trPr>
        <w:tc>
          <w:tcPr>
            <w:tcW w:type="dxa" w:w="5760"/>
            <w:tcMar>
              <w:top w:w="100" w:type="dxa"/>
              <w:start w:w="120" w:type="dxa"/>
              <w:bottom w:w="100" w:type="dxa"/>
              <w:end w:w="120" w:type="dxa"/>
            </w:tcMar>
            <w:shd w:fill="F7F8FA"/>
          </w:tcPr>
          <w:p>
            <w:pPr>
              <w:spacing w:after="0"/>
            </w:pPr>
            <w:r>
              <w:rPr>
                <w:sz w:val="17"/>
              </w:rPr>
              <w:t>Client strengths, goals, readiness, and informed preferences</w:t>
            </w:r>
          </w:p>
        </w:tc>
        <w:tc>
          <w:tcPr>
            <w:tcW w:type="dxa" w:w="4176"/>
            <w:tcMar>
              <w:top w:w="100" w:type="dxa"/>
              <w:start w:w="120" w:type="dxa"/>
              <w:bottom w:w="100" w:type="dxa"/>
              <w:end w:w="120" w:type="dxa"/>
            </w:tcMar>
            <w:shd w:fill="F7F8FA"/>
          </w:tcPr>
          <w:p>
            <w:pPr>
              <w:spacing w:after="0"/>
            </w:pPr>
            <w:r>
              <w:rPr>
                <w:sz w:val="17"/>
              </w:rPr>
            </w:r>
          </w:p>
        </w:tc>
      </w:tr>
      <w:tr>
        <w:trPr>
          <w:cantSplit/>
        </w:trPr>
        <w:tc>
          <w:tcPr>
            <w:tcW w:type="dxa" w:w="5760"/>
            <w:tcMar>
              <w:top w:w="100" w:type="dxa"/>
              <w:start w:w="120" w:type="dxa"/>
              <w:bottom w:w="100" w:type="dxa"/>
              <w:end w:w="120" w:type="dxa"/>
            </w:tcMar>
          </w:tcPr>
          <w:p>
            <w:pPr>
              <w:spacing w:after="0"/>
            </w:pPr>
            <w:r>
              <w:rPr>
                <w:sz w:val="17"/>
              </w:rPr>
              <w:t>Development, culture, language, disability, health literacy, and access</w:t>
            </w:r>
          </w:p>
        </w:tc>
        <w:tc>
          <w:tcPr>
            <w:tcW w:type="dxa" w:w="4176"/>
            <w:tcMar>
              <w:top w:w="100" w:type="dxa"/>
              <w:start w:w="120" w:type="dxa"/>
              <w:bottom w:w="100" w:type="dxa"/>
              <w:end w:w="120" w:type="dxa"/>
            </w:tcMar>
          </w:tcPr>
          <w:p>
            <w:pPr>
              <w:spacing w:after="0"/>
            </w:pPr>
            <w:r>
              <w:rPr>
                <w:sz w:val="17"/>
              </w:rPr>
            </w:r>
          </w:p>
        </w:tc>
      </w:tr>
      <w:tr>
        <w:trPr>
          <w:cantSplit/>
        </w:trPr>
        <w:tc>
          <w:tcPr>
            <w:tcW w:type="dxa" w:w="5760"/>
            <w:tcMar>
              <w:top w:w="100" w:type="dxa"/>
              <w:start w:w="120" w:type="dxa"/>
              <w:bottom w:w="100" w:type="dxa"/>
              <w:end w:w="120" w:type="dxa"/>
            </w:tcMar>
            <w:shd w:fill="F7F8FA"/>
          </w:tcPr>
          <w:p>
            <w:pPr>
              <w:spacing w:after="0"/>
            </w:pPr>
            <w:r>
              <w:rPr>
                <w:sz w:val="17"/>
              </w:rPr>
              <w:t>Selected intervention and expected mechanism of change</w:t>
            </w:r>
          </w:p>
        </w:tc>
        <w:tc>
          <w:tcPr>
            <w:tcW w:type="dxa" w:w="4176"/>
            <w:tcMar>
              <w:top w:w="100" w:type="dxa"/>
              <w:start w:w="120" w:type="dxa"/>
              <w:bottom w:w="100" w:type="dxa"/>
              <w:end w:w="120" w:type="dxa"/>
            </w:tcMar>
            <w:shd w:fill="F7F8FA"/>
          </w:tcPr>
          <w:p>
            <w:pPr>
              <w:spacing w:after="0"/>
            </w:pPr>
            <w:r>
              <w:rPr>
                <w:sz w:val="17"/>
              </w:rPr>
            </w:r>
          </w:p>
        </w:tc>
      </w:tr>
      <w:tr>
        <w:trPr>
          <w:cantSplit/>
        </w:trPr>
        <w:tc>
          <w:tcPr>
            <w:tcW w:type="dxa" w:w="5760"/>
            <w:tcMar>
              <w:top w:w="100" w:type="dxa"/>
              <w:start w:w="120" w:type="dxa"/>
              <w:bottom w:w="100" w:type="dxa"/>
              <w:end w:w="120" w:type="dxa"/>
            </w:tcMar>
          </w:tcPr>
          <w:p>
            <w:pPr>
              <w:spacing w:after="0"/>
            </w:pPr>
            <w:r>
              <w:rPr>
                <w:sz w:val="17"/>
              </w:rPr>
              <w:t>Scope, consultation, referral, coordination, and advocacy needs</w:t>
            </w:r>
          </w:p>
        </w:tc>
        <w:tc>
          <w:tcPr>
            <w:tcW w:type="dxa" w:w="4176"/>
            <w:tcMar>
              <w:top w:w="100" w:type="dxa"/>
              <w:start w:w="120" w:type="dxa"/>
              <w:bottom w:w="100" w:type="dxa"/>
              <w:end w:w="120" w:type="dxa"/>
            </w:tcMar>
          </w:tcPr>
          <w:p>
            <w:pPr>
              <w:spacing w:after="0"/>
            </w:pPr>
            <w:r>
              <w:rPr>
                <w:sz w:val="17"/>
              </w:rPr>
            </w:r>
          </w:p>
        </w:tc>
      </w:tr>
      <w:tr>
        <w:trPr>
          <w:cantSplit/>
        </w:trPr>
        <w:tc>
          <w:tcPr>
            <w:tcW w:type="dxa" w:w="5760"/>
            <w:tcMar>
              <w:top w:w="100" w:type="dxa"/>
              <w:start w:w="120" w:type="dxa"/>
              <w:bottom w:w="100" w:type="dxa"/>
              <w:end w:w="120" w:type="dxa"/>
            </w:tcMar>
            <w:shd w:fill="F7F8FA"/>
          </w:tcPr>
          <w:p>
            <w:pPr>
              <w:spacing w:after="0"/>
            </w:pPr>
            <w:r>
              <w:rPr>
                <w:sz w:val="17"/>
              </w:rPr>
              <w:t>Response indicators and review plan</w:t>
            </w:r>
          </w:p>
        </w:tc>
        <w:tc>
          <w:tcPr>
            <w:tcW w:type="dxa" w:w="4176"/>
            <w:tcMar>
              <w:top w:w="100" w:type="dxa"/>
              <w:start w:w="120" w:type="dxa"/>
              <w:bottom w:w="100" w:type="dxa"/>
              <w:end w:w="120" w:type="dxa"/>
            </w:tcMar>
            <w:shd w:fill="F7F8FA"/>
          </w:tcPr>
          <w:p>
            <w:pPr>
              <w:spacing w:after="0"/>
            </w:pPr>
            <w:r>
              <w:rPr>
                <w:sz w:val="17"/>
              </w:rPr>
            </w:r>
          </w:p>
        </w:tc>
      </w:tr>
    </w:tbl>
    <w:p>
      <w:pPr>
        <w:spacing w:after="0"/>
      </w:pPr>
    </w:p>
    <w:p>
      <w:pPr>
        <w:pStyle w:val="Heading1"/>
      </w:pPr>
      <w:r>
        <w:t>Chapter Summary</w:t>
      </w:r>
    </w:p>
    <w:p>
      <w:pPr>
        <w:pStyle w:val="ListBullet"/>
      </w:pPr>
      <w:r>
        <w:t>Use FITS: formulate the problem, check immediacy, identify the target mechanism, evaluate suitability, and define a response check.</w:t>
      </w:r>
    </w:p>
    <w:p>
      <w:pPr>
        <w:pStyle w:val="ListBullet"/>
      </w:pPr>
      <w:r>
        <w:t>Trauma-informed care emphasizes safety, transparency, choice, collaboration, and avoidance of preventable re-traumatization; deeper processing requires adequate stabilization and readiness.</w:t>
      </w:r>
    </w:p>
    <w:p>
      <w:pPr>
        <w:pStyle w:val="ListBullet"/>
      </w:pPr>
      <w:r>
        <w:t>Choose cognitive, behavioral, DBT-informed, motivational, psychoeducational, grief, mindfulness, or harm-reduction methods because their mechanism fits the target—not because the method name is familiar.</w:t>
      </w:r>
    </w:p>
    <w:p>
      <w:pPr>
        <w:pStyle w:val="ListBullet"/>
      </w:pPr>
      <w:r>
        <w:t>Person-in-environment intervention integrates strengths, culture, development, access, resources, advocacy, health needs, and client or client-system preferences with clinical care.</w:t>
      </w:r>
    </w:p>
    <w:p>
      <w:pPr>
        <w:pStyle w:val="ListBullet"/>
      </w:pPr>
      <w:r>
        <w:t>When an intervention is ineffective or inaccessible, reassess safety, formulation, alliance, implementation, barriers, scope, and level of care before repeating, blaming, or ending services.</w:t>
      </w:r>
    </w:p>
    <w:p>
      <w:pPr>
        <w:pStyle w:val="Heading1"/>
        <w:pageBreakBefore/>
      </w:pPr>
      <w:r>
        <w:t>Knowledge Check</w:t>
      </w:r>
    </w:p>
    <w:p>
      <w:r>
        <w:rPr>
          <w:i w:val="0"/>
        </w:rPr>
        <w:t>Complete all 10 original CTA practice questions before reviewing the answer key. Record your answer and confidence level. The set emphasizes trauma-informed care, motivational interviewing, harm reduction, psychoeducation, emotional regulation, strengths, evidence-and-access fit, role play, grief with functional needs, and scope.</w:t>
      </w:r>
    </w:p>
    <w:tbl>
      <w:tblPr>
        <w:tblStyle w:val="TableGrid"/>
        <w:tblW w:type="auto" w:w="0"/>
        <w:jc w:val="center"/>
        <w:tblLayout w:type="fixed"/>
        <w:tblLook w:firstColumn="1" w:firstRow="1" w:lastColumn="0" w:lastRow="0" w:noHBand="0" w:noVBand="1" w:val="04A0"/>
      </w:tblPr>
      <w:tblGrid>
        <w:gridCol w:w="1728"/>
        <w:gridCol w:w="2736"/>
        <w:gridCol w:w="2736"/>
        <w:gridCol w:w="2736"/>
      </w:tblGrid>
      <w:tr>
        <w:trPr>
          <w:tblHeader w:val="true"/>
          <w:cantSplit/>
        </w:trPr>
        <w:tc>
          <w:tcPr>
            <w:tcW w:type="dxa" w:w="2520"/>
            <w:shd w:fill="17365D"/>
            <w:tcMar>
              <w:top w:w="100" w:type="dxa"/>
              <w:start w:w="120" w:type="dxa"/>
              <w:bottom w:w="100" w:type="dxa"/>
              <w:end w:w="120" w:type="dxa"/>
            </w:tcMar>
          </w:tcPr>
          <w:p>
            <w:pPr>
              <w:spacing w:after="0"/>
            </w:pPr>
            <w:r>
              <w:rPr>
                <w:b/>
                <w:color w:val="FFFFFF"/>
                <w:sz w:val="18"/>
              </w:rPr>
              <w:t>Question</w:t>
            </w:r>
          </w:p>
        </w:tc>
        <w:tc>
          <w:tcPr>
            <w:tcW w:type="dxa" w:w="2520"/>
            <w:shd w:fill="17365D"/>
            <w:tcMar>
              <w:top w:w="100" w:type="dxa"/>
              <w:start w:w="120" w:type="dxa"/>
              <w:bottom w:w="100" w:type="dxa"/>
              <w:end w:w="120" w:type="dxa"/>
            </w:tcMar>
          </w:tcPr>
          <w:p>
            <w:pPr>
              <w:spacing w:after="0"/>
            </w:pPr>
            <w:r>
              <w:rPr>
                <w:b/>
                <w:color w:val="FFFFFF"/>
                <w:sz w:val="18"/>
              </w:rPr>
              <w:t>Your Answer</w:t>
            </w:r>
          </w:p>
        </w:tc>
        <w:tc>
          <w:tcPr>
            <w:tcW w:type="dxa" w:w="2520"/>
            <w:shd w:fill="17365D"/>
            <w:tcMar>
              <w:top w:w="100" w:type="dxa"/>
              <w:start w:w="120" w:type="dxa"/>
              <w:bottom w:w="100" w:type="dxa"/>
              <w:end w:w="120" w:type="dxa"/>
            </w:tcMar>
          </w:tcPr>
          <w:p>
            <w:pPr>
              <w:spacing w:after="0"/>
            </w:pPr>
            <w:r>
              <w:rPr>
                <w:b/>
                <w:color w:val="FFFFFF"/>
                <w:sz w:val="18"/>
              </w:rPr>
              <w:t>Confidence (1-3)</w:t>
            </w:r>
          </w:p>
        </w:tc>
        <w:tc>
          <w:tcPr>
            <w:tcW w:type="dxa" w:w="2520"/>
            <w:shd w:fill="17365D"/>
            <w:tcMar>
              <w:top w:w="100" w:type="dxa"/>
              <w:start w:w="120" w:type="dxa"/>
              <w:bottom w:w="100" w:type="dxa"/>
              <w:end w:w="120" w:type="dxa"/>
            </w:tcMar>
          </w:tcPr>
          <w:p>
            <w:pPr>
              <w:spacing w:after="0"/>
            </w:pPr>
            <w:r>
              <w:rPr>
                <w:b/>
                <w:color w:val="FFFFFF"/>
                <w:sz w:val="18"/>
              </w:rPr>
              <w:t>Review?</w:t>
            </w:r>
          </w:p>
        </w:tc>
      </w:tr>
      <w:tr>
        <w:trPr>
          <w:cantSplit/>
        </w:trPr>
        <w:tc>
          <w:tcPr>
            <w:tcW w:type="dxa" w:w="1728"/>
            <w:tcMar>
              <w:top w:w="100" w:type="dxa"/>
              <w:start w:w="120" w:type="dxa"/>
              <w:bottom w:w="100" w:type="dxa"/>
              <w:end w:w="120" w:type="dxa"/>
            </w:tcMar>
          </w:tcPr>
          <w:p>
            <w:pPr>
              <w:spacing w:after="0"/>
            </w:pPr>
            <w:r>
              <w:rPr>
                <w:sz w:val="18"/>
              </w:rPr>
              <w:t>1</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2</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3</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4</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5</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6</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7</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8</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9</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10</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bl>
    <w:p>
      <w:pPr>
        <w:spacing w:after="0"/>
      </w:pPr>
    </w:p>
    <w:p>
      <w:pPr>
        <w:keepNext/>
        <w:spacing w:before="120" w:after="40" w:line="240" w:lineRule="auto"/>
      </w:pPr>
      <w:r>
        <w:t>LCSW-WB08-Q001 | Scenario | Moderate | Primary concept: Trauma-informed pacing and choice</w:t>
      </w:r>
    </w:p>
    <w:p>
      <w:pPr>
        <w:keepNext/>
        <w:keepLines/>
        <w:spacing w:before="60"/>
      </w:pPr>
      <w:r>
        <w:rPr>
          <w:b/>
          <w:i w:val="0"/>
        </w:rPr>
        <w:t>1. A client becomes quiet and avoids eye contact when asked about childhood abuse. What should the social worker do NEXT?</w:t>
      </w:r>
    </w:p>
    <w:p>
      <w:pPr>
        <w:keepNext/>
        <w:keepLines/>
        <w:spacing w:after="20"/>
        <w:ind w:left="259"/>
      </w:pPr>
      <w:r>
        <w:t>A. Explain that the history must be completed before services can begin.</w:t>
      </w:r>
    </w:p>
    <w:p>
      <w:pPr>
        <w:keepNext/>
        <w:keepLines/>
        <w:spacing w:after="20"/>
        <w:ind w:left="259"/>
      </w:pPr>
      <w:r>
        <w:t>B. Acknowledge the client's discomfort and offer choice about whether and how to continue.</w:t>
      </w:r>
    </w:p>
    <w:p>
      <w:pPr>
        <w:keepNext/>
        <w:keepLines/>
        <w:spacing w:after="20"/>
        <w:ind w:left="259"/>
      </w:pPr>
      <w:r>
        <w:t>C. Interpret the silence as evidence that the abuse did not occur.</w:t>
      </w:r>
    </w:p>
    <w:p>
      <w:pPr>
        <w:keepNext/>
        <w:keepLines/>
        <w:spacing w:after="20"/>
        <w:ind w:left="259"/>
      </w:pPr>
      <w:r>
        <w:t>D. Contact family members without consent to obtain the details.</w:t>
      </w:r>
    </w:p>
    <w:p>
      <w:pPr>
        <w:keepNext w:val="0"/>
        <w:spacing w:before="0" w:after="120" w:line="240" w:lineRule="auto"/>
      </w:pPr>
      <w:r>
        <w:t>My answer: ______  Confidence: 1  2  3</w:t>
      </w:r>
    </w:p>
    <w:p>
      <w:pPr>
        <w:keepNext/>
        <w:spacing w:before="120" w:after="40" w:line="240" w:lineRule="auto"/>
      </w:pPr>
      <w:r>
        <w:t>LCSW-WB08-Q002 | Application | Moderate | Primary concept: Motivational interviewing with mandated clients</w:t>
      </w:r>
    </w:p>
    <w:p>
      <w:pPr>
        <w:keepNext/>
        <w:keepLines/>
        <w:spacing w:before="60"/>
      </w:pPr>
      <w:r>
        <w:rPr>
          <w:b/>
          <w:i w:val="0"/>
        </w:rPr>
        <w:t>2. A court-mandated client says treatment is unnecessary and attends only to avoid a sanction. What should the social worker do FIRST?</w:t>
      </w:r>
    </w:p>
    <w:p>
      <w:pPr>
        <w:keepNext/>
        <w:keepLines/>
        <w:spacing w:after="20"/>
        <w:ind w:left="259"/>
      </w:pPr>
      <w:r>
        <w:t>A. Argue that the court has already determined the client needs treatment.</w:t>
      </w:r>
    </w:p>
    <w:p>
      <w:pPr>
        <w:keepNext/>
        <w:keepLines/>
        <w:spacing w:after="20"/>
        <w:ind w:left="259"/>
      </w:pPr>
      <w:r>
        <w:t>B. End the session because the client is not voluntarily motivated.</w:t>
      </w:r>
    </w:p>
    <w:p>
      <w:pPr>
        <w:keepNext/>
        <w:keepLines/>
        <w:spacing w:after="20"/>
        <w:ind w:left="259"/>
      </w:pPr>
      <w:r>
        <w:t>C. Ask the probation officer to confront the client.</w:t>
      </w:r>
    </w:p>
    <w:p>
      <w:pPr>
        <w:keepNext/>
        <w:keepLines/>
        <w:spacing w:after="20"/>
        <w:ind w:left="259"/>
      </w:pPr>
      <w:r>
        <w:t>D. Clarify the mandate and explore the client's own concerns, goals, and possible benefits of participation.</w:t>
      </w:r>
    </w:p>
    <w:p>
      <w:pPr>
        <w:keepNext w:val="0"/>
        <w:spacing w:before="0" w:after="120" w:line="240" w:lineRule="auto"/>
      </w:pPr>
      <w:r>
        <w:t>My answer: ______  Confidence: 1  2  3</w:t>
      </w:r>
    </w:p>
    <w:p>
      <w:pPr>
        <w:keepNext/>
        <w:spacing w:before="120" w:after="40" w:line="240" w:lineRule="auto"/>
      </w:pPr>
      <w:r>
        <w:t>LCSW-WB08-Q003 | Recall | Easy | Primary concept: Harm reduction and readiness</w:t>
      </w:r>
    </w:p>
    <w:p>
      <w:pPr>
        <w:keepNext/>
        <w:keepLines/>
        <w:spacing w:before="60"/>
      </w:pPr>
      <w:r>
        <w:rPr>
          <w:b/>
          <w:i w:val="0"/>
        </w:rPr>
        <w:t>3. A client who injects drugs is not ready for abstinence but wants to reduce the risk of infection and overdose. What is the social worker's BEST response?</w:t>
      </w:r>
    </w:p>
    <w:p>
      <w:pPr>
        <w:keepNext/>
        <w:keepLines/>
        <w:spacing w:after="20"/>
        <w:ind w:left="259"/>
      </w:pPr>
      <w:r>
        <w:t>A. Provide information and referrals for safer-use, overdose-prevention, medical, and treatment resources while continuing motivational work.</w:t>
      </w:r>
    </w:p>
    <w:p>
      <w:pPr>
        <w:keepNext/>
        <w:keepLines/>
        <w:spacing w:after="20"/>
        <w:ind w:left="259"/>
      </w:pPr>
      <w:r>
        <w:t>B. Refuse services until the client agrees to complete detoxification.</w:t>
      </w:r>
    </w:p>
    <w:p>
      <w:pPr>
        <w:keepNext/>
        <w:keepLines/>
        <w:spacing w:after="20"/>
        <w:ind w:left="259"/>
      </w:pPr>
      <w:r>
        <w:t>C. Notify the client's employer about the drug use.</w:t>
      </w:r>
    </w:p>
    <w:p>
      <w:pPr>
        <w:keepNext/>
        <w:keepLines/>
        <w:spacing w:after="20"/>
        <w:ind w:left="259"/>
      </w:pPr>
      <w:r>
        <w:t>D. Tell the client that discussing safer use condones addiction.</w:t>
      </w:r>
    </w:p>
    <w:p>
      <w:pPr>
        <w:keepNext w:val="0"/>
        <w:spacing w:before="0" w:after="120" w:line="240" w:lineRule="auto"/>
      </w:pPr>
      <w:r>
        <w:t>My answer: ______  Confidence: 1  2  3</w:t>
      </w:r>
    </w:p>
    <w:p>
      <w:pPr>
        <w:keepNext/>
        <w:spacing w:before="120" w:after="40" w:line="240" w:lineRule="auto"/>
      </w:pPr>
      <w:r>
        <w:t>LCSW-WB08-Q004 | Recall | Easy | Primary concept: Psychoeducation and health literacy</w:t>
      </w:r>
    </w:p>
    <w:p>
      <w:pPr>
        <w:keepNext/>
        <w:keepLines/>
        <w:spacing w:before="60"/>
      </w:pPr>
      <w:r>
        <w:rPr>
          <w:b/>
          <w:i w:val="0"/>
        </w:rPr>
        <w:t>4. A client newly diagnosed with bipolar disorder is confused about symptoms, medication follow-up, and early warning signs. What should the social worker do?</w:t>
      </w:r>
    </w:p>
    <w:p>
      <w:pPr>
        <w:keepNext/>
        <w:keepLines/>
        <w:spacing w:after="20"/>
        <w:ind w:left="259"/>
      </w:pPr>
      <w:r>
        <w:t>A. Advise the client to adjust medication doses based on mood changes.</w:t>
      </w:r>
    </w:p>
    <w:p>
      <w:pPr>
        <w:keepNext/>
        <w:keepLines/>
        <w:spacing w:after="20"/>
        <w:ind w:left="259"/>
      </w:pPr>
      <w:r>
        <w:t>B. Avoid discussing diagnosis because only physicians can provide information.</w:t>
      </w:r>
    </w:p>
    <w:p>
      <w:pPr>
        <w:keepNext/>
        <w:keepLines/>
        <w:spacing w:after="20"/>
        <w:ind w:left="259"/>
      </w:pPr>
      <w:r>
        <w:t>C. Provide understandable psychoeducation, assess comprehension, and coordinate with the treatment team as authorized.</w:t>
      </w:r>
    </w:p>
    <w:p>
      <w:pPr>
        <w:keepNext/>
        <w:keepLines/>
        <w:spacing w:after="20"/>
        <w:ind w:left="259"/>
      </w:pPr>
      <w:r>
        <w:t>D. Give the client a technical manual without reviewing it.</w:t>
      </w:r>
    </w:p>
    <w:p>
      <w:pPr>
        <w:keepNext w:val="0"/>
        <w:spacing w:before="0" w:after="120" w:line="240" w:lineRule="auto"/>
      </w:pPr>
      <w:r>
        <w:t>My answer: ______  Confidence: 1  2  3</w:t>
      </w:r>
    </w:p>
    <w:p>
      <w:pPr>
        <w:keepNext/>
        <w:spacing w:before="120" w:after="40" w:line="240" w:lineRule="auto"/>
      </w:pPr>
      <w:r>
        <w:t>LCSW-WB08-Q005 | Application | Moderate | Primary concept: Emotional-regulation and anger skills</w:t>
      </w:r>
    </w:p>
    <w:p>
      <w:pPr>
        <w:keepNext/>
        <w:keepLines/>
        <w:spacing w:before="60"/>
      </w:pPr>
      <w:r>
        <w:rPr>
          <w:b/>
          <w:i w:val="0"/>
        </w:rPr>
        <w:t>5. A client reports intense anger, rapid escalation, and regret after arguments but denies current violence or threats. Which intervention is MOST appropriate initially?</w:t>
      </w:r>
    </w:p>
    <w:p>
      <w:pPr>
        <w:keepNext/>
        <w:keepLines/>
        <w:spacing w:after="20"/>
        <w:ind w:left="259"/>
      </w:pPr>
      <w:r>
        <w:t>A. Encourage the client to express anger without limits during arguments.</w:t>
      </w:r>
    </w:p>
    <w:p>
      <w:pPr>
        <w:keepNext/>
        <w:keepLines/>
        <w:spacing w:after="20"/>
        <w:ind w:left="259"/>
      </w:pPr>
      <w:r>
        <w:t>B. Teach cue recognition, pause strategies, distress tolerance, and safer communication while continuing risk assessment.</w:t>
      </w:r>
    </w:p>
    <w:p>
      <w:pPr>
        <w:keepNext/>
        <w:keepLines/>
        <w:spacing w:after="20"/>
        <w:ind w:left="259"/>
      </w:pPr>
      <w:r>
        <w:t>C. Tell the client to avoid all relationships.</w:t>
      </w:r>
    </w:p>
    <w:p>
      <w:pPr>
        <w:keepNext/>
        <w:keepLines/>
        <w:spacing w:after="20"/>
        <w:ind w:left="259"/>
      </w:pPr>
      <w:r>
        <w:t>D. Assume the anger reflects a fixed personality trait.</w:t>
      </w:r>
    </w:p>
    <w:p>
      <w:pPr>
        <w:keepNext w:val="0"/>
        <w:spacing w:before="0" w:after="120" w:line="240" w:lineRule="auto"/>
      </w:pPr>
      <w:r>
        <w:t>My answer: ______  Confidence: 1  2  3</w:t>
      </w:r>
    </w:p>
    <w:p>
      <w:pPr>
        <w:keepNext/>
        <w:spacing w:before="120" w:after="40" w:line="240" w:lineRule="auto"/>
      </w:pPr>
      <w:r>
        <w:t>LCSW-WB08-Q006 | Application | Moderate | Primary concept: Strengths, empowerment, and advocacy</w:t>
      </w:r>
    </w:p>
    <w:p>
      <w:pPr>
        <w:keepNext/>
        <w:keepLines/>
        <w:spacing w:before="60"/>
      </w:pPr>
      <w:r>
        <w:rPr>
          <w:b/>
          <w:i w:val="0"/>
        </w:rPr>
        <w:t>6. A client experiencing housing instability says, “I have solved problems before, but the system keeps shutting me out.” What should the social worker do NEXT?</w:t>
      </w:r>
    </w:p>
    <w:p>
      <w:pPr>
        <w:keepNext/>
        <w:keepLines/>
        <w:spacing w:after="20"/>
        <w:ind w:left="259"/>
      </w:pPr>
      <w:r>
        <w:t>A. Explain that the client must become more independent before receiving help.</w:t>
      </w:r>
    </w:p>
    <w:p>
      <w:pPr>
        <w:keepNext/>
        <w:keepLines/>
        <w:spacing w:after="20"/>
        <w:ind w:left="259"/>
      </w:pPr>
      <w:r>
        <w:t>B. Focus only on childhood experiences because current systems cannot be changed.</w:t>
      </w:r>
    </w:p>
    <w:p>
      <w:pPr>
        <w:keepNext/>
        <w:keepLines/>
        <w:spacing w:after="20"/>
        <w:ind w:left="259"/>
      </w:pPr>
      <w:r>
        <w:t>C. Select a resource without asking the client what has already been tried.</w:t>
      </w:r>
    </w:p>
    <w:p>
      <w:pPr>
        <w:keepNext/>
        <w:keepLines/>
        <w:spacing w:after="20"/>
        <w:ind w:left="259"/>
      </w:pPr>
      <w:r>
        <w:t>D. Identify the client's prior successful strategies, clarify current barriers, and collaborate on advocacy and resource options.</w:t>
      </w:r>
    </w:p>
    <w:p>
      <w:pPr>
        <w:keepNext w:val="0"/>
        <w:spacing w:before="0" w:after="120" w:line="240" w:lineRule="auto"/>
      </w:pPr>
      <w:r>
        <w:t>My answer: ______  Confidence: 1  2  3</w:t>
      </w:r>
    </w:p>
    <w:p>
      <w:pPr>
        <w:keepNext/>
        <w:spacing w:before="120" w:after="40" w:line="240" w:lineRule="auto"/>
      </w:pPr>
      <w:r>
        <w:t>LCSW-WB08-Q007 | Scenario | Moderate | Primary concept: Evidence-informed fit and access</w:t>
      </w:r>
    </w:p>
    <w:p>
      <w:pPr>
        <w:keepNext/>
        <w:keepLines/>
        <w:spacing w:before="60"/>
      </w:pPr>
      <w:r>
        <w:rPr>
          <w:b/>
          <w:i w:val="0"/>
        </w:rPr>
        <w:t>7. A client with severe social anxiety wants help but cannot currently attend an in-person group because of panic and transportation barriers. What should the social worker do NEXT?</w:t>
      </w:r>
    </w:p>
    <w:p>
      <w:pPr>
        <w:keepNext/>
        <w:keepLines/>
        <w:spacing w:after="20"/>
        <w:ind w:left="259"/>
      </w:pPr>
      <w:r>
        <w:t>A. Insist on the group because it is evidence based.</w:t>
      </w:r>
    </w:p>
    <w:p>
      <w:pPr>
        <w:keepNext/>
        <w:keepLines/>
        <w:spacing w:after="20"/>
        <w:ind w:left="259"/>
      </w:pPr>
      <w:r>
        <w:t>B. Conclude that the client is resistant to treatment.</w:t>
      </w:r>
    </w:p>
    <w:p>
      <w:pPr>
        <w:keepNext/>
        <w:keepLines/>
        <w:spacing w:after="20"/>
        <w:ind w:left="259"/>
      </w:pPr>
      <w:r>
        <w:t>C. Assess readiness and access, discuss feasible evidence-informed options, and develop a stepwise plan toward the client's goals.</w:t>
      </w:r>
    </w:p>
    <w:p>
      <w:pPr>
        <w:keepNext/>
        <w:keepLines/>
        <w:spacing w:after="20"/>
        <w:ind w:left="259"/>
      </w:pPr>
      <w:r>
        <w:t>D. Provide no treatment until transportation is resolved.</w:t>
      </w:r>
    </w:p>
    <w:p>
      <w:pPr>
        <w:keepNext w:val="0"/>
        <w:spacing w:before="0" w:after="120" w:line="240" w:lineRule="auto"/>
      </w:pPr>
      <w:r>
        <w:t>My answer: ______  Confidence: 1  2  3</w:t>
      </w:r>
    </w:p>
    <w:p>
      <w:pPr>
        <w:keepNext/>
        <w:spacing w:before="120" w:after="40" w:line="240" w:lineRule="auto"/>
      </w:pPr>
      <w:r>
        <w:t>LCSW-WB08-Q008 | Recall | Easy | Primary concept: Role play, modeling, and graduated practice</w:t>
      </w:r>
    </w:p>
    <w:p>
      <w:pPr>
        <w:keepNext/>
        <w:keepLines/>
        <w:spacing w:before="60"/>
      </w:pPr>
      <w:r>
        <w:rPr>
          <w:b/>
          <w:i w:val="0"/>
        </w:rPr>
        <w:t>8. A client understands how to request a workplace accommodation but becomes unable to speak during meetings. Which intervention is MOST appropriate?</w:t>
      </w:r>
    </w:p>
    <w:p>
      <w:pPr>
        <w:keepNext/>
        <w:keepLines/>
        <w:spacing w:after="20"/>
        <w:ind w:left="259"/>
      </w:pPr>
      <w:r>
        <w:t>A. Use role play, modeling, feedback, and graduated practice of the request.</w:t>
      </w:r>
    </w:p>
    <w:p>
      <w:pPr>
        <w:keepNext/>
        <w:keepLines/>
        <w:spacing w:after="20"/>
        <w:ind w:left="259"/>
      </w:pPr>
      <w:r>
        <w:t>B. Tell the client to send the request without preparation.</w:t>
      </w:r>
    </w:p>
    <w:p>
      <w:pPr>
        <w:keepNext/>
        <w:keepLines/>
        <w:spacing w:after="20"/>
        <w:ind w:left="259"/>
      </w:pPr>
      <w:r>
        <w:t>C. Interpret the difficulty only as an unconscious conflict.</w:t>
      </w:r>
    </w:p>
    <w:p>
      <w:pPr>
        <w:keepNext/>
        <w:keepLines/>
        <w:spacing w:after="20"/>
        <w:ind w:left="259"/>
      </w:pPr>
      <w:r>
        <w:t>D. Contact the employer without the client's authorization.</w:t>
      </w:r>
    </w:p>
    <w:p>
      <w:pPr>
        <w:keepNext w:val="0"/>
        <w:spacing w:before="0" w:after="120" w:line="240" w:lineRule="auto"/>
      </w:pPr>
      <w:r>
        <w:t>My answer: ______  Confidence: 1  2  3</w:t>
      </w:r>
    </w:p>
    <w:p>
      <w:pPr>
        <w:keepNext/>
        <w:spacing w:before="120" w:after="40" w:line="240" w:lineRule="auto"/>
      </w:pPr>
      <w:r>
        <w:t>LCSW-WB08-Q009 | Scenario | Moderate | Primary concept: Grief intervention and resource context</w:t>
      </w:r>
    </w:p>
    <w:p>
      <w:pPr>
        <w:keepNext/>
        <w:keepLines/>
        <w:spacing w:before="60"/>
      </w:pPr>
      <w:r>
        <w:rPr>
          <w:b/>
          <w:i w:val="0"/>
        </w:rPr>
        <w:t>9. An older adult grieving a partner's death reports loneliness, difficulty preparing meals, and missed medical appointments. What should the social worker do?</w:t>
      </w:r>
    </w:p>
    <w:p>
      <w:pPr>
        <w:keepNext/>
        <w:keepLines/>
        <w:spacing w:after="20"/>
        <w:ind w:left="259"/>
      </w:pPr>
      <w:r>
        <w:t>A. Treat the grief only through cognitive restructuring.</w:t>
      </w:r>
    </w:p>
    <w:p>
      <w:pPr>
        <w:keepNext/>
        <w:keepLines/>
        <w:spacing w:after="20"/>
        <w:ind w:left="259"/>
      </w:pPr>
      <w:r>
        <w:t>B. Assume the client needs residential placement.</w:t>
      </w:r>
    </w:p>
    <w:p>
      <w:pPr>
        <w:keepNext/>
        <w:keepLines/>
        <w:spacing w:after="20"/>
        <w:ind w:left="259"/>
      </w:pPr>
      <w:r>
        <w:t>C. Avoid resource discussion because it is not psychotherapy.</w:t>
      </w:r>
    </w:p>
    <w:p>
      <w:pPr>
        <w:keepNext/>
        <w:keepLines/>
        <w:spacing w:after="20"/>
        <w:ind w:left="259"/>
      </w:pPr>
      <w:r>
        <w:t>D. Provide grief support while assessing functional needs, social supports, nutrition, transportation, and community resources.</w:t>
      </w:r>
    </w:p>
    <w:p>
      <w:pPr>
        <w:keepNext w:val="0"/>
        <w:spacing w:before="0" w:after="120" w:line="240" w:lineRule="auto"/>
      </w:pPr>
      <w:r>
        <w:t>My answer: ______  Confidence: 1  2  3</w:t>
      </w:r>
    </w:p>
    <w:p>
      <w:pPr>
        <w:keepNext/>
        <w:spacing w:before="120" w:after="40" w:line="240" w:lineRule="auto"/>
      </w:pPr>
      <w:r>
        <w:t>LCSW-WB08-Q010 | Integrated | Challenge | Primary concept: Competence, consultation, and continuity</w:t>
      </w:r>
    </w:p>
    <w:p>
      <w:pPr>
        <w:keepNext/>
        <w:keepLines/>
        <w:spacing w:before="60"/>
      </w:pPr>
      <w:r>
        <w:rPr>
          <w:b/>
          <w:i w:val="0"/>
        </w:rPr>
        <w:t>10. A client requests a specialized trauma treatment that the social worker has not been trained to provide. What should the social worker do?</w:t>
      </w:r>
    </w:p>
    <w:p>
      <w:pPr>
        <w:keepNext/>
        <w:keepLines/>
        <w:spacing w:after="20"/>
        <w:ind w:left="259"/>
      </w:pPr>
      <w:r>
        <w:t>A. Use the method after reading a brief summary so the client does not have to wait.</w:t>
      </w:r>
    </w:p>
    <w:p>
      <w:pPr>
        <w:keepNext/>
        <w:keepLines/>
        <w:spacing w:after="20"/>
        <w:ind w:left="259"/>
      </w:pPr>
      <w:r>
        <w:t>B. Tell the client that all trauma treatments are essentially the same.</w:t>
      </w:r>
    </w:p>
    <w:p>
      <w:pPr>
        <w:keepNext/>
        <w:keepLines/>
        <w:spacing w:after="20"/>
        <w:ind w:left="259"/>
      </w:pPr>
      <w:r>
        <w:t>C. Explain the limitation, consult or obtain qualified training, and discuss referral or other competent options.</w:t>
      </w:r>
    </w:p>
    <w:p>
      <w:pPr>
        <w:keepNext/>
        <w:keepLines/>
        <w:spacing w:after="20"/>
        <w:ind w:left="259"/>
      </w:pPr>
      <w:r>
        <w:t>D. End all services immediately without transition.</w:t>
      </w:r>
    </w:p>
    <w:p>
      <w:pPr>
        <w:keepNext w:val="0"/>
        <w:spacing w:before="0" w:after="120" w:line="240" w:lineRule="auto"/>
      </w:pPr>
      <w:r>
        <w:t>My answer: ______  Confidence: 1  2  3</w:t>
      </w:r>
    </w:p>
    <w:p>
      <w:r>
        <w:br w:type="page"/>
      </w:r>
    </w:p>
    <w:p>
      <w:pPr>
        <w:pStyle w:val="Heading1"/>
      </w:pPr>
      <w:r>
        <w:t>Answer Key and Detailed Rationales</w:t>
      </w: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E7F5F4"/>
            <w:tcMar>
              <w:top w:w="150" w:type="dxa"/>
              <w:start w:w="180" w:type="dxa"/>
              <w:bottom w:w="150" w:type="dxa"/>
              <w:end w:w="180" w:type="dxa"/>
            </w:tcMar>
          </w:tcPr>
          <w:p>
            <w:pPr>
              <w:spacing w:after="80"/>
            </w:pPr>
            <w:r>
              <w:rPr>
                <w:b/>
                <w:i w:val="0"/>
                <w:color w:val="0F7C82"/>
              </w:rPr>
              <w:t>How to Review</w:t>
            </w:r>
          </w:p>
          <w:p>
            <w:pPr>
              <w:spacing w:after="0"/>
            </w:pPr>
            <w:r>
              <w:t>For each missed item, identify whether the error came from poor timing, weak target identification, readiness, access, scope, incomplete person-in-environment reasoning, or failure to evaluate fit. Rewrite the best-answer rule in your own words.</w:t>
            </w:r>
          </w:p>
        </w:tc>
      </w:tr>
    </w:tbl>
    <w:p>
      <w:pPr>
        <w:spacing w:after="0"/>
      </w:pPr>
    </w:p>
    <w:p>
      <w:pPr>
        <w:pStyle w:val="Heading2"/>
        <w:keepNext/>
        <w:keepLines/>
      </w:pPr>
      <w:r>
        <w:t>Question 1 (LCSW-WB08-Q001)</w:t>
      </w:r>
    </w:p>
    <w:p>
      <w:pPr>
        <w:keepNext/>
        <w:keepLines/>
      </w:pPr>
      <w:r>
        <w:rPr>
          <w:b/>
          <w:i w:val="0"/>
          <w:color w:val="0F7C82"/>
        </w:rPr>
        <w:t>Correct Answer: B</w:t>
      </w:r>
    </w:p>
    <w:p>
      <w:pPr>
        <w:keepNext/>
        <w:keepLines/>
        <w:spacing w:after="40"/>
        <w:ind w:left="173"/>
      </w:pPr>
      <w:r>
        <w:rPr>
          <w:b/>
          <w:i w:val="0"/>
        </w:rPr>
        <w:t>A. Rigidly requiring disclosure may undermine safety and engagement.</w:t>
      </w:r>
    </w:p>
    <w:p>
      <w:pPr>
        <w:keepNext/>
        <w:keepLines/>
        <w:spacing w:after="40"/>
        <w:ind w:left="173"/>
      </w:pPr>
      <w:r>
        <w:rPr>
          <w:b/>
          <w:i w:val="0"/>
        </w:rPr>
        <w:t>B. Correct. A trauma-informed response recognizes possible distress, supports control, and avoids forcing disclosure.</w:t>
      </w:r>
    </w:p>
    <w:p>
      <w:pPr>
        <w:keepNext/>
        <w:keepLines/>
        <w:spacing w:after="40"/>
        <w:ind w:left="173"/>
      </w:pPr>
      <w:r>
        <w:rPr>
          <w:b/>
          <w:i w:val="0"/>
        </w:rPr>
        <w:t>C. Silence does not establish that an event did or did not occur.</w:t>
      </w:r>
    </w:p>
    <w:p>
      <w:pPr>
        <w:keepNext/>
        <w:keepLines/>
        <w:spacing w:after="40"/>
        <w:ind w:left="173"/>
      </w:pPr>
      <w:r>
        <w:rPr>
          <w:b/>
          <w:i w:val="0"/>
        </w:rPr>
        <w:t>D. Collateral contact requires an appropriate basis and usually client authorization.</w:t>
      </w:r>
    </w:p>
    <w:p>
      <w:pPr>
        <w:keepLines/>
        <w:spacing w:after="120"/>
        <w:ind w:left="173"/>
      </w:pPr>
      <w:r>
        <w:rPr>
          <w:b/>
          <w:i w:val="0"/>
          <w:color w:val="1F4E78"/>
        </w:rPr>
        <w:t xml:space="preserve">Exam Strategy: </w:t>
      </w:r>
      <w:r>
        <w:rPr>
          <w:b w:val="0"/>
          <w:i/>
        </w:rPr>
        <w:t>Preserve control, pacing, transparency, and present-moment safety before pressing for disclosure or intensive processing.</w:t>
      </w:r>
    </w:p>
    <w:p>
      <w:pPr>
        <w:pStyle w:val="Heading2"/>
        <w:keepNext/>
        <w:keepLines/>
      </w:pPr>
      <w:r>
        <w:t>Question 2 (LCSW-WB08-Q002)</w:t>
      </w:r>
    </w:p>
    <w:p>
      <w:pPr>
        <w:keepNext/>
        <w:keepLines/>
      </w:pPr>
      <w:r>
        <w:rPr>
          <w:b/>
          <w:i w:val="0"/>
          <w:color w:val="0F7C82"/>
        </w:rPr>
        <w:t>Correct Answer: D</w:t>
      </w:r>
    </w:p>
    <w:p>
      <w:pPr>
        <w:keepNext/>
        <w:keepLines/>
        <w:spacing w:after="40"/>
        <w:ind w:left="173"/>
      </w:pPr>
      <w:r>
        <w:rPr>
          <w:b/>
          <w:i w:val="0"/>
        </w:rPr>
        <w:t>A. Argument can increase defensiveness and does not build engagement.</w:t>
      </w:r>
    </w:p>
    <w:p>
      <w:pPr>
        <w:keepNext/>
        <w:keepLines/>
        <w:spacing w:after="40"/>
        <w:ind w:left="173"/>
      </w:pPr>
      <w:r>
        <w:rPr>
          <w:b/>
          <w:i w:val="0"/>
        </w:rPr>
        <w:t>B. Involuntary status does not prevent meaningful engagement.</w:t>
      </w:r>
    </w:p>
    <w:p>
      <w:pPr>
        <w:keepNext/>
        <w:keepLines/>
        <w:spacing w:after="40"/>
        <w:ind w:left="173"/>
      </w:pPr>
      <w:r>
        <w:rPr>
          <w:b/>
          <w:i w:val="0"/>
        </w:rPr>
        <w:t>C. External pressure may exist, but the social worker should first address engagement directly with the client.</w:t>
      </w:r>
    </w:p>
    <w:p>
      <w:pPr>
        <w:keepNext/>
        <w:keepLines/>
        <w:spacing w:after="40"/>
        <w:ind w:left="173"/>
      </w:pPr>
      <w:r>
        <w:rPr>
          <w:b/>
          <w:i w:val="0"/>
        </w:rPr>
        <w:t>D. Correct. The social worker should be transparent about the mandate while looking for client-defined goals and motivation.</w:t>
      </w:r>
    </w:p>
    <w:p>
      <w:pPr>
        <w:keepLines/>
        <w:spacing w:after="120"/>
        <w:ind w:left="173"/>
      </w:pPr>
      <w:r>
        <w:rPr>
          <w:b/>
          <w:i w:val="0"/>
          <w:color w:val="1F4E78"/>
        </w:rPr>
        <w:t xml:space="preserve">Exam Strategy: </w:t>
      </w:r>
      <w:r>
        <w:rPr>
          <w:b w:val="0"/>
          <w:i/>
        </w:rPr>
        <w:t>Be transparent about the mandate, avoid argument, and evoke the client’s own goals and reasons for change.</w:t>
      </w:r>
    </w:p>
    <w:p>
      <w:pPr>
        <w:pStyle w:val="Heading2"/>
        <w:keepNext/>
        <w:keepLines/>
      </w:pPr>
      <w:r>
        <w:t>Question 3 (LCSW-WB08-Q003)</w:t>
      </w:r>
    </w:p>
    <w:p>
      <w:pPr>
        <w:keepNext/>
        <w:keepLines/>
      </w:pPr>
      <w:r>
        <w:rPr>
          <w:b/>
          <w:i w:val="0"/>
          <w:color w:val="0F7C82"/>
        </w:rPr>
        <w:t>Correct Answer: A</w:t>
      </w:r>
    </w:p>
    <w:p>
      <w:pPr>
        <w:keepNext/>
        <w:keepLines/>
        <w:spacing w:after="40"/>
        <w:ind w:left="173"/>
      </w:pPr>
      <w:r>
        <w:rPr>
          <w:b/>
          <w:i w:val="0"/>
        </w:rPr>
        <w:t>A. Correct. Harm reduction addresses current risks, preserves engagement, and can coexist with treatment and recovery options.</w:t>
      </w:r>
    </w:p>
    <w:p>
      <w:pPr>
        <w:keepNext/>
        <w:keepLines/>
        <w:spacing w:after="40"/>
        <w:ind w:left="173"/>
      </w:pPr>
      <w:r>
        <w:rPr>
          <w:b/>
          <w:i w:val="0"/>
        </w:rPr>
        <w:t>B. An abstinence-only condition may exclude the client from beneficial services.</w:t>
      </w:r>
    </w:p>
    <w:p>
      <w:pPr>
        <w:keepNext/>
        <w:keepLines/>
        <w:spacing w:after="40"/>
        <w:ind w:left="173"/>
      </w:pPr>
      <w:r>
        <w:rPr>
          <w:b/>
          <w:i w:val="0"/>
        </w:rPr>
        <w:t>C. Disclosure to an employer is not justified by the information provided.</w:t>
      </w:r>
    </w:p>
    <w:p>
      <w:pPr>
        <w:keepNext/>
        <w:keepLines/>
        <w:spacing w:after="40"/>
        <w:ind w:left="173"/>
      </w:pPr>
      <w:r>
        <w:rPr>
          <w:b/>
          <w:i w:val="0"/>
        </w:rPr>
        <w:t>D. Risk-reduction education does not require approval of the behavior.</w:t>
      </w:r>
    </w:p>
    <w:p>
      <w:pPr>
        <w:keepLines/>
        <w:spacing w:after="120"/>
        <w:ind w:left="173"/>
      </w:pPr>
      <w:r>
        <w:rPr>
          <w:b/>
          <w:i w:val="0"/>
          <w:color w:val="1F4E78"/>
        </w:rPr>
        <w:t xml:space="preserve">Exam Strategy: </w:t>
      </w:r>
      <w:r>
        <w:rPr>
          <w:b w:val="0"/>
          <w:i/>
        </w:rPr>
        <w:t>Reduce current risk, preserve engagement, and keep treatment options available; do not make abstinence a prerequisite for all help.</w:t>
      </w:r>
    </w:p>
    <w:p>
      <w:pPr>
        <w:pStyle w:val="Heading2"/>
        <w:keepNext/>
        <w:keepLines/>
      </w:pPr>
      <w:r>
        <w:t>Question 4 (LCSW-WB08-Q004)</w:t>
      </w:r>
    </w:p>
    <w:p>
      <w:pPr>
        <w:keepNext/>
        <w:keepLines/>
      </w:pPr>
      <w:r>
        <w:rPr>
          <w:b/>
          <w:i w:val="0"/>
          <w:color w:val="0F7C82"/>
        </w:rPr>
        <w:t>Correct Answer: C</w:t>
      </w:r>
    </w:p>
    <w:p>
      <w:pPr>
        <w:keepNext/>
        <w:keepLines/>
        <w:spacing w:after="40"/>
        <w:ind w:left="173"/>
      </w:pPr>
      <w:r>
        <w:rPr>
          <w:b/>
          <w:i w:val="0"/>
        </w:rPr>
        <w:t>A. Medication changes belong to the prescriber.</w:t>
      </w:r>
    </w:p>
    <w:p>
      <w:pPr>
        <w:keepNext/>
        <w:keepLines/>
        <w:spacing w:after="40"/>
        <w:ind w:left="173"/>
      </w:pPr>
      <w:r>
        <w:rPr>
          <w:b/>
          <w:i w:val="0"/>
        </w:rPr>
        <w:t>B. Social workers can provide clinically appropriate education without practicing medicine.</w:t>
      </w:r>
    </w:p>
    <w:p>
      <w:pPr>
        <w:keepNext/>
        <w:keepLines/>
        <w:spacing w:after="40"/>
        <w:ind w:left="173"/>
      </w:pPr>
      <w:r>
        <w:rPr>
          <w:b/>
          <w:i w:val="0"/>
        </w:rPr>
        <w:t>C. Correct. Social workers may provide education within competence and support coordination and informed participation.</w:t>
      </w:r>
    </w:p>
    <w:p>
      <w:pPr>
        <w:keepNext/>
        <w:keepLines/>
        <w:spacing w:after="40"/>
        <w:ind w:left="173"/>
      </w:pPr>
      <w:r>
        <w:rPr>
          <w:b/>
          <w:i w:val="0"/>
        </w:rPr>
        <w:t>D. Information should be accessible and checked for understanding.</w:t>
      </w:r>
    </w:p>
    <w:p>
      <w:pPr>
        <w:keepLines/>
        <w:spacing w:after="120"/>
        <w:ind w:left="173"/>
      </w:pPr>
      <w:r>
        <w:rPr>
          <w:b/>
          <w:i w:val="0"/>
          <w:color w:val="1F4E78"/>
        </w:rPr>
        <w:t xml:space="preserve">Exam Strategy: </w:t>
      </w:r>
      <w:r>
        <w:rPr>
          <w:b w:val="0"/>
          <w:i/>
        </w:rPr>
        <w:t>Provide understandable information within scope, check comprehension, and coordinate rather than prescribe.</w:t>
      </w:r>
    </w:p>
    <w:p>
      <w:pPr>
        <w:pStyle w:val="Heading2"/>
        <w:keepNext/>
        <w:keepLines/>
      </w:pPr>
      <w:r>
        <w:t>Question 5 (LCSW-WB08-Q005)</w:t>
      </w:r>
    </w:p>
    <w:p>
      <w:pPr>
        <w:keepNext/>
        <w:keepLines/>
      </w:pPr>
      <w:r>
        <w:rPr>
          <w:b/>
          <w:i w:val="0"/>
          <w:color w:val="0F7C82"/>
        </w:rPr>
        <w:t>Correct Answer: B</w:t>
      </w:r>
    </w:p>
    <w:p>
      <w:pPr>
        <w:keepNext/>
        <w:keepLines/>
        <w:spacing w:after="40"/>
        <w:ind w:left="173"/>
      </w:pPr>
      <w:r>
        <w:rPr>
          <w:b/>
          <w:i w:val="0"/>
        </w:rPr>
        <w:t>A. Unrestricted expression can increase harm and does not build regulation.</w:t>
      </w:r>
    </w:p>
    <w:p>
      <w:pPr>
        <w:keepNext/>
        <w:keepLines/>
        <w:spacing w:after="40"/>
        <w:ind w:left="173"/>
      </w:pPr>
      <w:r>
        <w:rPr>
          <w:b/>
          <w:i w:val="0"/>
        </w:rPr>
        <w:t>B. Correct. Skills that increase awareness, regulation, and safer behavior directly address the presenting pattern.</w:t>
      </w:r>
    </w:p>
    <w:p>
      <w:pPr>
        <w:keepNext/>
        <w:keepLines/>
        <w:spacing w:after="40"/>
        <w:ind w:left="173"/>
      </w:pPr>
      <w:r>
        <w:rPr>
          <w:b/>
          <w:i w:val="0"/>
        </w:rPr>
        <w:t>C. Global avoidance is not a proportionate intervention.</w:t>
      </w:r>
    </w:p>
    <w:p>
      <w:pPr>
        <w:keepNext/>
        <w:keepLines/>
        <w:spacing w:after="40"/>
        <w:ind w:left="173"/>
      </w:pPr>
      <w:r>
        <w:rPr>
          <w:b/>
          <w:i w:val="0"/>
        </w:rPr>
        <w:t>D. The vignette does not support a fixed trait conclusion and such labeling does not provide a useful initial intervention.</w:t>
      </w:r>
    </w:p>
    <w:p>
      <w:pPr>
        <w:keepLines/>
        <w:spacing w:after="120"/>
        <w:ind w:left="173"/>
      </w:pPr>
      <w:r>
        <w:rPr>
          <w:b/>
          <w:i w:val="0"/>
          <w:color w:val="1F4E78"/>
        </w:rPr>
        <w:t xml:space="preserve">Exam Strategy: </w:t>
      </w:r>
      <w:r>
        <w:rPr>
          <w:b w:val="0"/>
          <w:i/>
        </w:rPr>
        <w:t>Match skills to the immediate pattern: cue recognition, pausing, distress tolerance, and safer communication while continuing risk assessment.</w:t>
      </w:r>
    </w:p>
    <w:p>
      <w:pPr>
        <w:pStyle w:val="Heading2"/>
        <w:keepNext/>
        <w:keepLines/>
      </w:pPr>
      <w:r>
        <w:t>Question 6 (LCSW-WB08-Q006)</w:t>
      </w:r>
    </w:p>
    <w:p>
      <w:pPr>
        <w:keepNext/>
        <w:keepLines/>
      </w:pPr>
      <w:r>
        <w:rPr>
          <w:b/>
          <w:i w:val="0"/>
          <w:color w:val="0F7C82"/>
        </w:rPr>
        <w:t>Correct Answer: D</w:t>
      </w:r>
    </w:p>
    <w:p>
      <w:pPr>
        <w:keepNext/>
        <w:keepLines/>
        <w:spacing w:after="40"/>
        <w:ind w:left="173"/>
      </w:pPr>
      <w:r>
        <w:rPr>
          <w:b/>
          <w:i w:val="0"/>
        </w:rPr>
        <w:t>A. This response is blaming and ignores structural barriers.</w:t>
      </w:r>
    </w:p>
    <w:p>
      <w:pPr>
        <w:keepNext/>
        <w:keepLines/>
        <w:spacing w:after="40"/>
        <w:ind w:left="173"/>
      </w:pPr>
      <w:r>
        <w:rPr>
          <w:b/>
          <w:i w:val="0"/>
        </w:rPr>
        <w:t>B. Current environmental barriers are clinically and practically relevant.</w:t>
      </w:r>
    </w:p>
    <w:p>
      <w:pPr>
        <w:keepNext/>
        <w:keepLines/>
        <w:spacing w:after="40"/>
        <w:ind w:left="173"/>
      </w:pPr>
      <w:r>
        <w:rPr>
          <w:b/>
          <w:i w:val="0"/>
        </w:rPr>
        <w:t>C. Ignoring prior efforts can duplicate failed referrals and reduce client participation.</w:t>
      </w:r>
    </w:p>
    <w:p>
      <w:pPr>
        <w:keepNext/>
        <w:keepLines/>
        <w:spacing w:after="40"/>
        <w:ind w:left="173"/>
      </w:pPr>
      <w:r>
        <w:rPr>
          <w:b/>
          <w:i w:val="0"/>
        </w:rPr>
        <w:t>D. Correct. Strengths-based and empowerment practice connects prior capacities with current barriers and collaborative action.</w:t>
      </w:r>
    </w:p>
    <w:p>
      <w:pPr>
        <w:keepLines/>
        <w:spacing w:after="120"/>
        <w:ind w:left="173"/>
      </w:pPr>
      <w:r>
        <w:rPr>
          <w:b/>
          <w:i w:val="0"/>
          <w:color w:val="1F4E78"/>
        </w:rPr>
        <w:t xml:space="preserve">Exam Strategy: </w:t>
      </w:r>
      <w:r>
        <w:rPr>
          <w:b w:val="0"/>
          <w:i/>
        </w:rPr>
        <w:t>Connect prior capacities with current environmental barriers, collaborative advocacy, and resource action.</w:t>
      </w:r>
    </w:p>
    <w:p>
      <w:pPr>
        <w:pStyle w:val="Heading2"/>
        <w:keepNext/>
        <w:keepLines/>
      </w:pPr>
      <w:r>
        <w:t>Question 7 (LCSW-WB08-Q007)</w:t>
      </w:r>
    </w:p>
    <w:p>
      <w:pPr>
        <w:keepNext/>
        <w:keepLines/>
      </w:pPr>
      <w:r>
        <w:rPr>
          <w:b/>
          <w:i w:val="0"/>
          <w:color w:val="0F7C82"/>
        </w:rPr>
        <w:t>Correct Answer: C</w:t>
      </w:r>
    </w:p>
    <w:p>
      <w:pPr>
        <w:keepNext/>
        <w:keepLines/>
        <w:spacing w:after="40"/>
        <w:ind w:left="173"/>
      </w:pPr>
      <w:r>
        <w:rPr>
          <w:b/>
          <w:i w:val="0"/>
        </w:rPr>
        <w:t>A. Evidence does not make an inaccessible or unacceptable modality automatically appropriate.</w:t>
      </w:r>
    </w:p>
    <w:p>
      <w:pPr>
        <w:keepNext/>
        <w:keepLines/>
        <w:spacing w:after="40"/>
        <w:ind w:left="173"/>
      </w:pPr>
      <w:r>
        <w:rPr>
          <w:b/>
          <w:i w:val="0"/>
        </w:rPr>
        <w:t>B. The barriers described do not establish resistance.</w:t>
      </w:r>
    </w:p>
    <w:p>
      <w:pPr>
        <w:keepNext/>
        <w:keepLines/>
        <w:spacing w:after="40"/>
        <w:ind w:left="173"/>
      </w:pPr>
      <w:r>
        <w:rPr>
          <w:b/>
          <w:i w:val="0"/>
        </w:rPr>
        <w:t>C. Correct. Intervention selection includes effectiveness, readiness, accessibility, culture, and feasibility.</w:t>
      </w:r>
    </w:p>
    <w:p>
      <w:pPr>
        <w:keepNext/>
        <w:keepLines/>
        <w:spacing w:after="40"/>
        <w:ind w:left="173"/>
      </w:pPr>
      <w:r>
        <w:rPr>
          <w:b/>
          <w:i w:val="0"/>
        </w:rPr>
        <w:t>D. The social worker can address symptoms and access barriers concurrently.</w:t>
      </w:r>
    </w:p>
    <w:p>
      <w:pPr>
        <w:keepLines/>
        <w:spacing w:after="120"/>
        <w:ind w:left="173"/>
      </w:pPr>
      <w:r>
        <w:rPr>
          <w:b/>
          <w:i w:val="0"/>
          <w:color w:val="1F4E78"/>
        </w:rPr>
        <w:t xml:space="preserve">Exam Strategy: </w:t>
      </w:r>
      <w:r>
        <w:rPr>
          <w:b w:val="0"/>
          <w:i/>
        </w:rPr>
        <w:t>Evidence must be integrated with readiness, accessibility, culture, preference, and feasibility; build a stepwise plan the client can use.</w:t>
      </w:r>
    </w:p>
    <w:p>
      <w:pPr>
        <w:pStyle w:val="Heading2"/>
        <w:keepNext/>
        <w:keepLines/>
      </w:pPr>
      <w:r>
        <w:t>Question 8 (LCSW-WB08-Q008)</w:t>
      </w:r>
    </w:p>
    <w:p>
      <w:pPr>
        <w:keepNext/>
        <w:keepLines/>
      </w:pPr>
      <w:r>
        <w:rPr>
          <w:b/>
          <w:i w:val="0"/>
          <w:color w:val="0F7C82"/>
        </w:rPr>
        <w:t>Correct Answer: A</w:t>
      </w:r>
    </w:p>
    <w:p>
      <w:pPr>
        <w:keepNext/>
        <w:keepLines/>
        <w:spacing w:after="40"/>
        <w:ind w:left="173"/>
      </w:pPr>
      <w:r>
        <w:rPr>
          <w:b/>
          <w:i w:val="0"/>
        </w:rPr>
        <w:t>A. Correct. Role play and modeling help translate knowledge into observable communication behavior.</w:t>
      </w:r>
    </w:p>
    <w:p>
      <w:pPr>
        <w:keepNext/>
        <w:keepLines/>
        <w:spacing w:after="40"/>
        <w:ind w:left="173"/>
      </w:pPr>
      <w:r>
        <w:rPr>
          <w:b/>
          <w:i w:val="0"/>
        </w:rPr>
        <w:t>B. The client has identified a performance barrier that benefits from practice.</w:t>
      </w:r>
    </w:p>
    <w:p>
      <w:pPr>
        <w:keepNext/>
        <w:keepLines/>
        <w:spacing w:after="40"/>
        <w:ind w:left="173"/>
      </w:pPr>
      <w:r>
        <w:rPr>
          <w:b/>
          <w:i w:val="0"/>
        </w:rPr>
        <w:t>C. An interpretation does not directly build the needed skill.</w:t>
      </w:r>
    </w:p>
    <w:p>
      <w:pPr>
        <w:keepNext/>
        <w:keepLines/>
        <w:spacing w:after="40"/>
        <w:ind w:left="173"/>
      </w:pPr>
      <w:r>
        <w:rPr>
          <w:b/>
          <w:i w:val="0"/>
        </w:rPr>
        <w:t>D. Employer contact generally requires client involvement and authorization.</w:t>
      </w:r>
    </w:p>
    <w:p>
      <w:pPr>
        <w:keepLines/>
        <w:spacing w:after="120"/>
        <w:ind w:left="173"/>
      </w:pPr>
      <w:r>
        <w:rPr>
          <w:b/>
          <w:i w:val="0"/>
          <w:color w:val="1F4E78"/>
        </w:rPr>
        <w:t xml:space="preserve">Exam Strategy: </w:t>
      </w:r>
      <w:r>
        <w:rPr>
          <w:b w:val="0"/>
          <w:i/>
        </w:rPr>
        <w:t>When the client knows what to do but cannot perform it under stress, use modeling, role play, feedback, and graduated practice.</w:t>
      </w:r>
    </w:p>
    <w:p>
      <w:pPr>
        <w:pStyle w:val="Heading2"/>
        <w:keepNext/>
        <w:keepLines/>
      </w:pPr>
      <w:r>
        <w:t>Question 9 (LCSW-WB08-Q009)</w:t>
      </w:r>
    </w:p>
    <w:p>
      <w:pPr>
        <w:keepNext/>
        <w:keepLines/>
      </w:pPr>
      <w:r>
        <w:rPr>
          <w:b/>
          <w:i w:val="0"/>
          <w:color w:val="0F7C82"/>
        </w:rPr>
        <w:t>Correct Answer: D</w:t>
      </w:r>
    </w:p>
    <w:p>
      <w:pPr>
        <w:keepNext/>
        <w:keepLines/>
        <w:spacing w:after="40"/>
        <w:ind w:left="173"/>
      </w:pPr>
      <w:r>
        <w:rPr>
          <w:b/>
          <w:i w:val="0"/>
        </w:rPr>
        <w:t>A. One technique does not address the full functional and environmental picture.</w:t>
      </w:r>
    </w:p>
    <w:p>
      <w:pPr>
        <w:keepNext/>
        <w:keepLines/>
        <w:spacing w:after="40"/>
        <w:ind w:left="173"/>
      </w:pPr>
      <w:r>
        <w:rPr>
          <w:b/>
          <w:i w:val="0"/>
        </w:rPr>
        <w:t>B. Placement is a major decision that requires fuller assessment and client participation.</w:t>
      </w:r>
    </w:p>
    <w:p>
      <w:pPr>
        <w:keepNext/>
        <w:keepLines/>
        <w:spacing w:after="40"/>
        <w:ind w:left="173"/>
      </w:pPr>
      <w:r>
        <w:rPr>
          <w:b/>
          <w:i w:val="0"/>
        </w:rPr>
        <w:t>C. Resource and functioning needs are within clinical social work intervention and service planning.</w:t>
      </w:r>
    </w:p>
    <w:p>
      <w:pPr>
        <w:keepNext/>
        <w:keepLines/>
        <w:spacing w:after="40"/>
        <w:ind w:left="173"/>
      </w:pPr>
      <w:r>
        <w:rPr>
          <w:b/>
          <w:i w:val="0"/>
        </w:rPr>
        <w:t>D. Correct. Clinical support and person-in-environment intervention may be needed together.</w:t>
      </w:r>
    </w:p>
    <w:p>
      <w:pPr>
        <w:keepLines/>
        <w:spacing w:after="120"/>
        <w:ind w:left="173"/>
      </w:pPr>
      <w:r>
        <w:rPr>
          <w:b/>
          <w:i w:val="0"/>
          <w:color w:val="1F4E78"/>
        </w:rPr>
        <w:t xml:space="preserve">Exam Strategy: </w:t>
      </w:r>
      <w:r>
        <w:rPr>
          <w:b w:val="0"/>
          <w:i/>
        </w:rPr>
        <w:t>Integrate grief support with assessment of functioning, social support, nutrition, transportation, health care, and community resources.</w:t>
      </w:r>
    </w:p>
    <w:p>
      <w:pPr>
        <w:pStyle w:val="Heading2"/>
        <w:keepNext/>
        <w:keepLines/>
      </w:pPr>
      <w:r>
        <w:t>Question 10 (LCSW-WB08-Q010)</w:t>
      </w:r>
    </w:p>
    <w:p>
      <w:pPr>
        <w:keepNext/>
        <w:keepLines/>
      </w:pPr>
      <w:r>
        <w:rPr>
          <w:b/>
          <w:i w:val="0"/>
          <w:color w:val="0F7C82"/>
        </w:rPr>
        <w:t>Correct Answer: C</w:t>
      </w:r>
    </w:p>
    <w:p>
      <w:pPr>
        <w:keepNext/>
        <w:keepLines/>
        <w:spacing w:after="40"/>
        <w:ind w:left="173"/>
      </w:pPr>
      <w:r>
        <w:rPr>
          <w:b/>
          <w:i w:val="0"/>
        </w:rPr>
        <w:t>A. A brief review does not establish competence in a specialized method.</w:t>
      </w:r>
    </w:p>
    <w:p>
      <w:pPr>
        <w:keepNext/>
        <w:keepLines/>
        <w:spacing w:after="40"/>
        <w:ind w:left="173"/>
      </w:pPr>
      <w:r>
        <w:rPr>
          <w:b/>
          <w:i w:val="0"/>
        </w:rPr>
        <w:t>B. Different approaches have distinct training and implementation requirements.</w:t>
      </w:r>
    </w:p>
    <w:p>
      <w:pPr>
        <w:keepNext/>
        <w:keepLines/>
        <w:spacing w:after="40"/>
        <w:ind w:left="173"/>
      </w:pPr>
      <w:r>
        <w:rPr>
          <w:b/>
          <w:i w:val="0"/>
        </w:rPr>
        <w:t>C. Correct. The social worker should protect competence, be transparent, and support continuity through consultation, training, referral, or another appropriate intervention.</w:t>
      </w:r>
    </w:p>
    <w:p>
      <w:pPr>
        <w:keepNext/>
        <w:keepLines/>
        <w:spacing w:after="40"/>
        <w:ind w:left="173"/>
      </w:pPr>
      <w:r>
        <w:rPr>
          <w:b/>
          <w:i w:val="0"/>
        </w:rPr>
        <w:t>D. Abrupt termination is not necessary when other competent care or transition options are available.</w:t>
      </w:r>
    </w:p>
    <w:p>
      <w:pPr>
        <w:keepLines/>
        <w:spacing w:after="120"/>
        <w:ind w:left="173"/>
      </w:pPr>
      <w:r>
        <w:rPr>
          <w:b/>
          <w:i w:val="0"/>
          <w:color w:val="1F4E78"/>
        </w:rPr>
        <w:t xml:space="preserve">Exam Strategy: </w:t>
      </w:r>
      <w:r>
        <w:rPr>
          <w:b w:val="0"/>
          <w:i/>
        </w:rPr>
        <w:t>Protect competence and continuity through transparency, consultation, qualified training, coordinated referral, or another competent option.</w:t>
      </w:r>
    </w:p>
    <w:p>
      <w:r>
        <w:br w:type="page"/>
      </w:r>
    </w:p>
    <w:p>
      <w:pPr>
        <w:pStyle w:val="Heading1"/>
      </w:pPr>
      <w:r>
        <w:t>Score and Study Plan</w:t>
      </w:r>
    </w:p>
    <w:tbl>
      <w:tblPr>
        <w:tblStyle w:val="TableGrid"/>
        <w:tblW w:type="auto" w:w="0"/>
        <w:jc w:val="center"/>
        <w:tblLayout w:type="fixed"/>
        <w:tblLook w:firstColumn="1" w:firstRow="1" w:lastColumn="0" w:lastRow="0" w:noHBand="0" w:noVBand="1" w:val="04A0"/>
      </w:tblPr>
      <w:tblGrid>
        <w:gridCol w:w="1728"/>
        <w:gridCol w:w="2880"/>
        <w:gridCol w:w="5328"/>
      </w:tblGrid>
      <w:tr>
        <w:trPr>
          <w:tblHeader w:val="true"/>
          <w:cantSplit/>
        </w:trPr>
        <w:tc>
          <w:tcPr>
            <w:tcW w:type="dxa" w:w="3360"/>
            <w:shd w:fill="17365D"/>
            <w:tcMar>
              <w:top w:w="100" w:type="dxa"/>
              <w:start w:w="120" w:type="dxa"/>
              <w:bottom w:w="100" w:type="dxa"/>
              <w:end w:w="120" w:type="dxa"/>
            </w:tcMar>
          </w:tcPr>
          <w:p>
            <w:pPr>
              <w:spacing w:after="0"/>
            </w:pPr>
            <w:r>
              <w:rPr>
                <w:b/>
                <w:color w:val="FFFFFF"/>
                <w:sz w:val="18"/>
              </w:rPr>
              <w:t>Score Range</w:t>
            </w:r>
          </w:p>
        </w:tc>
        <w:tc>
          <w:tcPr>
            <w:tcW w:type="dxa" w:w="3360"/>
            <w:shd w:fill="17365D"/>
            <w:tcMar>
              <w:top w:w="100" w:type="dxa"/>
              <w:start w:w="120" w:type="dxa"/>
              <w:bottom w:w="100" w:type="dxa"/>
              <w:end w:w="120" w:type="dxa"/>
            </w:tcMar>
          </w:tcPr>
          <w:p>
            <w:pPr>
              <w:spacing w:after="0"/>
            </w:pPr>
            <w:r>
              <w:rPr>
                <w:b/>
                <w:color w:val="FFFFFF"/>
                <w:sz w:val="18"/>
              </w:rPr>
              <w:t>Meaning</w:t>
            </w:r>
          </w:p>
        </w:tc>
        <w:tc>
          <w:tcPr>
            <w:tcW w:type="dxa" w:w="3360"/>
            <w:shd w:fill="17365D"/>
            <w:tcMar>
              <w:top w:w="100" w:type="dxa"/>
              <w:start w:w="120" w:type="dxa"/>
              <w:bottom w:w="100" w:type="dxa"/>
              <w:end w:w="120" w:type="dxa"/>
            </w:tcMar>
          </w:tcPr>
          <w:p>
            <w:pPr>
              <w:spacing w:after="0"/>
            </w:pPr>
            <w:r>
              <w:rPr>
                <w:b/>
                <w:color w:val="FFFFFF"/>
                <w:sz w:val="18"/>
              </w:rPr>
              <w:t>Recommended Next Step</w:t>
            </w:r>
          </w:p>
        </w:tc>
      </w:tr>
      <w:tr>
        <w:trPr>
          <w:cantSplit/>
        </w:trPr>
        <w:tc>
          <w:tcPr>
            <w:tcW w:type="dxa" w:w="1728"/>
            <w:tcMar>
              <w:top w:w="100" w:type="dxa"/>
              <w:start w:w="120" w:type="dxa"/>
              <w:bottom w:w="100" w:type="dxa"/>
              <w:end w:w="120" w:type="dxa"/>
            </w:tcMar>
          </w:tcPr>
          <w:p>
            <w:pPr>
              <w:spacing w:after="0"/>
            </w:pPr>
            <w:r>
              <w:rPr>
                <w:sz w:val="18"/>
              </w:rPr>
              <w:t>9-10</w:t>
            </w:r>
          </w:p>
        </w:tc>
        <w:tc>
          <w:tcPr>
            <w:tcW w:type="dxa" w:w="2880"/>
            <w:tcMar>
              <w:top w:w="100" w:type="dxa"/>
              <w:start w:w="120" w:type="dxa"/>
              <w:bottom w:w="100" w:type="dxa"/>
              <w:end w:w="120" w:type="dxa"/>
            </w:tcMar>
          </w:tcPr>
          <w:p>
            <w:pPr>
              <w:spacing w:after="0"/>
            </w:pPr>
            <w:r>
              <w:rPr>
                <w:sz w:val="18"/>
              </w:rPr>
              <w:t>Strong intervention reasoning</w:t>
            </w:r>
          </w:p>
        </w:tc>
        <w:tc>
          <w:tcPr>
            <w:tcW w:type="dxa" w:w="5328"/>
            <w:tcMar>
              <w:top w:w="100" w:type="dxa"/>
              <w:start w:w="120" w:type="dxa"/>
              <w:bottom w:w="100" w:type="dxa"/>
              <w:end w:w="120" w:type="dxa"/>
            </w:tcMar>
          </w:tcPr>
          <w:p>
            <w:pPr>
              <w:spacing w:after="0"/>
            </w:pPr>
            <w:r>
              <w:rPr>
                <w:sz w:val="18"/>
              </w:rPr>
              <w:t>Review low-confidence items and complete mixed vignettes that combine safety, fit, and response evaluation.</w:t>
            </w:r>
          </w:p>
        </w:tc>
      </w:tr>
      <w:tr>
        <w:trPr>
          <w:cantSplit/>
        </w:trPr>
        <w:tc>
          <w:tcPr>
            <w:tcW w:type="dxa" w:w="1728"/>
            <w:tcMar>
              <w:top w:w="100" w:type="dxa"/>
              <w:start w:w="120" w:type="dxa"/>
              <w:bottom w:w="100" w:type="dxa"/>
              <w:end w:w="120" w:type="dxa"/>
            </w:tcMar>
            <w:shd w:fill="F7F8FA"/>
          </w:tcPr>
          <w:p>
            <w:pPr>
              <w:spacing w:after="0"/>
            </w:pPr>
            <w:r>
              <w:rPr>
                <w:sz w:val="18"/>
              </w:rPr>
              <w:t>7-8</w:t>
            </w:r>
          </w:p>
        </w:tc>
        <w:tc>
          <w:tcPr>
            <w:tcW w:type="dxa" w:w="2880"/>
            <w:tcMar>
              <w:top w:w="100" w:type="dxa"/>
              <w:start w:w="120" w:type="dxa"/>
              <w:bottom w:w="100" w:type="dxa"/>
              <w:end w:w="120" w:type="dxa"/>
            </w:tcMar>
            <w:shd w:fill="F7F8FA"/>
          </w:tcPr>
          <w:p>
            <w:pPr>
              <w:spacing w:after="0"/>
            </w:pPr>
            <w:r>
              <w:rPr>
                <w:sz w:val="18"/>
              </w:rPr>
              <w:t>Developing consistency</w:t>
            </w:r>
          </w:p>
        </w:tc>
        <w:tc>
          <w:tcPr>
            <w:tcW w:type="dxa" w:w="5328"/>
            <w:tcMar>
              <w:top w:w="100" w:type="dxa"/>
              <w:start w:w="120" w:type="dxa"/>
              <w:bottom w:w="100" w:type="dxa"/>
              <w:end w:w="120" w:type="dxa"/>
            </w:tcMar>
            <w:shd w:fill="F7F8FA"/>
          </w:tcPr>
          <w:p>
            <w:pPr>
              <w:spacing w:after="0"/>
            </w:pPr>
            <w:r>
              <w:rPr>
                <w:sz w:val="18"/>
              </w:rPr>
              <w:t>Revisit the primary decision sequence and the tables for timing, mechanism, and client or system fit.</w:t>
            </w:r>
          </w:p>
        </w:tc>
      </w:tr>
      <w:tr>
        <w:trPr>
          <w:cantSplit/>
        </w:trPr>
        <w:tc>
          <w:tcPr>
            <w:tcW w:type="dxa" w:w="1728"/>
            <w:tcMar>
              <w:top w:w="100" w:type="dxa"/>
              <w:start w:w="120" w:type="dxa"/>
              <w:bottom w:w="100" w:type="dxa"/>
              <w:end w:w="120" w:type="dxa"/>
            </w:tcMar>
          </w:tcPr>
          <w:p>
            <w:pPr>
              <w:spacing w:after="0"/>
            </w:pPr>
            <w:r>
              <w:rPr>
                <w:sz w:val="18"/>
              </w:rPr>
              <w:t>5-6</w:t>
            </w:r>
          </w:p>
        </w:tc>
        <w:tc>
          <w:tcPr>
            <w:tcW w:type="dxa" w:w="2880"/>
            <w:tcMar>
              <w:top w:w="100" w:type="dxa"/>
              <w:start w:w="120" w:type="dxa"/>
              <w:bottom w:w="100" w:type="dxa"/>
              <w:end w:w="120" w:type="dxa"/>
            </w:tcMar>
          </w:tcPr>
          <w:p>
            <w:pPr>
              <w:spacing w:after="0"/>
            </w:pPr>
            <w:r>
              <w:rPr>
                <w:sz w:val="18"/>
              </w:rPr>
              <w:t>Priority or fit gaps</w:t>
            </w:r>
          </w:p>
        </w:tc>
        <w:tc>
          <w:tcPr>
            <w:tcW w:type="dxa" w:w="5328"/>
            <w:tcMar>
              <w:top w:w="100" w:type="dxa"/>
              <w:start w:w="120" w:type="dxa"/>
              <w:bottom w:w="100" w:type="dxa"/>
              <w:end w:w="120" w:type="dxa"/>
            </w:tcMar>
          </w:tcPr>
          <w:p>
            <w:pPr>
              <w:spacing w:after="0"/>
            </w:pPr>
            <w:r>
              <w:rPr>
                <w:sz w:val="18"/>
              </w:rPr>
              <w:t>Practice naming the target and explaining why the chosen response is safer and better timed than the distractors.</w:t>
            </w:r>
          </w:p>
        </w:tc>
      </w:tr>
      <w:tr>
        <w:trPr>
          <w:cantSplit/>
        </w:trPr>
        <w:tc>
          <w:tcPr>
            <w:tcW w:type="dxa" w:w="1728"/>
            <w:tcMar>
              <w:top w:w="100" w:type="dxa"/>
              <w:start w:w="120" w:type="dxa"/>
              <w:bottom w:w="100" w:type="dxa"/>
              <w:end w:w="120" w:type="dxa"/>
            </w:tcMar>
            <w:shd w:fill="F7F8FA"/>
          </w:tcPr>
          <w:p>
            <w:pPr>
              <w:spacing w:after="0"/>
            </w:pPr>
            <w:r>
              <w:rPr>
                <w:sz w:val="18"/>
              </w:rPr>
              <w:t>0-4</w:t>
            </w:r>
          </w:p>
        </w:tc>
        <w:tc>
          <w:tcPr>
            <w:tcW w:type="dxa" w:w="2880"/>
            <w:tcMar>
              <w:top w:w="100" w:type="dxa"/>
              <w:start w:w="120" w:type="dxa"/>
              <w:bottom w:w="100" w:type="dxa"/>
              <w:end w:w="120" w:type="dxa"/>
            </w:tcMar>
            <w:shd w:fill="F7F8FA"/>
          </w:tcPr>
          <w:p>
            <w:pPr>
              <w:spacing w:after="0"/>
            </w:pPr>
            <w:r>
              <w:rPr>
                <w:sz w:val="18"/>
              </w:rPr>
              <w:t>Foundation needs reinforcement</w:t>
            </w:r>
          </w:p>
        </w:tc>
        <w:tc>
          <w:tcPr>
            <w:tcW w:type="dxa" w:w="5328"/>
            <w:tcMar>
              <w:top w:w="100" w:type="dxa"/>
              <w:start w:w="120" w:type="dxa"/>
              <w:bottom w:w="100" w:type="dxa"/>
              <w:end w:w="120" w:type="dxa"/>
            </w:tcMar>
            <w:shd w:fill="F7F8FA"/>
          </w:tcPr>
          <w:p>
            <w:pPr>
              <w:spacing w:after="0"/>
            </w:pPr>
            <w:r>
              <w:rPr>
                <w:sz w:val="18"/>
              </w:rPr>
              <w:t>Study one intervention family at a time and complete a second untimed attempt before advancing.</w:t>
            </w:r>
          </w:p>
        </w:tc>
      </w:tr>
    </w:tbl>
    <w:p>
      <w:pPr>
        <w:spacing w:after="0"/>
      </w:pPr>
    </w:p>
    <w:p>
      <w:pPr>
        <w:pStyle w:val="Heading2"/>
      </w:pPr>
      <w:r>
        <w:t>My Error Patterns</w:t>
      </w:r>
    </w:p>
    <w:tbl>
      <w:tblPr>
        <w:tblStyle w:val="TableGrid"/>
        <w:tblW w:type="auto" w:w="0"/>
        <w:jc w:val="center"/>
        <w:tblLayout w:type="fixed"/>
        <w:tblLook w:firstColumn="1" w:firstRow="1" w:lastColumn="0" w:lastRow="0" w:noHBand="0" w:noVBand="1" w:val="04A0"/>
      </w:tblPr>
      <w:tblGrid>
        <w:gridCol w:w="2016"/>
        <w:gridCol w:w="3024"/>
        <w:gridCol w:w="4896"/>
      </w:tblGrid>
      <w:tr>
        <w:trPr>
          <w:tblHeader w:val="true"/>
          <w:cantSplit/>
        </w:trPr>
        <w:tc>
          <w:tcPr>
            <w:tcW w:type="dxa" w:w="3360"/>
            <w:shd w:fill="17365D"/>
            <w:tcMar>
              <w:top w:w="100" w:type="dxa"/>
              <w:start w:w="120" w:type="dxa"/>
              <w:bottom w:w="100" w:type="dxa"/>
              <w:end w:w="120" w:type="dxa"/>
            </w:tcMar>
          </w:tcPr>
          <w:p>
            <w:pPr>
              <w:spacing w:after="0"/>
            </w:pPr>
            <w:r>
              <w:rPr>
                <w:b/>
                <w:color w:val="FFFFFF"/>
                <w:sz w:val="18"/>
              </w:rPr>
              <w:t>Question(s)</w:t>
            </w:r>
          </w:p>
        </w:tc>
        <w:tc>
          <w:tcPr>
            <w:tcW w:type="dxa" w:w="3360"/>
            <w:shd w:fill="17365D"/>
            <w:tcMar>
              <w:top w:w="100" w:type="dxa"/>
              <w:start w:w="120" w:type="dxa"/>
              <w:bottom w:w="100" w:type="dxa"/>
              <w:end w:w="120" w:type="dxa"/>
            </w:tcMar>
          </w:tcPr>
          <w:p>
            <w:pPr>
              <w:spacing w:after="0"/>
            </w:pPr>
            <w:r>
              <w:rPr>
                <w:b/>
                <w:color w:val="FFFFFF"/>
                <w:sz w:val="18"/>
              </w:rPr>
              <w:t>Error Type</w:t>
            </w:r>
          </w:p>
        </w:tc>
        <w:tc>
          <w:tcPr>
            <w:tcW w:type="dxa" w:w="3360"/>
            <w:shd w:fill="17365D"/>
            <w:tcMar>
              <w:top w:w="100" w:type="dxa"/>
              <w:start w:w="120" w:type="dxa"/>
              <w:bottom w:w="100" w:type="dxa"/>
              <w:end w:w="120" w:type="dxa"/>
            </w:tcMar>
          </w:tcPr>
          <w:p>
            <w:pPr>
              <w:spacing w:after="0"/>
            </w:pPr>
            <w:r>
              <w:rPr>
                <w:b/>
                <w:color w:val="FFFFFF"/>
                <w:sz w:val="18"/>
              </w:rPr>
              <w:t>Rule I Will Use Next Time</w:t>
            </w:r>
          </w:p>
        </w:tc>
      </w:tr>
      <w:tr>
        <w:trPr>
          <w:cantSplit/>
        </w:trPr>
        <w:tc>
          <w:tcPr>
            <w:tcW w:type="dxa" w:w="2016"/>
            <w:tcMar>
              <w:top w:w="100" w:type="dxa"/>
              <w:start w:w="120" w:type="dxa"/>
              <w:bottom w:w="100" w:type="dxa"/>
              <w:end w:w="120" w:type="dxa"/>
            </w:tcMar>
          </w:tcPr>
          <w:p>
            <w:pPr>
              <w:spacing w:after="0"/>
            </w:pPr>
            <w:r>
              <w:rPr>
                <w:sz w:val="18"/>
              </w:rPr>
            </w:r>
          </w:p>
        </w:tc>
        <w:tc>
          <w:tcPr>
            <w:tcW w:type="dxa" w:w="3024"/>
            <w:tcMar>
              <w:top w:w="100" w:type="dxa"/>
              <w:start w:w="120" w:type="dxa"/>
              <w:bottom w:w="100" w:type="dxa"/>
              <w:end w:w="120" w:type="dxa"/>
            </w:tcMar>
          </w:tcPr>
          <w:p>
            <w:pPr>
              <w:spacing w:after="0"/>
            </w:pPr>
            <w:r>
              <w:rPr>
                <w:sz w:val="18"/>
              </w:rPr>
            </w:r>
          </w:p>
        </w:tc>
        <w:tc>
          <w:tcPr>
            <w:tcW w:type="dxa" w:w="4896"/>
            <w:tcMar>
              <w:top w:w="100" w:type="dxa"/>
              <w:start w:w="120" w:type="dxa"/>
              <w:bottom w:w="100" w:type="dxa"/>
              <w:end w:w="120" w:type="dxa"/>
            </w:tcMar>
          </w:tcPr>
          <w:p>
            <w:pPr>
              <w:spacing w:after="0"/>
            </w:pPr>
            <w:r>
              <w:rPr>
                <w:sz w:val="18"/>
              </w:rPr>
            </w:r>
          </w:p>
        </w:tc>
      </w:tr>
      <w:tr>
        <w:trPr>
          <w:cantSplit/>
        </w:trPr>
        <w:tc>
          <w:tcPr>
            <w:tcW w:type="dxa" w:w="2016"/>
            <w:tcMar>
              <w:top w:w="100" w:type="dxa"/>
              <w:start w:w="120" w:type="dxa"/>
              <w:bottom w:w="100" w:type="dxa"/>
              <w:end w:w="120" w:type="dxa"/>
            </w:tcMar>
            <w:shd w:fill="F7F8FA"/>
          </w:tcPr>
          <w:p>
            <w:pPr>
              <w:spacing w:after="0"/>
            </w:pPr>
            <w:r>
              <w:rPr>
                <w:sz w:val="18"/>
              </w:rPr>
            </w:r>
          </w:p>
        </w:tc>
        <w:tc>
          <w:tcPr>
            <w:tcW w:type="dxa" w:w="3024"/>
            <w:tcMar>
              <w:top w:w="100" w:type="dxa"/>
              <w:start w:w="120" w:type="dxa"/>
              <w:bottom w:w="100" w:type="dxa"/>
              <w:end w:w="120" w:type="dxa"/>
            </w:tcMar>
            <w:shd w:fill="F7F8FA"/>
          </w:tcPr>
          <w:p>
            <w:pPr>
              <w:spacing w:after="0"/>
            </w:pPr>
            <w:r>
              <w:rPr>
                <w:sz w:val="18"/>
              </w:rPr>
            </w:r>
          </w:p>
        </w:tc>
        <w:tc>
          <w:tcPr>
            <w:tcW w:type="dxa" w:w="4896"/>
            <w:tcMar>
              <w:top w:w="100" w:type="dxa"/>
              <w:start w:w="120" w:type="dxa"/>
              <w:bottom w:w="100" w:type="dxa"/>
              <w:end w:w="120" w:type="dxa"/>
            </w:tcMar>
            <w:shd w:fill="F7F8FA"/>
          </w:tcPr>
          <w:p>
            <w:pPr>
              <w:spacing w:after="0"/>
            </w:pPr>
            <w:r>
              <w:rPr>
                <w:sz w:val="18"/>
              </w:rPr>
            </w:r>
          </w:p>
        </w:tc>
      </w:tr>
    </w:tbl>
    <w:p>
      <w:pPr>
        <w:spacing w:after="0"/>
      </w:pPr>
    </w:p>
    <w:p>
      <w:pPr>
        <w:pStyle w:val="Heading2"/>
      </w:pPr>
      <w:r>
        <w:t>My Intervention Review Checklist</w:t>
      </w:r>
    </w:p>
    <w:p>
      <w:pPr>
        <w:pStyle w:val="ListBullet"/>
      </w:pPr>
      <w:r>
        <w:t>Did I identify the target and maintaining mechanism before selecting a named technique?</w:t>
      </w:r>
    </w:p>
    <w:p>
      <w:pPr>
        <w:pStyle w:val="ListBullet"/>
      </w:pPr>
      <w:r>
        <w:t>Did I check whether immediate stabilization, medical evaluation, or a higher level of care comes first?</w:t>
      </w:r>
    </w:p>
    <w:p>
      <w:pPr>
        <w:pStyle w:val="ListBullet"/>
      </w:pPr>
      <w:r>
        <w:t>Did I connect clinical work with functional needs, strengths, environmental barriers, resources, and advocacy?</w:t>
      </w:r>
    </w:p>
    <w:p>
      <w:pPr>
        <w:pStyle w:val="ListBullet"/>
      </w:pPr>
      <w:r>
        <w:t>Did I consider readiness, development, culture, language, disability, access, preference, and competence?</w:t>
      </w:r>
    </w:p>
    <w:p>
      <w:pPr>
        <w:pStyle w:val="ListBullet"/>
      </w:pPr>
      <w:r>
        <w:t>Did I preserve self-determination and use understandable, accessible intervention language?</w:t>
      </w:r>
    </w:p>
    <w:p>
      <w:pPr>
        <w:pStyle w:val="ListBullet"/>
      </w:pPr>
      <w:r>
        <w:t>Did I choose the smallest effective response that fits the current stage?</w:t>
      </w:r>
    </w:p>
    <w:p>
      <w:pPr>
        <w:pStyle w:val="ListBullet"/>
      </w:pPr>
      <w:r>
        <w:t>Did I define how the client, family, group, or service system will know whether the intervention helped?</w:t>
      </w:r>
    </w:p>
    <w:p>
      <w:pPr>
        <w:pStyle w:val="ListBullet"/>
      </w:pPr>
      <w:r>
        <w:t>When the response was poor, did I reassess before blaming, repeating, or adding unrelated techniques?</w:t>
      </w:r>
    </w:p>
    <w:p>
      <w:pPr>
        <w:pStyle w:val="Heading1"/>
        <w:keepNext/>
        <w:pageBreakBefore/>
        <w:spacing w:before="100" w:after="40"/>
      </w:pPr>
      <w:r>
        <w:t>Sources and Currency Note</w:t>
      </w:r>
    </w:p>
    <w:p>
      <w:pPr>
        <w:pStyle w:val="ListBullet"/>
      </w:pPr>
      <w:r>
        <w:t>Association of Social Work Boards. Your Guide to Taking the Social Work Licensing Exams: 2026 Blueprints for Exams Taken on or After August 3, 2026 (May 2026).</w:t>
      </w:r>
    </w:p>
    <w:p>
      <w:pPr>
        <w:pStyle w:val="ListBullet"/>
      </w:pPr>
      <w:r>
        <w:t>Association of Social Work Boards. 2026 changes to the Social Work Licensing Exams and current Clinical content-outline resources (accessed July 24, 2026).</w:t>
      </w:r>
    </w:p>
    <w:p>
      <w:pPr>
        <w:pStyle w:val="ListBullet"/>
      </w:pPr>
      <w:r>
        <w:t>Substance Abuse and Mental Health Services Administration. SAMHSA's Concept of Trauma and Guidance for a Trauma-Informed Approach (2014).</w:t>
      </w:r>
    </w:p>
    <w:p>
      <w:pPr>
        <w:pStyle w:val="ListBullet"/>
      </w:pPr>
      <w:r>
        <w:t>National Association of Social Workers. Code of Ethics (2021).</w:t>
      </w:r>
    </w:p>
    <w:p>
      <w:pPr>
        <w:pStyle w:val="ListBullet"/>
      </w:pPr>
      <w:r>
        <w:t>This workbook uses national ASWB examination framing. Jurisdiction-specific law, organizational policy, and competence requirements must be verified locally; exam specifications and professional guidance may change.</w:t>
      </w:r>
    </w:p>
    <w:sectPr w:rsidR="00FC693F" w:rsidRPr="0006063C" w:rsidSect="00034616">
      <w:headerReference w:type="first" r:id="rId10"/>
      <w:footerReference w:type="first" r:id="rId11"/>
      <w:headerReference w:type="default" r:id="rId12"/>
      <w:footerReference w:type="default" r:id="rId13"/>
      <w:headerReference w:type="even" r:id="rId14"/>
      <w:footerReference w:type="even" r:id="rId15"/>
      <w:pgSz w:w="12240" w:h="15840"/>
      <w:pgMar w:top="936" w:right="1080" w:bottom="936" w:left="1080" w:header="360"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5040"/>
      <w:gridCol w:w="5040"/>
    </w:tblGrid>
    <w:tr>
      <w:trPr>
        <w:tblHeader w:val="true"/>
      </w:trPr>
      <w:tc>
        <w:tcPr>
          <w:tcW w:type="dxa" w:w="5040"/>
        </w:tcPr>
        <w:p>
          <w:r>
            <w:rPr>
              <w:rFonts w:ascii="Aptos" w:hAnsi="Aptos"/>
              <w:color w:val="6B7280"/>
              <w:sz w:val="16"/>
            </w:rPr>
            <w:t>Clinical Training Academy • Student Workbook</w:t>
          </w:r>
        </w:p>
      </w:tc>
      <w:tc>
        <w:tcPr>
          <w:tcW w:type="dxa" w:w="5040"/>
        </w:tcPr>
        <w:p>
          <w:pPr>
            <w:jc w:val="right"/>
          </w:pPr>
          <w:r>
            <w:rPr>
              <w:rFonts w:ascii="Aptos" w:hAnsi="Aptos"/>
              <w:color w:val="6B7280"/>
              <w:sz w:val="16"/>
            </w:rPr>
            <w:t xml:space="preserve">Page </w:t>
          </w:r>
          <w:r>
            <w:rPr>
              <w:rFonts w:ascii="Aptos" w:hAnsi="Aptos"/>
              <w:color w:val="6B7280"/>
              <w:sz w:val="16"/>
            </w:rPr>
            <w:fldChar w:fldCharType="begin"/>
          </w:r>
          <w:r>
            <w:rPr>
              <w:rFonts w:ascii="Aptos" w:hAnsi="Aptos"/>
              <w:color w:val="6B7280"/>
              <w:sz w:val="16"/>
            </w:rPr>
            <w:instrText xml:space="preserve"> PAGE </w:instrText>
          </w:r>
          <w:r>
            <w:rPr>
              <w:rFonts w:ascii="Aptos" w:hAnsi="Aptos"/>
              <w:color w:val="6B7280"/>
              <w:sz w:val="16"/>
            </w:rPr>
            <w:fldChar w:fldCharType="separate"/>
          </w:r>
          <w:r>
            <w:rPr>
              <w:rFonts w:ascii="Aptos" w:hAnsi="Aptos"/>
              <w:color w:val="6B7280"/>
              <w:sz w:val="16"/>
            </w:rPr>
            <w:t>1</w:t>
          </w:r>
          <w:r>
            <w:rPr>
              <w:rFonts w:ascii="Aptos" w:hAnsi="Aptos"/>
              <w:color w:val="6B7280"/>
              <w:sz w:val="16"/>
            </w:rPr>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667085"/>
        <w:sz w:val="18"/>
      </w:rPr>
      <w:t xml:space="preserve">   LCSW Workbook 8 • Clinical Interventions and Trauma-Informed Practice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E749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Caps">
    <w:name w:val="CTA Small Caps"/>
    <w:pPr>
      <w:spacing w:after="40"/>
    </w:pPr>
    <w:rPr>
      <w:rFonts w:ascii="Aptos" w:hAnsi="Aptos"/>
      <w:b/>
      <w:color w:val="0E749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Workbook 8: Clinical Interventions and Trauma-Informed Practice</dc:title>
  <dc:subject>LCSW Exam Preparation Program Student Workbook</dc:subject>
  <dc:creator>Clinical Training Academy</dc:creator>
  <cp:keywords>CTA, LCSW, exam preparation, Workbook 8</cp:keywords>
  <dc:description>Student-facing examination preparation workbook.</dc:description>
  <cp:lastModifiedBy>Clinical Training Academy</cp:lastModifiedBy>
  <cp:revision>1</cp:revision>
  <dcterms:created xsi:type="dcterms:W3CDTF">2013-12-23T23:15:00Z</dcterms:created>
  <dcterms:modified xsi:type="dcterms:W3CDTF">2013-12-23T23:15:00Z</dcterms:modified>
  <cp:category/>
</cp:coreProperties>
</file>