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LCSW EXAM PREPARATION PROGRAM</w:t>
      </w:r>
    </w:p>
    <w:p>
      <w:pPr>
        <w:spacing w:after="240"/>
        <w:jc w:val="center"/>
      </w:pPr>
      <w:r>
        <w:rPr>
          <w:b/>
          <w:i w:val="0"/>
          <w:color w:val="C17C00"/>
          <w:sz w:val="30"/>
        </w:rPr>
        <w:t>Student Workbook</w:t>
      </w:r>
    </w:p>
    <w:p>
      <w:pPr>
        <w:pStyle w:val="Title"/>
        <w:spacing w:after="160"/>
        <w:jc w:val="center"/>
      </w:pPr>
      <w:r>
        <w:t>CTA LCSW Workbook 9: Family, Couple, Group, and Parenting Interventions</w:t>
      </w:r>
    </w:p>
    <w:p>
      <w:pPr>
        <w:spacing w:after="240"/>
        <w:jc w:val="center"/>
      </w:pPr>
      <w:r>
        <w:rPr>
          <w:b w:val="0"/>
          <w:i/>
          <w:color w:val="5B6573"/>
          <w:sz w:val="24"/>
        </w:rPr>
        <w:t>Selecting client systems, facilitating participation, coordinating resources, and protecting continuity</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National Examination and Clinical Scope Notice</w:t>
            </w:r>
            <w:r>
              <w:br/>
              <w:t>The ASWB examination is national. Unless a question supplies a jurisdiction or legal requirement, do not import California-specific rules. Follow the law stated in the item and use ethical clinical sequencing.</w:t>
              <w:br/>
              <w:br/>
              <w:t>The material is provided for examination preparation and professional education. It is not legal advice, clinical supervision, diagnosis, treatment, or a substitute for consultation with qualified legal, clinical, regulatory, or professional experts.</w:t>
            </w:r>
          </w:p>
        </w:tc>
      </w:tr>
    </w:tbl>
    <w:p>
      <w:pPr>
        <w:pStyle w:val="Heading1"/>
      </w:pPr>
      <w:r>
        <w:t>How to Use This Workbook</w:t>
      </w:r>
    </w:p>
    <w:p>
      <w:r>
        <w:rPr>
          <w:i w:val="0"/>
        </w:rPr>
        <w:t>This workbook develops exam reasoning for work with families, couples, caregivers, groups, interdisciplinary teams, service networks, and communities. Read each section, practice naming the client system and purpose of involvement, complete the worksheet, then answer the knowledge check without consulting the rationales. National ASWB items generally test ethical and clinical reasoning rather than one state’s procedures unless the vignette provides the jurisdiction.</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Core Exam Question</w:t>
            </w:r>
          </w:p>
          <w:p>
            <w:pPr>
              <w:spacing w:after="0"/>
            </w:pPr>
            <w:r>
              <w:t>Who should be involved, for what purpose, with what consent and role clarity, and what must happen to make the intervention accessible and effective?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Blueprint Note</w:t>
            </w:r>
          </w:p>
          <w:p>
            <w:pPr>
              <w:spacing w:after="0"/>
            </w:pPr>
            <w:r>
              <w:t>For Clinical exams administered on or after August 3, 2026, the ASWB outline assigns 36% to Values and Ethics, 32% to Assessment and Planning, and 32% to Intervention and Practice. Intervention questions emphasize applied reasoning, client or client-system fit, ethical sequencing, and the use of both three- and four-option formats.</w:t>
            </w:r>
          </w:p>
        </w:tc>
      </w:tr>
    </w:tbl>
    <w:p>
      <w:pPr>
        <w:spacing w:after="0"/>
      </w:pPr>
    </w:p>
    <w:p>
      <w:pPr>
        <w:pStyle w:val="Heading1"/>
      </w:pPr>
      <w:r>
        <w:t>Learning Objectives</w:t>
      </w:r>
    </w:p>
    <w:p>
      <w:pPr>
        <w:pStyle w:val="ListBullet"/>
      </w:pPr>
      <w:r>
        <w:t>Select individual, family, couple, caregiver, group, team, service-network, or community intervention based on the client or client-system goal, problem level, safety, and the smallest sufficient response.</w:t>
      </w:r>
    </w:p>
    <w:p>
      <w:pPr>
        <w:pStyle w:val="ListBullet"/>
      </w:pPr>
      <w:r>
        <w:t>Preserve self-determination, informed participation, culture, development, language and disability access, confidentiality, and role clarity when involving families, caregivers, groups, teams, and communities.</w:t>
      </w:r>
    </w:p>
    <w:p>
      <w:pPr>
        <w:pStyle w:val="ListBullet"/>
      </w:pPr>
      <w:r>
        <w:t>Apply exam-level principles for parenting and family support, group screening and facilitation, permanency planning, end-of-life collaboration, interdisciplinary teamwork, and community participation.</w:t>
      </w:r>
    </w:p>
    <w:p>
      <w:pPr>
        <w:pStyle w:val="ListBullet"/>
      </w:pPr>
      <w:r>
        <w:t>Match referrals and resources to need, eligibility, availability, cost, transportation, technology, accessibility, and client preference and use warm handoffs and follow-up to protect continuity.</w:t>
      </w:r>
    </w:p>
    <w:p>
      <w:pPr>
        <w:pStyle w:val="ListBullet"/>
      </w:pPr>
      <w:r>
        <w:t>Evaluate ineffective collaboration or referral by reassessing urgency, access, participation, roles, information boundaries, service fit, advocacy needs, and responsibility for follow-through.</w:t>
      </w:r>
    </w:p>
    <w:p>
      <w:pPr>
        <w:pStyle w:val="Heading1"/>
      </w:pPr>
      <w:r>
        <w:t>Why This Topic Matters</w:t>
      </w:r>
    </w:p>
    <w:p>
      <w:r>
        <w:rPr>
          <w:i w:val="0"/>
        </w:rPr>
        <w:t>Many social work questions cannot be solved by choosing only an individual psychotherapy technique. The client’s needs may involve family relationships, parenting, caregiving, schools, health systems, housing, benefits, child welfare, groups, or community resources. The examination rewards selection of the correct level of intervention, meaningful client participation, accessible services, and coordinated follow-through.</w:t>
      </w:r>
    </w:p>
    <w:p>
      <w:pPr>
        <w:pStyle w:val="Heading1"/>
      </w:pPr>
      <w:r>
        <w:t>1. Select the Client System Deliberately</w:t>
      </w:r>
    </w:p>
    <w:tbl>
      <w:tblPr>
        <w:tblStyle w:val="TableGrid"/>
        <w:tblW w:type="auto" w:w="0"/>
        <w:jc w:val="center"/>
        <w:tblLayout w:type="fixed"/>
        <w:tblLook w:firstColumn="1" w:firstRow="1" w:lastColumn="0" w:lastRow="0" w:noHBand="0" w:noVBand="1" w:val="04A0"/>
      </w:tblPr>
      <w:tblGrid>
        <w:gridCol w:w="2232"/>
        <w:gridCol w:w="770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Level</w:t>
            </w:r>
          </w:p>
        </w:tc>
        <w:tc>
          <w:tcPr>
            <w:tcW w:type="dxa" w:w="5040"/>
            <w:shd w:fill="17365D"/>
            <w:tcMar>
              <w:top w:w="100" w:type="dxa"/>
              <w:start w:w="120" w:type="dxa"/>
              <w:bottom w:w="100" w:type="dxa"/>
              <w:end w:w="120" w:type="dxa"/>
            </w:tcMar>
          </w:tcPr>
          <w:p>
            <w:pPr>
              <w:spacing w:after="0"/>
            </w:pPr>
            <w:r>
              <w:rPr>
                <w:b/>
                <w:color w:val="FFFFFF"/>
                <w:sz w:val="17"/>
              </w:rPr>
              <w:t>Primary Purpose</w:t>
            </w:r>
          </w:p>
        </w:tc>
      </w:tr>
      <w:tr>
        <w:trPr>
          <w:cantSplit/>
        </w:trPr>
        <w:tc>
          <w:tcPr>
            <w:tcW w:type="dxa" w:w="2232"/>
            <w:tcMar>
              <w:top w:w="100" w:type="dxa"/>
              <w:start w:w="120" w:type="dxa"/>
              <w:bottom w:w="100" w:type="dxa"/>
              <w:end w:w="120" w:type="dxa"/>
            </w:tcMar>
          </w:tcPr>
          <w:p>
            <w:pPr>
              <w:spacing w:after="0"/>
            </w:pPr>
            <w:r>
              <w:rPr>
                <w:sz w:val="17"/>
              </w:rPr>
              <w:t>Individual</w:t>
            </w:r>
          </w:p>
        </w:tc>
        <w:tc>
          <w:tcPr>
            <w:tcW w:type="dxa" w:w="7704"/>
            <w:tcMar>
              <w:top w:w="100" w:type="dxa"/>
              <w:start w:w="120" w:type="dxa"/>
              <w:bottom w:w="100" w:type="dxa"/>
              <w:end w:w="120" w:type="dxa"/>
            </w:tcMar>
          </w:tcPr>
          <w:p>
            <w:pPr>
              <w:spacing w:after="0"/>
            </w:pPr>
            <w:r>
              <w:rPr>
                <w:sz w:val="17"/>
              </w:rPr>
              <w:t>Address the client’s symptoms, coping, decision-making, skills, safety, or personal goals.</w:t>
            </w:r>
          </w:p>
        </w:tc>
      </w:tr>
      <w:tr>
        <w:trPr>
          <w:cantSplit/>
        </w:trPr>
        <w:tc>
          <w:tcPr>
            <w:tcW w:type="dxa" w:w="2232"/>
            <w:tcMar>
              <w:top w:w="100" w:type="dxa"/>
              <w:start w:w="120" w:type="dxa"/>
              <w:bottom w:w="100" w:type="dxa"/>
              <w:end w:w="120" w:type="dxa"/>
            </w:tcMar>
            <w:shd w:fill="F7F8FA"/>
          </w:tcPr>
          <w:p>
            <w:pPr>
              <w:spacing w:after="0"/>
            </w:pPr>
            <w:r>
              <w:rPr>
                <w:sz w:val="17"/>
              </w:rPr>
              <w:t>Family / couple</w:t>
            </w:r>
          </w:p>
        </w:tc>
        <w:tc>
          <w:tcPr>
            <w:tcW w:type="dxa" w:w="7704"/>
            <w:tcMar>
              <w:top w:w="100" w:type="dxa"/>
              <w:start w:w="120" w:type="dxa"/>
              <w:bottom w:w="100" w:type="dxa"/>
              <w:end w:w="120" w:type="dxa"/>
            </w:tcMar>
            <w:shd w:fill="F7F8FA"/>
          </w:tcPr>
          <w:p>
            <w:pPr>
              <w:spacing w:after="0"/>
            </w:pPr>
            <w:r>
              <w:rPr>
                <w:sz w:val="17"/>
              </w:rPr>
              <w:t>Address interaction, caregiving, parenting, communication, roles, support, or shared decisions when involvement is safe and desired.</w:t>
            </w:r>
          </w:p>
        </w:tc>
      </w:tr>
      <w:tr>
        <w:trPr>
          <w:cantSplit/>
        </w:trPr>
        <w:tc>
          <w:tcPr>
            <w:tcW w:type="dxa" w:w="2232"/>
            <w:tcMar>
              <w:top w:w="100" w:type="dxa"/>
              <w:start w:w="120" w:type="dxa"/>
              <w:bottom w:w="100" w:type="dxa"/>
              <w:end w:w="120" w:type="dxa"/>
            </w:tcMar>
          </w:tcPr>
          <w:p>
            <w:pPr>
              <w:spacing w:after="0"/>
            </w:pPr>
            <w:r>
              <w:rPr>
                <w:sz w:val="17"/>
              </w:rPr>
              <w:t>Group</w:t>
            </w:r>
          </w:p>
        </w:tc>
        <w:tc>
          <w:tcPr>
            <w:tcW w:type="dxa" w:w="7704"/>
            <w:tcMar>
              <w:top w:w="100" w:type="dxa"/>
              <w:start w:w="120" w:type="dxa"/>
              <w:bottom w:w="100" w:type="dxa"/>
              <w:end w:w="120" w:type="dxa"/>
            </w:tcMar>
          </w:tcPr>
          <w:p>
            <w:pPr>
              <w:spacing w:after="0"/>
            </w:pPr>
            <w:r>
              <w:rPr>
                <w:sz w:val="17"/>
              </w:rPr>
              <w:t>Provide mutual aid, skills, support, psychoeducation, interpersonal learning, or shared recovery.</w:t>
            </w:r>
          </w:p>
        </w:tc>
      </w:tr>
      <w:tr>
        <w:trPr>
          <w:cantSplit/>
        </w:trPr>
        <w:tc>
          <w:tcPr>
            <w:tcW w:type="dxa" w:w="2232"/>
            <w:tcMar>
              <w:top w:w="100" w:type="dxa"/>
              <w:start w:w="120" w:type="dxa"/>
              <w:bottom w:w="100" w:type="dxa"/>
              <w:end w:w="120" w:type="dxa"/>
            </w:tcMar>
            <w:shd w:fill="F7F8FA"/>
          </w:tcPr>
          <w:p>
            <w:pPr>
              <w:spacing w:after="0"/>
            </w:pPr>
            <w:r>
              <w:rPr>
                <w:sz w:val="17"/>
              </w:rPr>
              <w:t>Team / organization</w:t>
            </w:r>
          </w:p>
        </w:tc>
        <w:tc>
          <w:tcPr>
            <w:tcW w:type="dxa" w:w="7704"/>
            <w:tcMar>
              <w:top w:w="100" w:type="dxa"/>
              <w:start w:w="120" w:type="dxa"/>
              <w:bottom w:w="100" w:type="dxa"/>
              <w:end w:w="120" w:type="dxa"/>
            </w:tcMar>
            <w:shd w:fill="F7F8FA"/>
          </w:tcPr>
          <w:p>
            <w:pPr>
              <w:spacing w:after="0"/>
            </w:pPr>
            <w:r>
              <w:rPr>
                <w:sz w:val="17"/>
              </w:rPr>
              <w:t>Coordinate roles, plans, services, information, and accountability across providers.</w:t>
            </w:r>
          </w:p>
        </w:tc>
      </w:tr>
      <w:tr>
        <w:trPr>
          <w:cantSplit/>
        </w:trPr>
        <w:tc>
          <w:tcPr>
            <w:tcW w:type="dxa" w:w="2232"/>
            <w:tcMar>
              <w:top w:w="100" w:type="dxa"/>
              <w:start w:w="120" w:type="dxa"/>
              <w:bottom w:w="100" w:type="dxa"/>
              <w:end w:w="120" w:type="dxa"/>
            </w:tcMar>
          </w:tcPr>
          <w:p>
            <w:pPr>
              <w:spacing w:after="0"/>
            </w:pPr>
            <w:r>
              <w:rPr>
                <w:sz w:val="17"/>
              </w:rPr>
              <w:t>Community / policy</w:t>
            </w:r>
          </w:p>
        </w:tc>
        <w:tc>
          <w:tcPr>
            <w:tcW w:type="dxa" w:w="7704"/>
            <w:tcMar>
              <w:top w:w="100" w:type="dxa"/>
              <w:start w:w="120" w:type="dxa"/>
              <w:bottom w:w="100" w:type="dxa"/>
              <w:end w:w="120" w:type="dxa"/>
            </w:tcMar>
          </w:tcPr>
          <w:p>
            <w:pPr>
              <w:spacing w:after="0"/>
            </w:pPr>
            <w:r>
              <w:rPr>
                <w:sz w:val="17"/>
              </w:rPr>
              <w:t>Address access, participation, environmental barriers, collective needs, and structural conditions.</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Selection Rule</w:t>
            </w:r>
          </w:p>
          <w:p>
            <w:pPr>
              <w:spacing w:after="0"/>
            </w:pPr>
            <w:r>
              <w:t>Use the smallest sufficient level that addresses the actual problem, while adding broader systems when they maintain risk, access barriers, or functional impairment.</w:t>
            </w:r>
          </w:p>
        </w:tc>
      </w:tr>
    </w:tbl>
    <w:p>
      <w:pPr>
        <w:spacing w:after="0"/>
      </w:pPr>
    </w:p>
    <w:p>
      <w:pPr>
        <w:pStyle w:val="Heading1"/>
      </w:pPr>
      <w:r>
        <w:t>2. Family Assessment and Basic Needs</w:t>
      </w:r>
    </w:p>
    <w:p>
      <w:r>
        <w:rPr>
          <w:i w:val="0"/>
        </w:rPr>
        <w:t>Family conflict may coexist with housing instability, food insecurity, transportation problems, caregiving burden, illness, discrimination, or safety concerns. A family intervention should not reduce a resource crisis to a communication issue. The social worker assesses immediate needs, family roles, strengths, conflict patterns, cultural meaning, support, and service barriers, then sequences clinical and resource responses.</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Presentation</w:t>
            </w:r>
          </w:p>
        </w:tc>
        <w:tc>
          <w:tcPr>
            <w:tcW w:type="dxa" w:w="5040"/>
            <w:shd w:fill="17365D"/>
            <w:tcMar>
              <w:top w:w="100" w:type="dxa"/>
              <w:start w:w="120" w:type="dxa"/>
              <w:bottom w:w="100" w:type="dxa"/>
              <w:end w:w="120" w:type="dxa"/>
            </w:tcMar>
          </w:tcPr>
          <w:p>
            <w:pPr>
              <w:spacing w:after="0"/>
            </w:pPr>
            <w:r>
              <w:rPr>
                <w:b/>
                <w:color w:val="FFFFFF"/>
                <w:sz w:val="17"/>
              </w:rPr>
              <w:t>Priority Reasoning</w:t>
            </w:r>
          </w:p>
        </w:tc>
      </w:tr>
      <w:tr>
        <w:trPr>
          <w:cantSplit/>
        </w:trPr>
        <w:tc>
          <w:tcPr>
            <w:tcW w:type="dxa" w:w="3672"/>
            <w:tcMar>
              <w:top w:w="100" w:type="dxa"/>
              <w:start w:w="120" w:type="dxa"/>
              <w:bottom w:w="100" w:type="dxa"/>
              <w:end w:w="120" w:type="dxa"/>
            </w:tcMar>
          </w:tcPr>
          <w:p>
            <w:pPr>
              <w:spacing w:after="0"/>
            </w:pPr>
            <w:r>
              <w:rPr>
                <w:sz w:val="17"/>
              </w:rPr>
              <w:t>Family argues because utilities are being disconnected</w:t>
            </w:r>
          </w:p>
        </w:tc>
        <w:tc>
          <w:tcPr>
            <w:tcW w:type="dxa" w:w="6264"/>
            <w:tcMar>
              <w:top w:w="100" w:type="dxa"/>
              <w:start w:w="120" w:type="dxa"/>
              <w:bottom w:w="100" w:type="dxa"/>
              <w:end w:w="120" w:type="dxa"/>
            </w:tcMar>
          </w:tcPr>
          <w:p>
            <w:pPr>
              <w:spacing w:after="0"/>
            </w:pPr>
            <w:r>
              <w:rPr>
                <w:sz w:val="17"/>
              </w:rPr>
              <w:t>Address urgent resource needs while assessing conflict and coping.</w:t>
            </w:r>
          </w:p>
        </w:tc>
      </w:tr>
      <w:tr>
        <w:trPr>
          <w:cantSplit/>
        </w:trPr>
        <w:tc>
          <w:tcPr>
            <w:tcW w:type="dxa" w:w="3672"/>
            <w:tcMar>
              <w:top w:w="100" w:type="dxa"/>
              <w:start w:w="120" w:type="dxa"/>
              <w:bottom w:w="100" w:type="dxa"/>
              <w:end w:w="120" w:type="dxa"/>
            </w:tcMar>
            <w:shd w:fill="F7F8FA"/>
          </w:tcPr>
          <w:p>
            <w:pPr>
              <w:spacing w:after="0"/>
            </w:pPr>
            <w:r>
              <w:rPr>
                <w:sz w:val="17"/>
              </w:rPr>
              <w:t>Caregiver misses appointments because transportation is unreliable</w:t>
            </w:r>
          </w:p>
        </w:tc>
        <w:tc>
          <w:tcPr>
            <w:tcW w:type="dxa" w:w="6264"/>
            <w:tcMar>
              <w:top w:w="100" w:type="dxa"/>
              <w:start w:w="120" w:type="dxa"/>
              <w:bottom w:w="100" w:type="dxa"/>
              <w:end w:w="120" w:type="dxa"/>
            </w:tcMar>
            <w:shd w:fill="F7F8FA"/>
          </w:tcPr>
          <w:p>
            <w:pPr>
              <w:spacing w:after="0"/>
            </w:pPr>
            <w:r>
              <w:rPr>
                <w:sz w:val="17"/>
              </w:rPr>
              <w:t>Problem-solve access and coordinate support before labeling noncompliance.</w:t>
            </w:r>
          </w:p>
        </w:tc>
      </w:tr>
      <w:tr>
        <w:trPr>
          <w:cantSplit/>
        </w:trPr>
        <w:tc>
          <w:tcPr>
            <w:tcW w:type="dxa" w:w="3672"/>
            <w:tcMar>
              <w:top w:w="100" w:type="dxa"/>
              <w:start w:w="120" w:type="dxa"/>
              <w:bottom w:w="100" w:type="dxa"/>
              <w:end w:w="120" w:type="dxa"/>
            </w:tcMar>
          </w:tcPr>
          <w:p>
            <w:pPr>
              <w:spacing w:after="0"/>
            </w:pPr>
            <w:r>
              <w:rPr>
                <w:sz w:val="17"/>
              </w:rPr>
              <w:t>Adolescent symptoms intensify during parental conflict</w:t>
            </w:r>
          </w:p>
        </w:tc>
        <w:tc>
          <w:tcPr>
            <w:tcW w:type="dxa" w:w="6264"/>
            <w:tcMar>
              <w:top w:w="100" w:type="dxa"/>
              <w:start w:w="120" w:type="dxa"/>
              <w:bottom w:w="100" w:type="dxa"/>
              <w:end w:w="120" w:type="dxa"/>
            </w:tcMar>
          </w:tcPr>
          <w:p>
            <w:pPr>
              <w:spacing w:after="0"/>
            </w:pPr>
            <w:r>
              <w:rPr>
                <w:sz w:val="17"/>
              </w:rPr>
              <w:t>Assess safety, the adolescent’s needs, family dynamics, and whether family involvement is appropriate.</w:t>
            </w:r>
          </w:p>
        </w:tc>
      </w:tr>
      <w:tr>
        <w:trPr>
          <w:cantSplit/>
        </w:trPr>
        <w:tc>
          <w:tcPr>
            <w:tcW w:type="dxa" w:w="3672"/>
            <w:tcMar>
              <w:top w:w="100" w:type="dxa"/>
              <w:start w:w="120" w:type="dxa"/>
              <w:bottom w:w="100" w:type="dxa"/>
              <w:end w:w="120" w:type="dxa"/>
            </w:tcMar>
            <w:shd w:fill="F7F8FA"/>
          </w:tcPr>
          <w:p>
            <w:pPr>
              <w:spacing w:after="0"/>
            </w:pPr>
            <w:r>
              <w:rPr>
                <w:sz w:val="17"/>
              </w:rPr>
              <w:t>Family requests services but has limited English proficiency</w:t>
            </w:r>
          </w:p>
        </w:tc>
        <w:tc>
          <w:tcPr>
            <w:tcW w:type="dxa" w:w="6264"/>
            <w:tcMar>
              <w:top w:w="100" w:type="dxa"/>
              <w:start w:w="120" w:type="dxa"/>
              <w:bottom w:w="100" w:type="dxa"/>
              <w:end w:w="120" w:type="dxa"/>
            </w:tcMar>
            <w:shd w:fill="F7F8FA"/>
          </w:tcPr>
          <w:p>
            <w:pPr>
              <w:spacing w:after="0"/>
            </w:pPr>
            <w:r>
              <w:rPr>
                <w:sz w:val="17"/>
              </w:rPr>
              <w:t>Arrange qualified language access and confirm understanding and participation.</w:t>
            </w:r>
          </w:p>
        </w:tc>
      </w:tr>
    </w:tbl>
    <w:p>
      <w:pPr>
        <w:spacing w:after="0"/>
      </w:pPr>
    </w:p>
    <w:p>
      <w:pPr>
        <w:pStyle w:val="Heading1"/>
      </w:pPr>
      <w:r>
        <w:t>3. Client Choice About Family and Caregiver Involvement</w:t>
      </w:r>
    </w:p>
    <w:p>
      <w:r>
        <w:rPr>
          <w:i w:val="0"/>
        </w:rPr>
        <w:t>Family involvement can improve support, understanding, safety, adherence, and continuity, but it should not be assumed. The social worker asks the client whom they consider family, what involvement would be helpful, what information may be shared, and what risks or boundaries exist. Capacity, safety, law, organizational requirements, and the client’s age may modify the decision, but the reasoning should remain transparent and participatory.</w:t>
      </w:r>
    </w:p>
    <w:tbl>
      <w:tblPr>
        <w:tblStyle w:val="TableGrid"/>
        <w:tblW w:type="auto" w:w="0"/>
        <w:jc w:val="center"/>
        <w:tblLayout w:type="fixed"/>
        <w:tblLook w:firstColumn="1" w:firstRow="1" w:lastColumn="0" w:lastRow="0" w:noHBand="0" w:noVBand="1" w:val="04A0"/>
      </w:tblPr>
      <w:tblGrid>
        <w:gridCol w:w="3816"/>
        <w:gridCol w:w="612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Weak Response</w:t>
            </w:r>
          </w:p>
        </w:tc>
        <w:tc>
          <w:tcPr>
            <w:tcW w:type="dxa" w:w="5040"/>
            <w:shd w:fill="17365D"/>
            <w:tcMar>
              <w:top w:w="100" w:type="dxa"/>
              <w:start w:w="120" w:type="dxa"/>
              <w:bottom w:w="100" w:type="dxa"/>
              <w:end w:w="120" w:type="dxa"/>
            </w:tcMar>
          </w:tcPr>
          <w:p>
            <w:pPr>
              <w:spacing w:after="0"/>
            </w:pPr>
            <w:r>
              <w:rPr>
                <w:b/>
                <w:color w:val="FFFFFF"/>
                <w:sz w:val="17"/>
              </w:rPr>
              <w:t>Stronger Response</w:t>
            </w:r>
          </w:p>
        </w:tc>
      </w:tr>
      <w:tr>
        <w:trPr>
          <w:cantSplit/>
        </w:trPr>
        <w:tc>
          <w:tcPr>
            <w:tcW w:type="dxa" w:w="3816"/>
            <w:tcMar>
              <w:top w:w="100" w:type="dxa"/>
              <w:start w:w="120" w:type="dxa"/>
              <w:bottom w:w="100" w:type="dxa"/>
              <w:end w:w="120" w:type="dxa"/>
            </w:tcMar>
          </w:tcPr>
          <w:p>
            <w:pPr>
              <w:spacing w:after="0"/>
            </w:pPr>
            <w:r>
              <w:rPr>
                <w:sz w:val="17"/>
              </w:rPr>
              <w:t>Invite relatives automatically</w:t>
            </w:r>
          </w:p>
        </w:tc>
        <w:tc>
          <w:tcPr>
            <w:tcW w:type="dxa" w:w="6120"/>
            <w:tcMar>
              <w:top w:w="100" w:type="dxa"/>
              <w:start w:w="120" w:type="dxa"/>
              <w:bottom w:w="100" w:type="dxa"/>
              <w:end w:w="120" w:type="dxa"/>
            </w:tcMar>
          </w:tcPr>
          <w:p>
            <w:pPr>
              <w:spacing w:after="0"/>
            </w:pPr>
            <w:r>
              <w:rPr>
                <w:sz w:val="17"/>
              </w:rPr>
              <w:t>Ask the client whether and how involvement would help and obtain appropriate authorization.</w:t>
            </w:r>
          </w:p>
        </w:tc>
      </w:tr>
      <w:tr>
        <w:trPr>
          <w:cantSplit/>
        </w:trPr>
        <w:tc>
          <w:tcPr>
            <w:tcW w:type="dxa" w:w="3816"/>
            <w:tcMar>
              <w:top w:w="100" w:type="dxa"/>
              <w:start w:w="120" w:type="dxa"/>
              <w:bottom w:w="100" w:type="dxa"/>
              <w:end w:w="120" w:type="dxa"/>
            </w:tcMar>
            <w:shd w:fill="F7F8FA"/>
          </w:tcPr>
          <w:p>
            <w:pPr>
              <w:spacing w:after="0"/>
            </w:pPr>
            <w:r>
              <w:rPr>
                <w:sz w:val="17"/>
              </w:rPr>
              <w:t>Exclude family automatically to protect privacy</w:t>
            </w:r>
          </w:p>
        </w:tc>
        <w:tc>
          <w:tcPr>
            <w:tcW w:type="dxa" w:w="6120"/>
            <w:tcMar>
              <w:top w:w="100" w:type="dxa"/>
              <w:start w:w="120" w:type="dxa"/>
              <w:bottom w:w="100" w:type="dxa"/>
              <w:end w:w="120" w:type="dxa"/>
            </w:tcMar>
            <w:shd w:fill="F7F8FA"/>
          </w:tcPr>
          <w:p>
            <w:pPr>
              <w:spacing w:after="0"/>
            </w:pPr>
            <w:r>
              <w:rPr>
                <w:sz w:val="17"/>
              </w:rPr>
              <w:t>Clarify the client’s preferences, consent, safety, and the minimum relevant information.</w:t>
            </w:r>
          </w:p>
        </w:tc>
      </w:tr>
      <w:tr>
        <w:trPr>
          <w:cantSplit/>
        </w:trPr>
        <w:tc>
          <w:tcPr>
            <w:tcW w:type="dxa" w:w="3816"/>
            <w:tcMar>
              <w:top w:w="100" w:type="dxa"/>
              <w:start w:w="120" w:type="dxa"/>
              <w:bottom w:w="100" w:type="dxa"/>
              <w:end w:w="120" w:type="dxa"/>
            </w:tcMar>
          </w:tcPr>
          <w:p>
            <w:pPr>
              <w:spacing w:after="0"/>
            </w:pPr>
            <w:r>
              <w:rPr>
                <w:sz w:val="17"/>
              </w:rPr>
              <w:t>Let family members make all decisions for a capable adult</w:t>
            </w:r>
          </w:p>
        </w:tc>
        <w:tc>
          <w:tcPr>
            <w:tcW w:type="dxa" w:w="6120"/>
            <w:tcMar>
              <w:top w:w="100" w:type="dxa"/>
              <w:start w:w="120" w:type="dxa"/>
              <w:bottom w:w="100" w:type="dxa"/>
              <w:end w:w="120" w:type="dxa"/>
            </w:tcMar>
          </w:tcPr>
          <w:p>
            <w:pPr>
              <w:spacing w:after="0"/>
            </w:pPr>
            <w:r>
              <w:rPr>
                <w:sz w:val="17"/>
              </w:rPr>
              <w:t>Support the client’s self-determination and clarify supportive roles.</w:t>
            </w:r>
          </w:p>
        </w:tc>
      </w:tr>
      <w:tr>
        <w:trPr>
          <w:cantSplit/>
        </w:trPr>
        <w:tc>
          <w:tcPr>
            <w:tcW w:type="dxa" w:w="3816"/>
            <w:tcMar>
              <w:top w:w="100" w:type="dxa"/>
              <w:start w:w="120" w:type="dxa"/>
              <w:bottom w:w="100" w:type="dxa"/>
              <w:end w:w="120" w:type="dxa"/>
            </w:tcMar>
            <w:shd w:fill="F7F8FA"/>
          </w:tcPr>
          <w:p>
            <w:pPr>
              <w:spacing w:after="0"/>
            </w:pPr>
            <w:r>
              <w:rPr>
                <w:sz w:val="17"/>
              </w:rPr>
              <w:t>Assume legal or biological relatives are the only family</w:t>
            </w:r>
          </w:p>
        </w:tc>
        <w:tc>
          <w:tcPr>
            <w:tcW w:type="dxa" w:w="6120"/>
            <w:tcMar>
              <w:top w:w="100" w:type="dxa"/>
              <w:start w:w="120" w:type="dxa"/>
              <w:bottom w:w="100" w:type="dxa"/>
              <w:end w:w="120" w:type="dxa"/>
            </w:tcMar>
            <w:shd w:fill="F7F8FA"/>
          </w:tcPr>
          <w:p>
            <w:pPr>
              <w:spacing w:after="0"/>
            </w:pPr>
            <w:r>
              <w:rPr>
                <w:sz w:val="17"/>
              </w:rPr>
              <w:t>Ask how the client defines family, support, and community.</w:t>
            </w:r>
          </w:p>
        </w:tc>
      </w:tr>
    </w:tbl>
    <w:p>
      <w:pPr>
        <w:spacing w:after="0"/>
      </w:pPr>
    </w:p>
    <w:p>
      <w:pPr>
        <w:pStyle w:val="Heading1"/>
      </w:pPr>
      <w:r>
        <w:t>4. Parenting, Caregiving, and Family Intervention</w:t>
      </w:r>
    </w:p>
    <w:p>
      <w:r>
        <w:rPr>
          <w:i w:val="0"/>
        </w:rPr>
        <w:t>Parenting and caregiving interventions may include psychoeducation, modeling, rehearsal, consistent routines, reinforcement, emotion coaching, developmentally appropriate expectations, respite, role negotiation, support mobilization, and service coordination. The social worker assesses caregiver capacity, stress, culture, disability, health, resources, and safety rather than assuming a skill deficit is the only issue.</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Need</w:t>
            </w:r>
          </w:p>
        </w:tc>
        <w:tc>
          <w:tcPr>
            <w:tcW w:type="dxa" w:w="5040"/>
            <w:shd w:fill="17365D"/>
            <w:tcMar>
              <w:top w:w="100" w:type="dxa"/>
              <w:start w:w="120" w:type="dxa"/>
              <w:bottom w:w="100" w:type="dxa"/>
              <w:end w:w="120" w:type="dxa"/>
            </w:tcMar>
          </w:tcPr>
          <w:p>
            <w:pPr>
              <w:spacing w:after="0"/>
            </w:pPr>
            <w:r>
              <w:rPr>
                <w:b/>
                <w:color w:val="FFFFFF"/>
                <w:sz w:val="17"/>
              </w:rPr>
              <w:t>Potential Response</w:t>
            </w:r>
          </w:p>
        </w:tc>
      </w:tr>
      <w:tr>
        <w:trPr>
          <w:cantSplit/>
        </w:trPr>
        <w:tc>
          <w:tcPr>
            <w:tcW w:type="dxa" w:w="3672"/>
            <w:tcMar>
              <w:top w:w="100" w:type="dxa"/>
              <w:start w:w="120" w:type="dxa"/>
              <w:bottom w:w="100" w:type="dxa"/>
              <w:end w:w="120" w:type="dxa"/>
            </w:tcMar>
          </w:tcPr>
          <w:p>
            <w:pPr>
              <w:spacing w:after="0"/>
            </w:pPr>
            <w:r>
              <w:rPr>
                <w:sz w:val="17"/>
              </w:rPr>
              <w:t>Caregiver cannot interpret a child’s trauma-related behavior</w:t>
            </w:r>
          </w:p>
        </w:tc>
        <w:tc>
          <w:tcPr>
            <w:tcW w:type="dxa" w:w="6264"/>
            <w:tcMar>
              <w:top w:w="100" w:type="dxa"/>
              <w:start w:w="120" w:type="dxa"/>
              <w:bottom w:w="100" w:type="dxa"/>
              <w:end w:w="120" w:type="dxa"/>
            </w:tcMar>
          </w:tcPr>
          <w:p>
            <w:pPr>
              <w:spacing w:after="0"/>
            </w:pPr>
            <w:r>
              <w:rPr>
                <w:sz w:val="17"/>
              </w:rPr>
              <w:t>Provide developmentally and trauma-informed psychoeducation and practice predictable responses.</w:t>
            </w:r>
          </w:p>
        </w:tc>
      </w:tr>
      <w:tr>
        <w:trPr>
          <w:cantSplit/>
        </w:trPr>
        <w:tc>
          <w:tcPr>
            <w:tcW w:type="dxa" w:w="3672"/>
            <w:tcMar>
              <w:top w:w="100" w:type="dxa"/>
              <w:start w:w="120" w:type="dxa"/>
              <w:bottom w:w="100" w:type="dxa"/>
              <w:end w:w="120" w:type="dxa"/>
            </w:tcMar>
            <w:shd w:fill="F7F8FA"/>
          </w:tcPr>
          <w:p>
            <w:pPr>
              <w:spacing w:after="0"/>
            </w:pPr>
            <w:r>
              <w:rPr>
                <w:sz w:val="17"/>
              </w:rPr>
              <w:t>Parents disagree about rules and undermine one another</w:t>
            </w:r>
          </w:p>
        </w:tc>
        <w:tc>
          <w:tcPr>
            <w:tcW w:type="dxa" w:w="6264"/>
            <w:tcMar>
              <w:top w:w="100" w:type="dxa"/>
              <w:start w:w="120" w:type="dxa"/>
              <w:bottom w:w="100" w:type="dxa"/>
              <w:end w:w="120" w:type="dxa"/>
            </w:tcMar>
            <w:shd w:fill="F7F8FA"/>
          </w:tcPr>
          <w:p>
            <w:pPr>
              <w:spacing w:after="0"/>
            </w:pPr>
            <w:r>
              <w:rPr>
                <w:sz w:val="17"/>
              </w:rPr>
              <w:t>Clarify shared goals, roles, communication, and consistent responses without recruiting the child into the dispute.</w:t>
            </w:r>
          </w:p>
        </w:tc>
      </w:tr>
      <w:tr>
        <w:trPr>
          <w:cantSplit/>
        </w:trPr>
        <w:tc>
          <w:tcPr>
            <w:tcW w:type="dxa" w:w="3672"/>
            <w:tcMar>
              <w:top w:w="100" w:type="dxa"/>
              <w:start w:w="120" w:type="dxa"/>
              <w:bottom w:w="100" w:type="dxa"/>
              <w:end w:w="120" w:type="dxa"/>
            </w:tcMar>
          </w:tcPr>
          <w:p>
            <w:pPr>
              <w:spacing w:after="0"/>
            </w:pPr>
            <w:r>
              <w:rPr>
                <w:sz w:val="17"/>
              </w:rPr>
              <w:t>Caregiver is exhausted and isolated</w:t>
            </w:r>
          </w:p>
        </w:tc>
        <w:tc>
          <w:tcPr>
            <w:tcW w:type="dxa" w:w="6264"/>
            <w:tcMar>
              <w:top w:w="100" w:type="dxa"/>
              <w:start w:w="120" w:type="dxa"/>
              <w:bottom w:w="100" w:type="dxa"/>
              <w:end w:w="120" w:type="dxa"/>
            </w:tcMar>
          </w:tcPr>
          <w:p>
            <w:pPr>
              <w:spacing w:after="0"/>
            </w:pPr>
            <w:r>
              <w:rPr>
                <w:sz w:val="17"/>
              </w:rPr>
              <w:t>Assess burden, health, respite, financial and practical supports, and family role distribution.</w:t>
            </w:r>
          </w:p>
        </w:tc>
      </w:tr>
      <w:tr>
        <w:trPr>
          <w:cantSplit/>
        </w:trPr>
        <w:tc>
          <w:tcPr>
            <w:tcW w:type="dxa" w:w="3672"/>
            <w:tcMar>
              <w:top w:w="100" w:type="dxa"/>
              <w:start w:w="120" w:type="dxa"/>
              <w:bottom w:w="100" w:type="dxa"/>
              <w:end w:w="120" w:type="dxa"/>
            </w:tcMar>
            <w:shd w:fill="F7F8FA"/>
          </w:tcPr>
          <w:p>
            <w:pPr>
              <w:spacing w:after="0"/>
            </w:pPr>
            <w:r>
              <w:rPr>
                <w:sz w:val="17"/>
              </w:rPr>
              <w:t>Parenting plan is culturally mismatched or inaccessible</w:t>
            </w:r>
          </w:p>
        </w:tc>
        <w:tc>
          <w:tcPr>
            <w:tcW w:type="dxa" w:w="6264"/>
            <w:tcMar>
              <w:top w:w="100" w:type="dxa"/>
              <w:start w:w="120" w:type="dxa"/>
              <w:bottom w:w="100" w:type="dxa"/>
              <w:end w:w="120" w:type="dxa"/>
            </w:tcMar>
            <w:shd w:fill="F7F8FA"/>
          </w:tcPr>
          <w:p>
            <w:pPr>
              <w:spacing w:after="0"/>
            </w:pPr>
            <w:r>
              <w:rPr>
                <w:sz w:val="17"/>
              </w:rPr>
              <w:t>Explore values, strengths, language, disability access, feasibility, and collaborative adaptation.</w:t>
            </w:r>
          </w:p>
        </w:tc>
      </w:tr>
    </w:tbl>
    <w:p>
      <w:pPr>
        <w:spacing w:after="0"/>
      </w:pPr>
    </w:p>
    <w:p>
      <w:pPr>
        <w:pStyle w:val="Heading1"/>
      </w:pPr>
      <w:r>
        <w:t>5. Couple and Family Safety</w:t>
      </w:r>
    </w:p>
    <w:p>
      <w:r>
        <w:rPr>
          <w:i w:val="0"/>
        </w:rPr>
        <w:t>Conjoint work is not automatically appropriate because a problem occurs in a relationship. Threats, coercive control, violence, unsafe disclosure, severe instability, incompatible goals, or fear of retaliation may require separate assessment, safety planning, consultation, referral, or a different treatment format. Communication training should not precede assessment of danger and power.</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Safety Rule</w:t>
            </w:r>
          </w:p>
          <w:p>
            <w:pPr>
              <w:spacing w:after="0"/>
            </w:pPr>
            <w:r>
              <w:t>Assess safety and voluntariness before asking clients to confront one another, disclose sensitive information, or practice communication together.</w:t>
            </w:r>
          </w:p>
        </w:tc>
      </w:tr>
    </w:tbl>
    <w:p>
      <w:pPr>
        <w:spacing w:after="0"/>
      </w:pPr>
    </w:p>
    <w:p>
      <w:pPr>
        <w:pStyle w:val="Heading1"/>
      </w:pPr>
      <w:r>
        <w:t>6. Group Screening and Fit</w:t>
      </w:r>
    </w:p>
    <w:p>
      <w:r>
        <w:rPr>
          <w:i w:val="0"/>
        </w:rPr>
        <w:t>Group selection requires a defined purpose and screening for goals, readiness, risk, expectations, participation capacity, interpersonal style, cognitive or communication needs, and the group’s composition and stage. A group that is evidence informed can still be poorly matched if the client cannot access it, does not understand its purpose, or requires a different level of care.</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Screening Area</w:t>
            </w:r>
          </w:p>
        </w:tc>
        <w:tc>
          <w:tcPr>
            <w:tcW w:type="dxa" w:w="5040"/>
            <w:shd w:fill="17365D"/>
            <w:tcMar>
              <w:top w:w="100" w:type="dxa"/>
              <w:start w:w="120" w:type="dxa"/>
              <w:bottom w:w="100" w:type="dxa"/>
              <w:end w:w="120" w:type="dxa"/>
            </w:tcMar>
          </w:tcPr>
          <w:p>
            <w:pPr>
              <w:spacing w:after="0"/>
            </w:pPr>
            <w:r>
              <w:rPr>
                <w:b/>
                <w:color w:val="FFFFFF"/>
                <w:sz w:val="17"/>
              </w:rPr>
              <w:t>Questions</w:t>
            </w:r>
          </w:p>
        </w:tc>
      </w:tr>
      <w:tr>
        <w:trPr>
          <w:cantSplit/>
        </w:trPr>
        <w:tc>
          <w:tcPr>
            <w:tcW w:type="dxa" w:w="2376"/>
            <w:tcMar>
              <w:top w:w="100" w:type="dxa"/>
              <w:start w:w="120" w:type="dxa"/>
              <w:bottom w:w="100" w:type="dxa"/>
              <w:end w:w="120" w:type="dxa"/>
            </w:tcMar>
          </w:tcPr>
          <w:p>
            <w:pPr>
              <w:spacing w:after="0"/>
            </w:pPr>
            <w:r>
              <w:rPr>
                <w:sz w:val="17"/>
              </w:rPr>
              <w:t>Purpose</w:t>
            </w:r>
          </w:p>
        </w:tc>
        <w:tc>
          <w:tcPr>
            <w:tcW w:type="dxa" w:w="7560"/>
            <w:tcMar>
              <w:top w:w="100" w:type="dxa"/>
              <w:start w:w="120" w:type="dxa"/>
              <w:bottom w:w="100" w:type="dxa"/>
              <w:end w:w="120" w:type="dxa"/>
            </w:tcMar>
          </w:tcPr>
          <w:p>
            <w:pPr>
              <w:spacing w:after="0"/>
            </w:pPr>
            <w:r>
              <w:rPr>
                <w:sz w:val="17"/>
              </w:rPr>
              <w:t>What change, support, skill, or mutual-aid function is the group designed to provide?</w:t>
            </w:r>
          </w:p>
        </w:tc>
      </w:tr>
      <w:tr>
        <w:trPr>
          <w:cantSplit/>
        </w:trPr>
        <w:tc>
          <w:tcPr>
            <w:tcW w:type="dxa" w:w="2376"/>
            <w:tcMar>
              <w:top w:w="100" w:type="dxa"/>
              <w:start w:w="120" w:type="dxa"/>
              <w:bottom w:w="100" w:type="dxa"/>
              <w:end w:w="120" w:type="dxa"/>
            </w:tcMar>
            <w:shd w:fill="F7F8FA"/>
          </w:tcPr>
          <w:p>
            <w:pPr>
              <w:spacing w:after="0"/>
            </w:pPr>
            <w:r>
              <w:rPr>
                <w:sz w:val="17"/>
              </w:rPr>
              <w:t>Readiness and expectations</w:t>
            </w:r>
          </w:p>
        </w:tc>
        <w:tc>
          <w:tcPr>
            <w:tcW w:type="dxa" w:w="7560"/>
            <w:tcMar>
              <w:top w:w="100" w:type="dxa"/>
              <w:start w:w="120" w:type="dxa"/>
              <w:bottom w:w="100" w:type="dxa"/>
              <w:end w:w="120" w:type="dxa"/>
            </w:tcMar>
            <w:shd w:fill="F7F8FA"/>
          </w:tcPr>
          <w:p>
            <w:pPr>
              <w:spacing w:after="0"/>
            </w:pPr>
            <w:r>
              <w:rPr>
                <w:sz w:val="17"/>
              </w:rPr>
              <w:t>What does the client expect, fear, or hope will happen?</w:t>
            </w:r>
          </w:p>
        </w:tc>
      </w:tr>
      <w:tr>
        <w:trPr>
          <w:cantSplit/>
        </w:trPr>
        <w:tc>
          <w:tcPr>
            <w:tcW w:type="dxa" w:w="2376"/>
            <w:tcMar>
              <w:top w:w="100" w:type="dxa"/>
              <w:start w:w="120" w:type="dxa"/>
              <w:bottom w:w="100" w:type="dxa"/>
              <w:end w:w="120" w:type="dxa"/>
            </w:tcMar>
          </w:tcPr>
          <w:p>
            <w:pPr>
              <w:spacing w:after="0"/>
            </w:pPr>
            <w:r>
              <w:rPr>
                <w:sz w:val="17"/>
              </w:rPr>
              <w:t>Risk and stability</w:t>
            </w:r>
          </w:p>
        </w:tc>
        <w:tc>
          <w:tcPr>
            <w:tcW w:type="dxa" w:w="7560"/>
            <w:tcMar>
              <w:top w:w="100" w:type="dxa"/>
              <w:start w:w="120" w:type="dxa"/>
              <w:bottom w:w="100" w:type="dxa"/>
              <w:end w:w="120" w:type="dxa"/>
            </w:tcMar>
          </w:tcPr>
          <w:p>
            <w:pPr>
              <w:spacing w:after="0"/>
            </w:pPr>
            <w:r>
              <w:rPr>
                <w:sz w:val="17"/>
              </w:rPr>
              <w:t>Can the client participate safely at the current level of care?</w:t>
            </w:r>
          </w:p>
        </w:tc>
      </w:tr>
      <w:tr>
        <w:trPr>
          <w:cantSplit/>
        </w:trPr>
        <w:tc>
          <w:tcPr>
            <w:tcW w:type="dxa" w:w="2376"/>
            <w:tcMar>
              <w:top w:w="100" w:type="dxa"/>
              <w:start w:w="120" w:type="dxa"/>
              <w:bottom w:w="100" w:type="dxa"/>
              <w:end w:w="120" w:type="dxa"/>
            </w:tcMar>
            <w:shd w:fill="F7F8FA"/>
          </w:tcPr>
          <w:p>
            <w:pPr>
              <w:spacing w:after="0"/>
            </w:pPr>
            <w:r>
              <w:rPr>
                <w:sz w:val="17"/>
              </w:rPr>
              <w:t>Access</w:t>
            </w:r>
          </w:p>
        </w:tc>
        <w:tc>
          <w:tcPr>
            <w:tcW w:type="dxa" w:w="7560"/>
            <w:tcMar>
              <w:top w:w="100" w:type="dxa"/>
              <w:start w:w="120" w:type="dxa"/>
              <w:bottom w:w="100" w:type="dxa"/>
              <w:end w:w="120" w:type="dxa"/>
            </w:tcMar>
            <w:shd w:fill="F7F8FA"/>
          </w:tcPr>
          <w:p>
            <w:pPr>
              <w:spacing w:after="0"/>
            </w:pPr>
            <w:r>
              <w:rPr>
                <w:sz w:val="17"/>
              </w:rPr>
              <w:t>Are time, transportation, technology, language, disability access, cost, and childcare workable?</w:t>
            </w:r>
          </w:p>
        </w:tc>
      </w:tr>
      <w:tr>
        <w:trPr>
          <w:cantSplit/>
        </w:trPr>
        <w:tc>
          <w:tcPr>
            <w:tcW w:type="dxa" w:w="2376"/>
            <w:tcMar>
              <w:top w:w="100" w:type="dxa"/>
              <w:start w:w="120" w:type="dxa"/>
              <w:bottom w:w="100" w:type="dxa"/>
              <w:end w:w="120" w:type="dxa"/>
            </w:tcMar>
          </w:tcPr>
          <w:p>
            <w:pPr>
              <w:spacing w:after="0"/>
            </w:pPr>
            <w:r>
              <w:rPr>
                <w:sz w:val="17"/>
              </w:rPr>
              <w:t>Composition and stage</w:t>
            </w:r>
          </w:p>
        </w:tc>
        <w:tc>
          <w:tcPr>
            <w:tcW w:type="dxa" w:w="7560"/>
            <w:tcMar>
              <w:top w:w="100" w:type="dxa"/>
              <w:start w:w="120" w:type="dxa"/>
              <w:bottom w:w="100" w:type="dxa"/>
              <w:end w:w="120" w:type="dxa"/>
            </w:tcMar>
          </w:tcPr>
          <w:p>
            <w:pPr>
              <w:spacing w:after="0"/>
            </w:pPr>
            <w:r>
              <w:rPr>
                <w:sz w:val="17"/>
              </w:rPr>
              <w:t>How might this member affect and be affected by the existing group?</w:t>
            </w:r>
          </w:p>
        </w:tc>
      </w:tr>
    </w:tbl>
    <w:p>
      <w:pPr>
        <w:spacing w:after="0"/>
      </w:pPr>
    </w:p>
    <w:p>
      <w:pPr>
        <w:pStyle w:val="Heading1"/>
      </w:pPr>
      <w:r>
        <w:t>7. Group Process and Facilitation</w:t>
      </w:r>
    </w:p>
    <w:p>
      <w:r>
        <w:rPr>
          <w:i w:val="0"/>
        </w:rPr>
        <w:t>The facilitator establishes purpose and norms, protects psychological and physical safety, encourages participation, uses the here-and-now process, attends to cohesion and conflict, and prepares for termination. The social worker does not shame a member, ignore behavior that silences others, or allow one person to dominate under the assumption that the group must solve everything without facilitation.</w:t>
      </w:r>
    </w:p>
    <w:tbl>
      <w:tblPr>
        <w:tblStyle w:val="TableGrid"/>
        <w:tblW w:type="auto" w:w="0"/>
        <w:jc w:val="center"/>
        <w:tblLayout w:type="fixed"/>
        <w:tblLook w:firstColumn="1" w:firstRow="1" w:lastColumn="0" w:lastRow="0" w:noHBand="0" w:noVBand="1" w:val="04A0"/>
      </w:tblPr>
      <w:tblGrid>
        <w:gridCol w:w="3528"/>
        <w:gridCol w:w="6408"/>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Group Event</w:t>
            </w:r>
          </w:p>
        </w:tc>
        <w:tc>
          <w:tcPr>
            <w:tcW w:type="dxa" w:w="5040"/>
            <w:shd w:fill="17365D"/>
            <w:tcMar>
              <w:top w:w="100" w:type="dxa"/>
              <w:start w:w="120" w:type="dxa"/>
              <w:bottom w:w="100" w:type="dxa"/>
              <w:end w:w="120" w:type="dxa"/>
            </w:tcMar>
          </w:tcPr>
          <w:p>
            <w:pPr>
              <w:spacing w:after="0"/>
            </w:pPr>
            <w:r>
              <w:rPr>
                <w:b/>
                <w:color w:val="FFFFFF"/>
                <w:sz w:val="17"/>
              </w:rPr>
              <w:t>Facilitator Response</w:t>
            </w:r>
          </w:p>
        </w:tc>
      </w:tr>
      <w:tr>
        <w:trPr>
          <w:cantSplit/>
        </w:trPr>
        <w:tc>
          <w:tcPr>
            <w:tcW w:type="dxa" w:w="3528"/>
            <w:tcMar>
              <w:top w:w="100" w:type="dxa"/>
              <w:start w:w="120" w:type="dxa"/>
              <w:bottom w:w="100" w:type="dxa"/>
              <w:end w:w="120" w:type="dxa"/>
            </w:tcMar>
          </w:tcPr>
          <w:p>
            <w:pPr>
              <w:spacing w:after="0"/>
            </w:pPr>
            <w:r>
              <w:rPr>
                <w:sz w:val="17"/>
              </w:rPr>
              <w:t>One member repeatedly interrupts</w:t>
            </w:r>
          </w:p>
        </w:tc>
        <w:tc>
          <w:tcPr>
            <w:tcW w:type="dxa" w:w="6408"/>
            <w:tcMar>
              <w:top w:w="100" w:type="dxa"/>
              <w:start w:w="120" w:type="dxa"/>
              <w:bottom w:w="100" w:type="dxa"/>
              <w:end w:w="120" w:type="dxa"/>
            </w:tcMar>
          </w:tcPr>
          <w:p>
            <w:pPr>
              <w:spacing w:after="0"/>
            </w:pPr>
            <w:r>
              <w:rPr>
                <w:sz w:val="17"/>
              </w:rPr>
              <w:t>Acknowledge the contribution, redirect, connect the pattern to norms, and invite others.</w:t>
            </w:r>
          </w:p>
        </w:tc>
      </w:tr>
      <w:tr>
        <w:trPr>
          <w:cantSplit/>
        </w:trPr>
        <w:tc>
          <w:tcPr>
            <w:tcW w:type="dxa" w:w="3528"/>
            <w:tcMar>
              <w:top w:w="100" w:type="dxa"/>
              <w:start w:w="120" w:type="dxa"/>
              <w:bottom w:w="100" w:type="dxa"/>
              <w:end w:w="120" w:type="dxa"/>
            </w:tcMar>
            <w:shd w:fill="F7F8FA"/>
          </w:tcPr>
          <w:p>
            <w:pPr>
              <w:spacing w:after="0"/>
            </w:pPr>
            <w:r>
              <w:rPr>
                <w:sz w:val="17"/>
              </w:rPr>
              <w:t>Members avoid discussing conflict</w:t>
            </w:r>
          </w:p>
        </w:tc>
        <w:tc>
          <w:tcPr>
            <w:tcW w:type="dxa" w:w="6408"/>
            <w:tcMar>
              <w:top w:w="100" w:type="dxa"/>
              <w:start w:w="120" w:type="dxa"/>
              <w:bottom w:w="100" w:type="dxa"/>
              <w:end w:w="120" w:type="dxa"/>
            </w:tcMar>
            <w:shd w:fill="F7F8FA"/>
          </w:tcPr>
          <w:p>
            <w:pPr>
              <w:spacing w:after="0"/>
            </w:pPr>
            <w:r>
              <w:rPr>
                <w:sz w:val="17"/>
              </w:rPr>
              <w:t>Name the process tentatively, normalize discomfort, and invite safe exploration.</w:t>
            </w:r>
          </w:p>
        </w:tc>
      </w:tr>
      <w:tr>
        <w:trPr>
          <w:cantSplit/>
        </w:trPr>
        <w:tc>
          <w:tcPr>
            <w:tcW w:type="dxa" w:w="3528"/>
            <w:tcMar>
              <w:top w:w="100" w:type="dxa"/>
              <w:start w:w="120" w:type="dxa"/>
              <w:bottom w:w="100" w:type="dxa"/>
              <w:end w:w="120" w:type="dxa"/>
            </w:tcMar>
          </w:tcPr>
          <w:p>
            <w:pPr>
              <w:spacing w:after="0"/>
            </w:pPr>
            <w:r>
              <w:rPr>
                <w:sz w:val="17"/>
              </w:rPr>
              <w:t>A member discloses acute risk</w:t>
            </w:r>
          </w:p>
        </w:tc>
        <w:tc>
          <w:tcPr>
            <w:tcW w:type="dxa" w:w="6408"/>
            <w:tcMar>
              <w:top w:w="100" w:type="dxa"/>
              <w:start w:w="120" w:type="dxa"/>
              <w:bottom w:w="100" w:type="dxa"/>
              <w:end w:w="120" w:type="dxa"/>
            </w:tcMar>
          </w:tcPr>
          <w:p>
            <w:pPr>
              <w:spacing w:after="0"/>
            </w:pPr>
            <w:r>
              <w:rPr>
                <w:sz w:val="17"/>
              </w:rPr>
              <w:t>Shift to appropriate risk assessment and safety response rather than continuing routine process.</w:t>
            </w:r>
          </w:p>
        </w:tc>
      </w:tr>
      <w:tr>
        <w:trPr>
          <w:cantSplit/>
        </w:trPr>
        <w:tc>
          <w:tcPr>
            <w:tcW w:type="dxa" w:w="3528"/>
            <w:tcMar>
              <w:top w:w="100" w:type="dxa"/>
              <w:start w:w="120" w:type="dxa"/>
              <w:bottom w:w="100" w:type="dxa"/>
              <w:end w:w="120" w:type="dxa"/>
            </w:tcMar>
            <w:shd w:fill="F7F8FA"/>
          </w:tcPr>
          <w:p>
            <w:pPr>
              <w:spacing w:after="0"/>
            </w:pPr>
            <w:r>
              <w:rPr>
                <w:sz w:val="17"/>
              </w:rPr>
              <w:t>Termination approaches</w:t>
            </w:r>
          </w:p>
        </w:tc>
        <w:tc>
          <w:tcPr>
            <w:tcW w:type="dxa" w:w="6408"/>
            <w:tcMar>
              <w:top w:w="100" w:type="dxa"/>
              <w:start w:w="120" w:type="dxa"/>
              <w:bottom w:w="100" w:type="dxa"/>
              <w:end w:w="120" w:type="dxa"/>
            </w:tcMar>
            <w:shd w:fill="F7F8FA"/>
          </w:tcPr>
          <w:p>
            <w:pPr>
              <w:spacing w:after="0"/>
            </w:pPr>
            <w:r>
              <w:rPr>
                <w:sz w:val="17"/>
              </w:rPr>
              <w:t>Review progress, loss and separation reactions, future supports, and continuity.</w:t>
            </w:r>
          </w:p>
        </w:tc>
      </w:tr>
    </w:tbl>
    <w:p>
      <w:pPr>
        <w:spacing w:after="0"/>
      </w:pPr>
    </w:p>
    <w:p>
      <w:pPr>
        <w:pStyle w:val="Heading1"/>
      </w:pPr>
      <w:r>
        <w:t>8. Referral Matching and Accessible Warm Handoffs</w:t>
      </w:r>
    </w:p>
    <w:p>
      <w:r>
        <w:rPr>
          <w:i w:val="0"/>
        </w:rPr>
        <w:t>A referral is a clinical and service-delivery intervention, not merely a list of phone numbers. The social worker clarifies the need, identifies a service with the required competence and level of care, checks eligibility and accessibility, discusses options with the client, obtains necessary authorization, coordinates the handoff, and confirms whether contact and entry occurred.</w:t>
      </w:r>
    </w:p>
    <w:tbl>
      <w:tblPr>
        <w:tblStyle w:val="TableGrid"/>
        <w:tblW w:type="auto" w:w="0"/>
        <w:jc w:val="center"/>
        <w:tblLayout w:type="fixed"/>
        <w:tblLook w:firstColumn="1" w:firstRow="1" w:lastColumn="0" w:lastRow="0" w:noHBand="0" w:noVBand="1" w:val="04A0"/>
      </w:tblPr>
      <w:tblGrid>
        <w:gridCol w:w="2232"/>
        <w:gridCol w:w="770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Referral Element</w:t>
            </w:r>
          </w:p>
        </w:tc>
        <w:tc>
          <w:tcPr>
            <w:tcW w:type="dxa" w:w="5040"/>
            <w:shd w:fill="17365D"/>
            <w:tcMar>
              <w:top w:w="100" w:type="dxa"/>
              <w:start w:w="120" w:type="dxa"/>
              <w:bottom w:w="100" w:type="dxa"/>
              <w:end w:w="120" w:type="dxa"/>
            </w:tcMar>
          </w:tcPr>
          <w:p>
            <w:pPr>
              <w:spacing w:after="0"/>
            </w:pPr>
            <w:r>
              <w:rPr>
                <w:b/>
                <w:color w:val="FFFFFF"/>
                <w:sz w:val="17"/>
              </w:rPr>
              <w:t>Exam-Relevant Question</w:t>
            </w:r>
          </w:p>
        </w:tc>
      </w:tr>
      <w:tr>
        <w:trPr>
          <w:cantSplit/>
        </w:trPr>
        <w:tc>
          <w:tcPr>
            <w:tcW w:type="dxa" w:w="2232"/>
            <w:tcMar>
              <w:top w:w="100" w:type="dxa"/>
              <w:start w:w="120" w:type="dxa"/>
              <w:bottom w:w="100" w:type="dxa"/>
              <w:end w:w="120" w:type="dxa"/>
            </w:tcMar>
          </w:tcPr>
          <w:p>
            <w:pPr>
              <w:spacing w:after="0"/>
            </w:pPr>
            <w:r>
              <w:rPr>
                <w:sz w:val="17"/>
              </w:rPr>
              <w:t>Need and level</w:t>
            </w:r>
          </w:p>
        </w:tc>
        <w:tc>
          <w:tcPr>
            <w:tcW w:type="dxa" w:w="7704"/>
            <w:tcMar>
              <w:top w:w="100" w:type="dxa"/>
              <w:start w:w="120" w:type="dxa"/>
              <w:bottom w:w="100" w:type="dxa"/>
              <w:end w:w="120" w:type="dxa"/>
            </w:tcMar>
          </w:tcPr>
          <w:p>
            <w:pPr>
              <w:spacing w:after="0"/>
            </w:pPr>
            <w:r>
              <w:rPr>
                <w:sz w:val="17"/>
              </w:rPr>
              <w:t>What service function and intensity are required?</w:t>
            </w:r>
          </w:p>
        </w:tc>
      </w:tr>
      <w:tr>
        <w:trPr>
          <w:cantSplit/>
        </w:trPr>
        <w:tc>
          <w:tcPr>
            <w:tcW w:type="dxa" w:w="2232"/>
            <w:tcMar>
              <w:top w:w="100" w:type="dxa"/>
              <w:start w:w="120" w:type="dxa"/>
              <w:bottom w:w="100" w:type="dxa"/>
              <w:end w:w="120" w:type="dxa"/>
            </w:tcMar>
            <w:shd w:fill="F7F8FA"/>
          </w:tcPr>
          <w:p>
            <w:pPr>
              <w:spacing w:after="0"/>
            </w:pPr>
            <w:r>
              <w:rPr>
                <w:sz w:val="17"/>
              </w:rPr>
              <w:t>Fit</w:t>
            </w:r>
          </w:p>
        </w:tc>
        <w:tc>
          <w:tcPr>
            <w:tcW w:type="dxa" w:w="7704"/>
            <w:tcMar>
              <w:top w:w="100" w:type="dxa"/>
              <w:start w:w="120" w:type="dxa"/>
              <w:bottom w:w="100" w:type="dxa"/>
              <w:end w:w="120" w:type="dxa"/>
            </w:tcMar>
            <w:shd w:fill="F7F8FA"/>
          </w:tcPr>
          <w:p>
            <w:pPr>
              <w:spacing w:after="0"/>
            </w:pPr>
            <w:r>
              <w:rPr>
                <w:sz w:val="17"/>
              </w:rPr>
              <w:t>Does the provider have the necessary specialty, language, cultural responsiveness, and population competence?</w:t>
            </w:r>
          </w:p>
        </w:tc>
      </w:tr>
      <w:tr>
        <w:trPr>
          <w:cantSplit/>
        </w:trPr>
        <w:tc>
          <w:tcPr>
            <w:tcW w:type="dxa" w:w="2232"/>
            <w:tcMar>
              <w:top w:w="100" w:type="dxa"/>
              <w:start w:w="120" w:type="dxa"/>
              <w:bottom w:w="100" w:type="dxa"/>
              <w:end w:w="120" w:type="dxa"/>
            </w:tcMar>
          </w:tcPr>
          <w:p>
            <w:pPr>
              <w:spacing w:after="0"/>
            </w:pPr>
            <w:r>
              <w:rPr>
                <w:sz w:val="17"/>
              </w:rPr>
              <w:t>Access</w:t>
            </w:r>
          </w:p>
        </w:tc>
        <w:tc>
          <w:tcPr>
            <w:tcW w:type="dxa" w:w="7704"/>
            <w:tcMar>
              <w:top w:w="100" w:type="dxa"/>
              <w:start w:w="120" w:type="dxa"/>
              <w:bottom w:w="100" w:type="dxa"/>
              <w:end w:w="120" w:type="dxa"/>
            </w:tcMar>
          </w:tcPr>
          <w:p>
            <w:pPr>
              <w:spacing w:after="0"/>
            </w:pPr>
            <w:r>
              <w:rPr>
                <w:sz w:val="17"/>
              </w:rPr>
              <w:t>Can the client manage cost, transportation, technology, childcare, documentation, and scheduling?</w:t>
            </w:r>
          </w:p>
        </w:tc>
      </w:tr>
      <w:tr>
        <w:trPr>
          <w:cantSplit/>
        </w:trPr>
        <w:tc>
          <w:tcPr>
            <w:tcW w:type="dxa" w:w="2232"/>
            <w:tcMar>
              <w:top w:w="100" w:type="dxa"/>
              <w:start w:w="120" w:type="dxa"/>
              <w:bottom w:w="100" w:type="dxa"/>
              <w:end w:w="120" w:type="dxa"/>
            </w:tcMar>
            <w:shd w:fill="F7F8FA"/>
          </w:tcPr>
          <w:p>
            <w:pPr>
              <w:spacing w:after="0"/>
            </w:pPr>
            <w:r>
              <w:rPr>
                <w:sz w:val="17"/>
              </w:rPr>
              <w:t>Choice</w:t>
            </w:r>
          </w:p>
        </w:tc>
        <w:tc>
          <w:tcPr>
            <w:tcW w:type="dxa" w:w="7704"/>
            <w:tcMar>
              <w:top w:w="100" w:type="dxa"/>
              <w:start w:w="120" w:type="dxa"/>
              <w:bottom w:w="100" w:type="dxa"/>
              <w:end w:w="120" w:type="dxa"/>
            </w:tcMar>
            <w:shd w:fill="F7F8FA"/>
          </w:tcPr>
          <w:p>
            <w:pPr>
              <w:spacing w:after="0"/>
            </w:pPr>
            <w:r>
              <w:rPr>
                <w:sz w:val="17"/>
              </w:rPr>
              <w:t>Does the client understand the options and have meaningful participation?</w:t>
            </w:r>
          </w:p>
        </w:tc>
      </w:tr>
      <w:tr>
        <w:trPr>
          <w:cantSplit/>
        </w:trPr>
        <w:tc>
          <w:tcPr>
            <w:tcW w:type="dxa" w:w="2232"/>
            <w:tcMar>
              <w:top w:w="100" w:type="dxa"/>
              <w:start w:w="120" w:type="dxa"/>
              <w:bottom w:w="100" w:type="dxa"/>
              <w:end w:w="120" w:type="dxa"/>
            </w:tcMar>
          </w:tcPr>
          <w:p>
            <w:pPr>
              <w:spacing w:after="0"/>
            </w:pPr>
            <w:r>
              <w:rPr>
                <w:sz w:val="17"/>
              </w:rPr>
              <w:t>Continuity</w:t>
            </w:r>
          </w:p>
        </w:tc>
        <w:tc>
          <w:tcPr>
            <w:tcW w:type="dxa" w:w="7704"/>
            <w:tcMar>
              <w:top w:w="100" w:type="dxa"/>
              <w:start w:w="120" w:type="dxa"/>
              <w:bottom w:w="100" w:type="dxa"/>
              <w:end w:w="120" w:type="dxa"/>
            </w:tcMar>
          </w:tcPr>
          <w:p>
            <w:pPr>
              <w:spacing w:after="0"/>
            </w:pPr>
            <w:r>
              <w:rPr>
                <w:sz w:val="17"/>
              </w:rPr>
              <w:t>Who will make contact, what information is authorized, and how will follow-through be confirmed?</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Warm-Handoff Rule</w:t>
            </w:r>
          </w:p>
          <w:p>
            <w:pPr>
              <w:spacing w:after="0"/>
            </w:pPr>
            <w:r>
              <w:t>A referral is not complete until responsibility, access, and follow-through are clear.</w:t>
            </w:r>
          </w:p>
        </w:tc>
      </w:tr>
    </w:tbl>
    <w:p>
      <w:pPr>
        <w:spacing w:after="0"/>
      </w:pPr>
    </w:p>
    <w:p>
      <w:pPr>
        <w:pStyle w:val="Heading1"/>
      </w:pPr>
      <w:r>
        <w:t>9. Case Management and Service-Network Coordination</w:t>
      </w:r>
    </w:p>
    <w:p>
      <w:r>
        <w:rPr>
          <w:i w:val="0"/>
        </w:rPr>
        <w:t>Case management connects assessment, planning, resources, advocacy, monitoring, and continuity. When several agencies are involved, the social worker clarifies each role, identifies gaps and duplication, obtains appropriate consent, shares relevant information, tracks responsibilities, and reassesses whether services are accessible and effective. The client should remain a participant rather than becoming the subject of professional coordination.</w:t>
      </w:r>
    </w:p>
    <w:tbl>
      <w:tblPr>
        <w:tblStyle w:val="TableGrid"/>
        <w:tblW w:type="auto" w:w="0"/>
        <w:jc w:val="center"/>
        <w:tblLayout w:type="fixed"/>
        <w:tblLook w:firstColumn="1" w:firstRow="1" w:lastColumn="0" w:lastRow="0" w:noHBand="0" w:noVBand="1" w:val="04A0"/>
      </w:tblPr>
      <w:tblGrid>
        <w:gridCol w:w="3528"/>
        <w:gridCol w:w="6408"/>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Coordination Risk</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3528"/>
            <w:tcMar>
              <w:top w:w="100" w:type="dxa"/>
              <w:start w:w="120" w:type="dxa"/>
              <w:bottom w:w="100" w:type="dxa"/>
              <w:end w:w="120" w:type="dxa"/>
            </w:tcMar>
          </w:tcPr>
          <w:p>
            <w:pPr>
              <w:spacing w:after="0"/>
            </w:pPr>
            <w:r>
              <w:rPr>
                <w:sz w:val="17"/>
              </w:rPr>
              <w:t>No one owns the next step</w:t>
            </w:r>
          </w:p>
        </w:tc>
        <w:tc>
          <w:tcPr>
            <w:tcW w:type="dxa" w:w="6408"/>
            <w:tcMar>
              <w:top w:w="100" w:type="dxa"/>
              <w:start w:w="120" w:type="dxa"/>
              <w:bottom w:w="100" w:type="dxa"/>
              <w:end w:w="120" w:type="dxa"/>
            </w:tcMar>
          </w:tcPr>
          <w:p>
            <w:pPr>
              <w:spacing w:after="0"/>
            </w:pPr>
            <w:r>
              <w:rPr>
                <w:sz w:val="17"/>
              </w:rPr>
              <w:t>Assign responsibility and a review date.</w:t>
            </w:r>
          </w:p>
        </w:tc>
      </w:tr>
      <w:tr>
        <w:trPr>
          <w:cantSplit/>
        </w:trPr>
        <w:tc>
          <w:tcPr>
            <w:tcW w:type="dxa" w:w="3528"/>
            <w:tcMar>
              <w:top w:w="100" w:type="dxa"/>
              <w:start w:w="120" w:type="dxa"/>
              <w:bottom w:w="100" w:type="dxa"/>
              <w:end w:w="120" w:type="dxa"/>
            </w:tcMar>
            <w:shd w:fill="F7F8FA"/>
          </w:tcPr>
          <w:p>
            <w:pPr>
              <w:spacing w:after="0"/>
            </w:pPr>
            <w:r>
              <w:rPr>
                <w:sz w:val="17"/>
              </w:rPr>
              <w:t>Multiple agencies repeat assessments</w:t>
            </w:r>
          </w:p>
        </w:tc>
        <w:tc>
          <w:tcPr>
            <w:tcW w:type="dxa" w:w="6408"/>
            <w:tcMar>
              <w:top w:w="100" w:type="dxa"/>
              <w:start w:w="120" w:type="dxa"/>
              <w:bottom w:w="100" w:type="dxa"/>
              <w:end w:w="120" w:type="dxa"/>
            </w:tcMar>
            <w:shd w:fill="F7F8FA"/>
          </w:tcPr>
          <w:p>
            <w:pPr>
              <w:spacing w:after="0"/>
            </w:pPr>
            <w:r>
              <w:rPr>
                <w:sz w:val="17"/>
              </w:rPr>
              <w:t>Coordinate information and reduce unnecessary burden with proper authorization.</w:t>
            </w:r>
          </w:p>
        </w:tc>
      </w:tr>
      <w:tr>
        <w:trPr>
          <w:cantSplit/>
        </w:trPr>
        <w:tc>
          <w:tcPr>
            <w:tcW w:type="dxa" w:w="3528"/>
            <w:tcMar>
              <w:top w:w="100" w:type="dxa"/>
              <w:start w:w="120" w:type="dxa"/>
              <w:bottom w:w="100" w:type="dxa"/>
              <w:end w:w="120" w:type="dxa"/>
            </w:tcMar>
          </w:tcPr>
          <w:p>
            <w:pPr>
              <w:spacing w:after="0"/>
            </w:pPr>
            <w:r>
              <w:rPr>
                <w:sz w:val="17"/>
              </w:rPr>
              <w:t>Client cannot access the agreed service</w:t>
            </w:r>
          </w:p>
        </w:tc>
        <w:tc>
          <w:tcPr>
            <w:tcW w:type="dxa" w:w="6408"/>
            <w:tcMar>
              <w:top w:w="100" w:type="dxa"/>
              <w:start w:w="120" w:type="dxa"/>
              <w:bottom w:w="100" w:type="dxa"/>
              <w:end w:w="120" w:type="dxa"/>
            </w:tcMar>
          </w:tcPr>
          <w:p>
            <w:pPr>
              <w:spacing w:after="0"/>
            </w:pPr>
            <w:r>
              <w:rPr>
                <w:sz w:val="17"/>
              </w:rPr>
              <w:t>Reassess barriers and modify the plan rather than documenting refusal.</w:t>
            </w:r>
          </w:p>
        </w:tc>
      </w:tr>
      <w:tr>
        <w:trPr>
          <w:cantSplit/>
        </w:trPr>
        <w:tc>
          <w:tcPr>
            <w:tcW w:type="dxa" w:w="3528"/>
            <w:tcMar>
              <w:top w:w="100" w:type="dxa"/>
              <w:start w:w="120" w:type="dxa"/>
              <w:bottom w:w="100" w:type="dxa"/>
              <w:end w:w="120" w:type="dxa"/>
            </w:tcMar>
            <w:shd w:fill="F7F8FA"/>
          </w:tcPr>
          <w:p>
            <w:pPr>
              <w:spacing w:after="0"/>
            </w:pPr>
            <w:r>
              <w:rPr>
                <w:sz w:val="17"/>
              </w:rPr>
              <w:t>Professionals dominate the plan</w:t>
            </w:r>
          </w:p>
        </w:tc>
        <w:tc>
          <w:tcPr>
            <w:tcW w:type="dxa" w:w="6408"/>
            <w:tcMar>
              <w:top w:w="100" w:type="dxa"/>
              <w:start w:w="120" w:type="dxa"/>
              <w:bottom w:w="100" w:type="dxa"/>
              <w:end w:w="120" w:type="dxa"/>
            </w:tcMar>
            <w:shd w:fill="F7F8FA"/>
          </w:tcPr>
          <w:p>
            <w:pPr>
              <w:spacing w:after="0"/>
            </w:pPr>
            <w:r>
              <w:rPr>
                <w:sz w:val="17"/>
              </w:rPr>
              <w:t>Center client goals, strengths, preferences, and informed choices.</w:t>
            </w:r>
          </w:p>
        </w:tc>
      </w:tr>
    </w:tbl>
    <w:p>
      <w:pPr>
        <w:spacing w:after="0"/>
      </w:pPr>
    </w:p>
    <w:p>
      <w:pPr>
        <w:pStyle w:val="Heading1"/>
      </w:pPr>
      <w:r>
        <w:t>10. Interdisciplinary Teams, IEPs, and Health-Care Collaboration</w:t>
      </w:r>
    </w:p>
    <w:p>
      <w:r>
        <w:rPr>
          <w:i w:val="0"/>
        </w:rPr>
        <w:t>Team work requires role clarity, respect for professional boundaries, relevant information sharing, client participation, and a common plan. In school settings, the social worker may help the student or caregiver understand the process, prepare goals and concerns, participate in meetings, and connect educational and psychosocial needs. In health and end-of-life settings, collaboration may include symptom needs, family communication, culture, decision-making, resources, grief, and continuity.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Before the Meeting</w:t>
            </w:r>
          </w:p>
        </w:tc>
        <w:tc>
          <w:tcPr>
            <w:tcW w:type="dxa" w:w="3360"/>
            <w:shd w:fill="17365D"/>
            <w:tcMar>
              <w:top w:w="100" w:type="dxa"/>
              <w:start w:w="120" w:type="dxa"/>
              <w:bottom w:w="100" w:type="dxa"/>
              <w:end w:w="120" w:type="dxa"/>
            </w:tcMar>
          </w:tcPr>
          <w:p>
            <w:pPr>
              <w:spacing w:after="0"/>
            </w:pPr>
            <w:r>
              <w:rPr>
                <w:b/>
                <w:color w:val="FFFFFF"/>
                <w:sz w:val="16"/>
              </w:rPr>
              <w:t>During the Meeting</w:t>
            </w:r>
          </w:p>
        </w:tc>
        <w:tc>
          <w:tcPr>
            <w:tcW w:type="dxa" w:w="3360"/>
            <w:shd w:fill="17365D"/>
            <w:tcMar>
              <w:top w:w="100" w:type="dxa"/>
              <w:start w:w="120" w:type="dxa"/>
              <w:bottom w:w="100" w:type="dxa"/>
              <w:end w:w="120" w:type="dxa"/>
            </w:tcMar>
          </w:tcPr>
          <w:p>
            <w:pPr>
              <w:spacing w:after="0"/>
            </w:pPr>
            <w:r>
              <w:rPr>
                <w:b/>
                <w:color w:val="FFFFFF"/>
                <w:sz w:val="16"/>
              </w:rPr>
              <w:t>After the Meeting</w:t>
            </w:r>
          </w:p>
        </w:tc>
      </w:tr>
      <w:tr>
        <w:trPr>
          <w:cantSplit/>
        </w:trPr>
        <w:tc>
          <w:tcPr>
            <w:tcW w:type="dxa" w:w="3312"/>
            <w:tcMar>
              <w:top w:w="100" w:type="dxa"/>
              <w:start w:w="120" w:type="dxa"/>
              <w:bottom w:w="100" w:type="dxa"/>
              <w:end w:w="120" w:type="dxa"/>
            </w:tcMar>
          </w:tcPr>
          <w:p>
            <w:pPr>
              <w:spacing w:after="0"/>
            </w:pPr>
            <w:r>
              <w:rPr>
                <w:sz w:val="16"/>
              </w:rPr>
              <w:t>Clarify the client’s goals, rights, concerns, preferred supports, and the social worker’s role.</w:t>
            </w:r>
          </w:p>
        </w:tc>
        <w:tc>
          <w:tcPr>
            <w:tcW w:type="dxa" w:w="3312"/>
            <w:tcMar>
              <w:top w:w="100" w:type="dxa"/>
              <w:start w:w="120" w:type="dxa"/>
              <w:bottom w:w="100" w:type="dxa"/>
              <w:end w:w="120" w:type="dxa"/>
            </w:tcMar>
          </w:tcPr>
          <w:p>
            <w:pPr>
              <w:spacing w:after="0"/>
            </w:pPr>
            <w:r>
              <w:rPr>
                <w:sz w:val="16"/>
              </w:rPr>
              <w:t>Use understandable language, invite participation, clarify disagreements, and keep the plan connected to client goals.</w:t>
            </w:r>
          </w:p>
        </w:tc>
        <w:tc>
          <w:tcPr>
            <w:tcW w:type="dxa" w:w="3312"/>
            <w:tcMar>
              <w:top w:w="100" w:type="dxa"/>
              <w:start w:w="120" w:type="dxa"/>
              <w:bottom w:w="100" w:type="dxa"/>
              <w:end w:w="120" w:type="dxa"/>
            </w:tcMar>
          </w:tcPr>
          <w:p>
            <w:pPr>
              <w:spacing w:after="0"/>
            </w:pPr>
            <w:r>
              <w:rPr>
                <w:sz w:val="16"/>
              </w:rPr>
              <w:t>Document responsibilities, confirm understanding, address access barriers, and follow up on agreed actions.</w:t>
            </w:r>
          </w:p>
        </w:tc>
      </w:tr>
    </w:tbl>
    <w:p>
      <w:pPr>
        <w:spacing w:after="0"/>
      </w:pPr>
    </w:p>
    <w:p>
      <w:pPr>
        <w:pStyle w:val="Heading1"/>
      </w:pPr>
      <w:r>
        <w:t>11. Permanency, Placement, and Family Participation</w:t>
      </w:r>
    </w:p>
    <w:p>
      <w:r>
        <w:rPr>
          <w:i w:val="0"/>
        </w:rPr>
        <w:t>Child welfare and permanency reasoning considers safety, developmental needs, attachment, identity, culture, family relationships, placement stability, legal and organizational processes, and the least disruptive sustainable plan. Family participation should be meaningful and safe, not symbolic. The social worker distinguishes the child’s needs from adult conflict and avoids promising outcomes outside the social worker’s authority.</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Permanency Lens</w:t>
            </w:r>
          </w:p>
          <w:p>
            <w:pPr>
              <w:spacing w:after="0"/>
            </w:pPr>
            <w:r>
              <w:t>Safety, stability, attachment, identity, development, family participation, and sustainable support must be considered together.</w:t>
            </w:r>
          </w:p>
        </w:tc>
      </w:tr>
    </w:tbl>
    <w:p>
      <w:pPr>
        <w:spacing w:after="0"/>
      </w:pPr>
    </w:p>
    <w:p>
      <w:pPr>
        <w:pStyle w:val="Heading1"/>
      </w:pPr>
      <w:r>
        <w:t>12. Community Participation and Advocacy</w:t>
      </w:r>
    </w:p>
    <w:p>
      <w:r>
        <w:rPr>
          <w:i w:val="0"/>
        </w:rPr>
        <w:t>Community intervention begins with listening, relationship building, and understanding who is affected, who holds power, what resources and barriers exist, and how community members want to participate. The social worker supports access, leadership, collective problem solving, and advocacy rather than imposing a professionally designed solution without participation.</w:t>
      </w:r>
    </w:p>
    <w:tbl>
      <w:tblPr>
        <w:tblStyle w:val="TableGrid"/>
        <w:tblW w:type="auto" w:w="0"/>
        <w:jc w:val="center"/>
        <w:tblLayout w:type="fixed"/>
        <w:tblLook w:firstColumn="1" w:firstRow="1" w:lastColumn="0" w:lastRow="0" w:noHBand="0" w:noVBand="1" w:val="04A0"/>
      </w:tblPr>
      <w:tblGrid>
        <w:gridCol w:w="3816"/>
        <w:gridCol w:w="612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Weak Approach</w:t>
            </w:r>
          </w:p>
        </w:tc>
        <w:tc>
          <w:tcPr>
            <w:tcW w:type="dxa" w:w="5040"/>
            <w:shd w:fill="17365D"/>
            <w:tcMar>
              <w:top w:w="100" w:type="dxa"/>
              <w:start w:w="120" w:type="dxa"/>
              <w:bottom w:w="100" w:type="dxa"/>
              <w:end w:w="120" w:type="dxa"/>
            </w:tcMar>
          </w:tcPr>
          <w:p>
            <w:pPr>
              <w:spacing w:after="0"/>
            </w:pPr>
            <w:r>
              <w:rPr>
                <w:b/>
                <w:color w:val="FFFFFF"/>
                <w:sz w:val="17"/>
              </w:rPr>
              <w:t>Stronger Approach</w:t>
            </w:r>
          </w:p>
        </w:tc>
      </w:tr>
      <w:tr>
        <w:trPr>
          <w:cantSplit/>
        </w:trPr>
        <w:tc>
          <w:tcPr>
            <w:tcW w:type="dxa" w:w="3816"/>
            <w:tcMar>
              <w:top w:w="100" w:type="dxa"/>
              <w:start w:w="120" w:type="dxa"/>
              <w:bottom w:w="100" w:type="dxa"/>
              <w:end w:w="120" w:type="dxa"/>
            </w:tcMar>
          </w:tcPr>
          <w:p>
            <w:pPr>
              <w:spacing w:after="0"/>
            </w:pPr>
            <w:r>
              <w:rPr>
                <w:sz w:val="17"/>
              </w:rPr>
              <w:t>Design the solution before speaking with residents</w:t>
            </w:r>
          </w:p>
        </w:tc>
        <w:tc>
          <w:tcPr>
            <w:tcW w:type="dxa" w:w="6120"/>
            <w:tcMar>
              <w:top w:w="100" w:type="dxa"/>
              <w:start w:w="120" w:type="dxa"/>
              <w:bottom w:w="100" w:type="dxa"/>
              <w:end w:w="120" w:type="dxa"/>
            </w:tcMar>
          </w:tcPr>
          <w:p>
            <w:pPr>
              <w:spacing w:after="0"/>
            </w:pPr>
            <w:r>
              <w:rPr>
                <w:sz w:val="17"/>
              </w:rPr>
              <w:t>Engage affected people in defining the problem, priorities, and feasible actions.</w:t>
            </w:r>
          </w:p>
        </w:tc>
      </w:tr>
      <w:tr>
        <w:trPr>
          <w:cantSplit/>
        </w:trPr>
        <w:tc>
          <w:tcPr>
            <w:tcW w:type="dxa" w:w="3816"/>
            <w:tcMar>
              <w:top w:w="100" w:type="dxa"/>
              <w:start w:w="120" w:type="dxa"/>
              <w:bottom w:w="100" w:type="dxa"/>
              <w:end w:w="120" w:type="dxa"/>
            </w:tcMar>
            <w:shd w:fill="F7F8FA"/>
          </w:tcPr>
          <w:p>
            <w:pPr>
              <w:spacing w:after="0"/>
            </w:pPr>
            <w:r>
              <w:rPr>
                <w:sz w:val="17"/>
              </w:rPr>
              <w:t>Invite participation only after decisions are made</w:t>
            </w:r>
          </w:p>
        </w:tc>
        <w:tc>
          <w:tcPr>
            <w:tcW w:type="dxa" w:w="6120"/>
            <w:tcMar>
              <w:top w:w="100" w:type="dxa"/>
              <w:start w:w="120" w:type="dxa"/>
              <w:bottom w:w="100" w:type="dxa"/>
              <w:end w:w="120" w:type="dxa"/>
            </w:tcMar>
            <w:shd w:fill="F7F8FA"/>
          </w:tcPr>
          <w:p>
            <w:pPr>
              <w:spacing w:after="0"/>
            </w:pPr>
            <w:r>
              <w:rPr>
                <w:sz w:val="17"/>
              </w:rPr>
              <w:t>Create meaningful roles in planning, implementation, and evaluation.</w:t>
            </w:r>
          </w:p>
        </w:tc>
      </w:tr>
      <w:tr>
        <w:trPr>
          <w:cantSplit/>
        </w:trPr>
        <w:tc>
          <w:tcPr>
            <w:tcW w:type="dxa" w:w="3816"/>
            <w:tcMar>
              <w:top w:w="100" w:type="dxa"/>
              <w:start w:w="120" w:type="dxa"/>
              <w:bottom w:w="100" w:type="dxa"/>
              <w:end w:w="120" w:type="dxa"/>
            </w:tcMar>
          </w:tcPr>
          <w:p>
            <w:pPr>
              <w:spacing w:after="0"/>
            </w:pPr>
            <w:r>
              <w:rPr>
                <w:sz w:val="17"/>
              </w:rPr>
              <w:t>Assume one spokesperson represents everyone</w:t>
            </w:r>
          </w:p>
        </w:tc>
        <w:tc>
          <w:tcPr>
            <w:tcW w:type="dxa" w:w="6120"/>
            <w:tcMar>
              <w:top w:w="100" w:type="dxa"/>
              <w:start w:w="120" w:type="dxa"/>
              <w:bottom w:w="100" w:type="dxa"/>
              <w:end w:w="120" w:type="dxa"/>
            </w:tcMar>
          </w:tcPr>
          <w:p>
            <w:pPr>
              <w:spacing w:after="0"/>
            </w:pPr>
            <w:r>
              <w:rPr>
                <w:sz w:val="17"/>
              </w:rPr>
              <w:t>Assess varied perspectives, identities, access needs, and power differences.</w:t>
            </w:r>
          </w:p>
        </w:tc>
      </w:tr>
      <w:tr>
        <w:trPr>
          <w:cantSplit/>
        </w:trPr>
        <w:tc>
          <w:tcPr>
            <w:tcW w:type="dxa" w:w="3816"/>
            <w:tcMar>
              <w:top w:w="100" w:type="dxa"/>
              <w:start w:w="120" w:type="dxa"/>
              <w:bottom w:w="100" w:type="dxa"/>
              <w:end w:w="120" w:type="dxa"/>
            </w:tcMar>
            <w:shd w:fill="F7F8FA"/>
          </w:tcPr>
          <w:p>
            <w:pPr>
              <w:spacing w:after="0"/>
            </w:pPr>
            <w:r>
              <w:rPr>
                <w:sz w:val="17"/>
              </w:rPr>
              <w:t>Measure only service volume</w:t>
            </w:r>
          </w:p>
        </w:tc>
        <w:tc>
          <w:tcPr>
            <w:tcW w:type="dxa" w:w="6120"/>
            <w:tcMar>
              <w:top w:w="100" w:type="dxa"/>
              <w:start w:w="120" w:type="dxa"/>
              <w:bottom w:w="100" w:type="dxa"/>
              <w:end w:w="120" w:type="dxa"/>
            </w:tcMar>
            <w:shd w:fill="F7F8FA"/>
          </w:tcPr>
          <w:p>
            <w:pPr>
              <w:spacing w:after="0"/>
            </w:pPr>
            <w:r>
              <w:rPr>
                <w:sz w:val="17"/>
              </w:rPr>
              <w:t>Evaluate access, participation, outcomes, equity, and unintended effects.</w:t>
            </w:r>
          </w:p>
        </w:tc>
      </w:tr>
    </w:tbl>
    <w:p>
      <w:pPr>
        <w:spacing w:after="0"/>
      </w:pPr>
    </w:p>
    <w:p>
      <w:pPr>
        <w:pStyle w:val="Heading1"/>
      </w:pPr>
      <w:r>
        <w:t>13. Culture, Power, Accessibility, and Information Sharing</w:t>
      </w:r>
    </w:p>
    <w:p>
      <w:r>
        <w:rPr>
          <w:i w:val="0"/>
        </w:rPr>
        <w:t>Family, group, team, and community work can amplify power differences. The social worker attends to language, disability, race and ethnicity, gender, sexual orientation, immigration and refugee experiences, poverty, organizational authority, and professional privilege. Information sharing should be purposeful, authorized, relevant, and limited to what supports the defined role and plan.</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Participation Check</w:t>
            </w:r>
          </w:p>
          <w:p>
            <w:pPr>
              <w:spacing w:after="0"/>
            </w:pPr>
            <w:r>
              <w:t>Who understands the plan, who has real decision-making influence, who faces access barriers, and whose perspective has not been heard?</w:t>
            </w:r>
          </w:p>
        </w:tc>
      </w:tr>
    </w:tbl>
    <w:p>
      <w:pPr>
        <w:spacing w:after="0"/>
      </w:pPr>
    </w:p>
    <w:p>
      <w:pPr>
        <w:pStyle w:val="Heading1"/>
      </w:pPr>
      <w:r>
        <w:t>14. When Collaboration or Referral Is Not Working</w:t>
      </w:r>
    </w:p>
    <w:p>
      <w:pPr>
        <w:pStyle w:val="ListNumber"/>
      </w:pPr>
      <w:r>
        <w:t>Reassess immediate safety, urgency, and whether the selected level of care is sufficient.</w:t>
      </w:r>
    </w:p>
    <w:p>
      <w:pPr>
        <w:pStyle w:val="ListNumber"/>
      </w:pPr>
      <w:r>
        <w:t>Ask the client what happened and whether the service or team process felt understandable, respectful, and useful.</w:t>
      </w:r>
    </w:p>
    <w:p>
      <w:pPr>
        <w:pStyle w:val="ListNumber"/>
      </w:pPr>
      <w:r>
        <w:t>Verify eligibility, language access, disability access, transportation, cost, technology, scheduling, and documentation barriers.</w:t>
      </w:r>
    </w:p>
    <w:p>
      <w:pPr>
        <w:pStyle w:val="ListNumber"/>
      </w:pPr>
      <w:r>
        <w:t>Clarify roles, responsibility, consent, and information-sharing limits across providers.</w:t>
      </w:r>
    </w:p>
    <w:p>
      <w:pPr>
        <w:pStyle w:val="ListNumber"/>
      </w:pPr>
      <w:r>
        <w:t>Modify the referral, group, family involvement, team process, advocacy plan, or service intensity.</w:t>
      </w:r>
    </w:p>
    <w:p>
      <w:pPr>
        <w:pStyle w:val="ListNumber"/>
      </w:pPr>
      <w:r>
        <w:t>Set a new follow-up point and document the client’s participation and informed choices.</w:t>
      </w:r>
    </w:p>
    <w:p>
      <w:pPr>
        <w:pStyle w:val="Heading1"/>
      </w:pPr>
      <w:r>
        <w:t>Common Exam Traps</w:t>
      </w:r>
    </w:p>
    <w:tbl>
      <w:tblPr>
        <w:tblStyle w:val="TableGrid"/>
        <w:tblW w:type="auto" w:w="0"/>
        <w:jc w:val="center"/>
        <w:tblLayout w:type="fixed"/>
        <w:tblLook w:firstColumn="1" w:firstRow="1" w:lastColumn="0" w:lastRow="0" w:noHBand="0" w:noVBand="1" w:val="04A0"/>
      </w:tblPr>
      <w:tblGrid>
        <w:gridCol w:w="4104"/>
        <w:gridCol w:w="5832"/>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4104"/>
            <w:tcMar>
              <w:top w:w="100" w:type="dxa"/>
              <w:start w:w="120" w:type="dxa"/>
              <w:bottom w:w="100" w:type="dxa"/>
              <w:end w:w="120" w:type="dxa"/>
            </w:tcMar>
          </w:tcPr>
          <w:p>
            <w:pPr>
              <w:spacing w:after="0"/>
            </w:pPr>
            <w:r>
              <w:rPr>
                <w:sz w:val="17"/>
              </w:rPr>
              <w:t>Treating a basic-needs crisis as only family conflict</w:t>
            </w:r>
          </w:p>
        </w:tc>
        <w:tc>
          <w:tcPr>
            <w:tcW w:type="dxa" w:w="5832"/>
            <w:tcMar>
              <w:top w:w="100" w:type="dxa"/>
              <w:start w:w="120" w:type="dxa"/>
              <w:bottom w:w="100" w:type="dxa"/>
              <w:end w:w="120" w:type="dxa"/>
            </w:tcMar>
          </w:tcPr>
          <w:p>
            <w:pPr>
              <w:spacing w:after="0"/>
            </w:pPr>
            <w:r>
              <w:rPr>
                <w:sz w:val="17"/>
              </w:rPr>
              <w:t>Address urgent person-in-environment needs and family functioning.</w:t>
            </w:r>
          </w:p>
        </w:tc>
      </w:tr>
      <w:tr>
        <w:trPr>
          <w:cantSplit/>
        </w:trPr>
        <w:tc>
          <w:tcPr>
            <w:tcW w:type="dxa" w:w="4104"/>
            <w:tcMar>
              <w:top w:w="100" w:type="dxa"/>
              <w:start w:w="120" w:type="dxa"/>
              <w:bottom w:w="100" w:type="dxa"/>
              <w:end w:w="120" w:type="dxa"/>
            </w:tcMar>
            <w:shd w:fill="F7F8FA"/>
          </w:tcPr>
          <w:p>
            <w:pPr>
              <w:spacing w:after="0"/>
            </w:pPr>
            <w:r>
              <w:rPr>
                <w:sz w:val="17"/>
              </w:rPr>
              <w:t>Involving family without asking the client</w:t>
            </w:r>
          </w:p>
        </w:tc>
        <w:tc>
          <w:tcPr>
            <w:tcW w:type="dxa" w:w="5832"/>
            <w:tcMar>
              <w:top w:w="100" w:type="dxa"/>
              <w:start w:w="120" w:type="dxa"/>
              <w:bottom w:w="100" w:type="dxa"/>
              <w:end w:w="120" w:type="dxa"/>
            </w:tcMar>
            <w:shd w:fill="F7F8FA"/>
          </w:tcPr>
          <w:p>
            <w:pPr>
              <w:spacing w:after="0"/>
            </w:pPr>
            <w:r>
              <w:rPr>
                <w:sz w:val="17"/>
              </w:rPr>
              <w:t>Clarify consent, purpose, safety, roles, and preferred involvement.</w:t>
            </w:r>
          </w:p>
        </w:tc>
      </w:tr>
      <w:tr>
        <w:trPr>
          <w:cantSplit/>
        </w:trPr>
        <w:tc>
          <w:tcPr>
            <w:tcW w:type="dxa" w:w="4104"/>
            <w:tcMar>
              <w:top w:w="100" w:type="dxa"/>
              <w:start w:w="120" w:type="dxa"/>
              <w:bottom w:w="100" w:type="dxa"/>
              <w:end w:w="120" w:type="dxa"/>
            </w:tcMar>
          </w:tcPr>
          <w:p>
            <w:pPr>
              <w:spacing w:after="0"/>
            </w:pPr>
            <w:r>
              <w:rPr>
                <w:sz w:val="17"/>
              </w:rPr>
              <w:t>Placing a client in a group without screening</w:t>
            </w:r>
          </w:p>
        </w:tc>
        <w:tc>
          <w:tcPr>
            <w:tcW w:type="dxa" w:w="5832"/>
            <w:tcMar>
              <w:top w:w="100" w:type="dxa"/>
              <w:start w:w="120" w:type="dxa"/>
              <w:bottom w:w="100" w:type="dxa"/>
              <w:end w:w="120" w:type="dxa"/>
            </w:tcMar>
          </w:tcPr>
          <w:p>
            <w:pPr>
              <w:spacing w:after="0"/>
            </w:pPr>
            <w:r>
              <w:rPr>
                <w:sz w:val="17"/>
              </w:rPr>
              <w:t>Assess purpose, readiness, risk, composition, access, and participation capacity.</w:t>
            </w:r>
          </w:p>
        </w:tc>
      </w:tr>
      <w:tr>
        <w:trPr>
          <w:cantSplit/>
        </w:trPr>
        <w:tc>
          <w:tcPr>
            <w:tcW w:type="dxa" w:w="4104"/>
            <w:tcMar>
              <w:top w:w="100" w:type="dxa"/>
              <w:start w:w="120" w:type="dxa"/>
              <w:bottom w:w="100" w:type="dxa"/>
              <w:end w:w="120" w:type="dxa"/>
            </w:tcMar>
            <w:shd w:fill="F7F8FA"/>
          </w:tcPr>
          <w:p>
            <w:pPr>
              <w:spacing w:after="0"/>
            </w:pPr>
            <w:r>
              <w:rPr>
                <w:sz w:val="17"/>
              </w:rPr>
              <w:t>Giving a referral list and ending the task</w:t>
            </w:r>
          </w:p>
        </w:tc>
        <w:tc>
          <w:tcPr>
            <w:tcW w:type="dxa" w:w="5832"/>
            <w:tcMar>
              <w:top w:w="100" w:type="dxa"/>
              <w:start w:w="120" w:type="dxa"/>
              <w:bottom w:w="100" w:type="dxa"/>
              <w:end w:w="120" w:type="dxa"/>
            </w:tcMar>
            <w:shd w:fill="F7F8FA"/>
          </w:tcPr>
          <w:p>
            <w:pPr>
              <w:spacing w:after="0"/>
            </w:pPr>
            <w:r>
              <w:rPr>
                <w:sz w:val="17"/>
              </w:rPr>
              <w:t>Use an accessible warm handoff and confirm follow-through.</w:t>
            </w:r>
          </w:p>
        </w:tc>
      </w:tr>
      <w:tr>
        <w:trPr>
          <w:cantSplit/>
        </w:trPr>
        <w:tc>
          <w:tcPr>
            <w:tcW w:type="dxa" w:w="4104"/>
            <w:tcMar>
              <w:top w:w="100" w:type="dxa"/>
              <w:start w:w="120" w:type="dxa"/>
              <w:bottom w:w="100" w:type="dxa"/>
              <w:end w:w="120" w:type="dxa"/>
            </w:tcMar>
          </w:tcPr>
          <w:p>
            <w:pPr>
              <w:spacing w:after="0"/>
            </w:pPr>
            <w:r>
              <w:rPr>
                <w:sz w:val="17"/>
              </w:rPr>
              <w:t>Allowing teams to plan without the client</w:t>
            </w:r>
          </w:p>
        </w:tc>
        <w:tc>
          <w:tcPr>
            <w:tcW w:type="dxa" w:w="5832"/>
            <w:tcMar>
              <w:top w:w="100" w:type="dxa"/>
              <w:start w:w="120" w:type="dxa"/>
              <w:bottom w:w="100" w:type="dxa"/>
              <w:end w:w="120" w:type="dxa"/>
            </w:tcMar>
          </w:tcPr>
          <w:p>
            <w:pPr>
              <w:spacing w:after="0"/>
            </w:pPr>
            <w:r>
              <w:rPr>
                <w:sz w:val="17"/>
              </w:rPr>
              <w:t>Support understandable and meaningful participation.</w:t>
            </w:r>
          </w:p>
        </w:tc>
      </w:tr>
      <w:tr>
        <w:trPr>
          <w:cantSplit/>
        </w:trPr>
        <w:tc>
          <w:tcPr>
            <w:tcW w:type="dxa" w:w="4104"/>
            <w:tcMar>
              <w:top w:w="100" w:type="dxa"/>
              <w:start w:w="120" w:type="dxa"/>
              <w:bottom w:w="100" w:type="dxa"/>
              <w:end w:w="120" w:type="dxa"/>
            </w:tcMar>
            <w:shd w:fill="F7F8FA"/>
          </w:tcPr>
          <w:p>
            <w:pPr>
              <w:spacing w:after="0"/>
            </w:pPr>
            <w:r>
              <w:rPr>
                <w:sz w:val="17"/>
              </w:rPr>
              <w:t>Sharing broad information because providers are collaborating</w:t>
            </w:r>
          </w:p>
        </w:tc>
        <w:tc>
          <w:tcPr>
            <w:tcW w:type="dxa" w:w="5832"/>
            <w:tcMar>
              <w:top w:w="100" w:type="dxa"/>
              <w:start w:w="120" w:type="dxa"/>
              <w:bottom w:w="100" w:type="dxa"/>
              <w:end w:w="120" w:type="dxa"/>
            </w:tcMar>
            <w:shd w:fill="F7F8FA"/>
          </w:tcPr>
          <w:p>
            <w:pPr>
              <w:spacing w:after="0"/>
            </w:pPr>
            <w:r>
              <w:rPr>
                <w:sz w:val="17"/>
              </w:rPr>
              <w:t>Share only relevant information with appropriate authority and purpose.</w:t>
            </w:r>
          </w:p>
        </w:tc>
      </w:tr>
    </w:tbl>
    <w:p>
      <w:pPr>
        <w:spacing w:after="0"/>
      </w:pPr>
    </w:p>
    <w:p>
      <w:pPr>
        <w:pStyle w:val="Heading1"/>
      </w:pPr>
      <w:r>
        <w:t>Worked Example 1: Family Conflict and Housing Instability</w:t>
      </w:r>
    </w:p>
    <w:p>
      <w:r>
        <w:rPr>
          <w:i w:val="0"/>
        </w:rPr>
        <w:t>A family reports escalating arguments after receiving an eviction notice. Beginning communication training alone misses the immediate environmental crisis. The social worker first clarifies safety and urgent housing needs, mobilizes accessible resources, and then addresses coping, roles, and communication as part of the coordinated plan.</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Integrate clinical and resource intervention; do not reduce structural stress to an interpersonal deficit.</w:t>
            </w:r>
          </w:p>
        </w:tc>
      </w:tr>
    </w:tbl>
    <w:p>
      <w:pPr>
        <w:spacing w:after="0"/>
      </w:pPr>
    </w:p>
    <w:p>
      <w:pPr>
        <w:pStyle w:val="Heading1"/>
      </w:pPr>
      <w:r>
        <w:t>Worked Example 2: Referral Without Access</w:t>
      </w:r>
    </w:p>
    <w:p>
      <w:r>
        <w:rPr>
          <w:i w:val="0"/>
        </w:rPr>
        <w:t>A client is referred to a specialty group but does not attend because the building is inaccessible and transportation is unavailable. The social worker should not label the client unmotivated. The stronger response is to reassess barriers, identify accessible alternatives, coordinate a warm handoff, and confirm whether the revised plan works.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Access and follow-through are part of intervention effectiveness.</w:t>
            </w:r>
          </w:p>
        </w:tc>
      </w:tr>
    </w:tbl>
    <w:p>
      <w:pPr>
        <w:spacing w:after="0"/>
      </w:pPr>
    </w:p>
    <w:p>
      <w:pPr>
        <w:pStyle w:val="Heading1"/>
        <w:pageBreakBefore/>
      </w:pPr>
      <w:r>
        <w:t>Client-System and Collaboration Worksheet</w:t>
      </w:r>
    </w:p>
    <w:tbl>
      <w:tblPr>
        <w:tblStyle w:val="TableGrid"/>
        <w:tblW w:type="auto" w:w="0"/>
        <w:jc w:val="center"/>
        <w:tblLayout w:type="fixed"/>
        <w:tblLook w:firstColumn="1" w:firstRow="1" w:lastColumn="0" w:lastRow="0" w:noHBand="0" w:noVBand="1" w:val="04A0"/>
      </w:tblPr>
      <w:tblGrid>
        <w:gridCol w:w="5832"/>
        <w:gridCol w:w="410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Prompt</w:t>
            </w:r>
          </w:p>
        </w:tc>
        <w:tc>
          <w:tcPr>
            <w:tcW w:type="dxa" w:w="5040"/>
            <w:shd w:fill="17365D"/>
            <w:tcMar>
              <w:top w:w="100" w:type="dxa"/>
              <w:start w:w="120" w:type="dxa"/>
              <w:bottom w:w="100" w:type="dxa"/>
              <w:end w:w="120" w:type="dxa"/>
            </w:tcMar>
          </w:tcPr>
          <w:p>
            <w:pPr>
              <w:spacing w:after="0"/>
            </w:pPr>
            <w:r>
              <w:rPr>
                <w:b/>
                <w:color w:val="FFFFFF"/>
                <w:sz w:val="17"/>
              </w:rPr>
              <w:t>Notes</w:t>
            </w:r>
          </w:p>
        </w:tc>
      </w:tr>
      <w:tr>
        <w:trPr>
          <w:cantSplit/>
        </w:trPr>
        <w:tc>
          <w:tcPr>
            <w:tcW w:type="dxa" w:w="5832"/>
            <w:tcMar>
              <w:top w:w="100" w:type="dxa"/>
              <w:start w:w="120" w:type="dxa"/>
              <w:bottom w:w="100" w:type="dxa"/>
              <w:end w:w="120" w:type="dxa"/>
            </w:tcMar>
          </w:tcPr>
          <w:p>
            <w:pPr>
              <w:spacing w:after="0"/>
            </w:pPr>
            <w:r>
              <w:rPr>
                <w:sz w:val="17"/>
              </w:rPr>
              <w:t>Client-defined concern, goals, strengths, and preferred participants</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Immediate safety, basic-needs, medical, or level-of-care priorities</w:t>
            </w:r>
          </w:p>
        </w:tc>
        <w:tc>
          <w:tcPr>
            <w:tcW w:type="dxa" w:w="4104"/>
            <w:tcMar>
              <w:top w:w="100" w:type="dxa"/>
              <w:start w:w="120" w:type="dxa"/>
              <w:bottom w:w="100" w:type="dxa"/>
              <w:end w:w="120" w:type="dxa"/>
            </w:tcMar>
            <w:shd w:fill="F7F8FA"/>
          </w:tcPr>
          <w:p>
            <w:pPr>
              <w:spacing w:after="0"/>
            </w:pPr>
            <w:r>
              <w:rPr>
                <w:sz w:val="17"/>
              </w:rPr>
            </w:r>
          </w:p>
        </w:tc>
      </w:tr>
      <w:tr>
        <w:trPr>
          <w:cantSplit/>
        </w:trPr>
        <w:tc>
          <w:tcPr>
            <w:tcW w:type="dxa" w:w="5832"/>
            <w:tcMar>
              <w:top w:w="100" w:type="dxa"/>
              <w:start w:w="120" w:type="dxa"/>
              <w:bottom w:w="100" w:type="dxa"/>
              <w:end w:w="120" w:type="dxa"/>
            </w:tcMar>
          </w:tcPr>
          <w:p>
            <w:pPr>
              <w:spacing w:after="0"/>
            </w:pPr>
            <w:r>
              <w:rPr>
                <w:sz w:val="17"/>
              </w:rPr>
              <w:t>Selected level: individual, family, couple, group, team, service network, or community</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Purpose and role of each participant or organization</w:t>
            </w:r>
          </w:p>
        </w:tc>
        <w:tc>
          <w:tcPr>
            <w:tcW w:type="dxa" w:w="4104"/>
            <w:tcMar>
              <w:top w:w="100" w:type="dxa"/>
              <w:start w:w="120" w:type="dxa"/>
              <w:bottom w:w="100" w:type="dxa"/>
              <w:end w:w="120" w:type="dxa"/>
            </w:tcMar>
            <w:shd w:fill="F7F8FA"/>
          </w:tcPr>
          <w:p>
            <w:pPr>
              <w:spacing w:after="0"/>
            </w:pPr>
            <w:r>
              <w:rPr>
                <w:sz w:val="17"/>
              </w:rPr>
            </w:r>
          </w:p>
        </w:tc>
      </w:tr>
      <w:tr>
        <w:trPr>
          <w:cantSplit/>
        </w:trPr>
        <w:tc>
          <w:tcPr>
            <w:tcW w:type="dxa" w:w="5832"/>
            <w:tcMar>
              <w:top w:w="100" w:type="dxa"/>
              <w:start w:w="120" w:type="dxa"/>
              <w:bottom w:w="100" w:type="dxa"/>
              <w:end w:w="120" w:type="dxa"/>
            </w:tcMar>
          </w:tcPr>
          <w:p>
            <w:pPr>
              <w:spacing w:after="0"/>
            </w:pPr>
            <w:r>
              <w:rPr>
                <w:sz w:val="17"/>
              </w:rPr>
              <w:t>Consent, privacy, information-sharing, and power considerations</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Culture, language, disability, eligibility, cost, transportation, technology, and scheduling access</w:t>
            </w:r>
          </w:p>
        </w:tc>
        <w:tc>
          <w:tcPr>
            <w:tcW w:type="dxa" w:w="4104"/>
            <w:tcMar>
              <w:top w:w="100" w:type="dxa"/>
              <w:start w:w="120" w:type="dxa"/>
              <w:bottom w:w="100" w:type="dxa"/>
              <w:end w:w="120" w:type="dxa"/>
            </w:tcMar>
            <w:shd w:fill="F7F8FA"/>
          </w:tcPr>
          <w:p>
            <w:pPr>
              <w:spacing w:after="0"/>
            </w:pPr>
            <w:r>
              <w:rPr>
                <w:sz w:val="17"/>
              </w:rPr>
            </w:r>
          </w:p>
        </w:tc>
      </w:tr>
      <w:tr>
        <w:trPr>
          <w:cantSplit/>
        </w:trPr>
        <w:tc>
          <w:tcPr>
            <w:tcW w:type="dxa" w:w="5832"/>
            <w:tcMar>
              <w:top w:w="100" w:type="dxa"/>
              <w:start w:w="120" w:type="dxa"/>
              <w:bottom w:w="100" w:type="dxa"/>
              <w:end w:w="120" w:type="dxa"/>
            </w:tcMar>
          </w:tcPr>
          <w:p>
            <w:pPr>
              <w:spacing w:after="0"/>
            </w:pPr>
            <w:r>
              <w:rPr>
                <w:sz w:val="17"/>
              </w:rPr>
              <w:t>Warm-handoff, responsibility, and follow-through plan</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Outcome indicators and review date</w:t>
            </w:r>
          </w:p>
        </w:tc>
        <w:tc>
          <w:tcPr>
            <w:tcW w:type="dxa" w:w="4104"/>
            <w:tcMar>
              <w:top w:w="100" w:type="dxa"/>
              <w:start w:w="120" w:type="dxa"/>
              <w:bottom w:w="100" w:type="dxa"/>
              <w:end w:w="120" w:type="dxa"/>
            </w:tcMar>
            <w:shd w:fill="F7F8FA"/>
          </w:tcPr>
          <w:p>
            <w:pPr>
              <w:spacing w:after="0"/>
            </w:pPr>
            <w:r>
              <w:rPr>
                <w:sz w:val="17"/>
              </w:rPr>
            </w:r>
          </w:p>
        </w:tc>
      </w:tr>
    </w:tbl>
    <w:p>
      <w:pPr>
        <w:spacing w:after="0"/>
      </w:pPr>
    </w:p>
    <w:p>
      <w:pPr>
        <w:pStyle w:val="Heading1"/>
      </w:pPr>
      <w:r>
        <w:t>Chapter Summary</w:t>
      </w:r>
    </w:p>
    <w:p>
      <w:pPr>
        <w:pStyle w:val="ListBullet"/>
      </w:pPr>
      <w:r>
        <w:t>Choose the smallest sufficient client-system level while adding family, group, team, organization, or community intervention when broader systems maintain risk, barriers, or impairment.</w:t>
      </w:r>
    </w:p>
    <w:p>
      <w:pPr>
        <w:pStyle w:val="ListBullet"/>
      </w:pPr>
      <w:r>
        <w:t>Family and caregiver involvement should be purposeful, safe, authorized, culturally responsive, and consistent with the capable client’s informed choices whenever possible.</w:t>
      </w:r>
    </w:p>
    <w:p>
      <w:pPr>
        <w:pStyle w:val="ListBullet"/>
      </w:pPr>
      <w:r>
        <w:t>Effective groups require screening, informed expectations, appropriate composition, active facilitation, balanced participation, cohesion, safety, and planned transition or termination.</w:t>
      </w:r>
    </w:p>
    <w:p>
      <w:pPr>
        <w:pStyle w:val="ListBullet"/>
      </w:pPr>
      <w:r>
        <w:t>A referral is not complete when a list is handed to the client; verify fit and access, use a warm handoff when needed, and confirm follow-through and outcomes.</w:t>
      </w:r>
    </w:p>
    <w:p>
      <w:pPr>
        <w:pStyle w:val="ListBullet"/>
      </w:pPr>
      <w:r>
        <w:t>Interdisciplinary, permanency, end-of-life, and community work require role clarity, limited relevant information sharing, meaningful participation, and attention to power, resources, and sustainability.</w:t>
      </w:r>
    </w:p>
    <w:p>
      <w:pPr>
        <w:pStyle w:val="Heading1"/>
        <w:pageBreakBefore/>
      </w:pPr>
      <w:r>
        <w:t>Knowledge Check</w:t>
      </w:r>
    </w:p>
    <w:p>
      <w:r>
        <w:rPr>
          <w:i w:val="0"/>
        </w:rPr>
        <w:t>Complete all 10 original CTA practice questions before reviewing the answer key. Record your answer and confidence level. The set emphasizes family and basic-needs assessment, group facilitation, accessible referral, IEP and team collaboration, referral follow-through, permanency, end-of-life care, client choice, service-network coordination, and community participation.</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LCSW-WB09-Q001 | Scenario | Moderate | Primary concept: Family assessment and urgent basic needs</w:t>
      </w:r>
    </w:p>
    <w:p>
      <w:pPr>
        <w:keepNext/>
        <w:keepLines/>
        <w:spacing w:before="60"/>
      </w:pPr>
      <w:r>
        <w:rPr>
          <w:b/>
          <w:i w:val="0"/>
        </w:rPr>
        <w:t>1. A school social worker receives a referral for a student's disruptive behavior. During the first meeting, the parents disclose that the family may lose housing. What should the social worker do NEXT?</w:t>
      </w:r>
    </w:p>
    <w:p>
      <w:pPr>
        <w:keepNext/>
        <w:keepLines/>
        <w:spacing w:after="20"/>
        <w:ind w:left="259"/>
      </w:pPr>
      <w:r>
        <w:t>A. Assess the family's housing, safety, financial, educational, and support needs with the family.</w:t>
      </w:r>
    </w:p>
    <w:p>
      <w:pPr>
        <w:keepNext/>
        <w:keepLines/>
        <w:spacing w:after="20"/>
        <w:ind w:left="259"/>
      </w:pPr>
      <w:r>
        <w:t>B. Begin a behavior contract with the student immediately.</w:t>
      </w:r>
    </w:p>
    <w:p>
      <w:pPr>
        <w:keepNext/>
        <w:keepLines/>
        <w:spacing w:after="20"/>
        <w:ind w:left="259"/>
      </w:pPr>
      <w:r>
        <w:t>C. Tell the parents that housing problems are outside the school social worker's role.</w:t>
      </w:r>
    </w:p>
    <w:p>
      <w:pPr>
        <w:keepNext/>
        <w:keepLines/>
        <w:spacing w:after="20"/>
        <w:ind w:left="259"/>
      </w:pPr>
      <w:r>
        <w:t>D. Report the parents for neglect solely because housing is unstable.</w:t>
      </w:r>
    </w:p>
    <w:p>
      <w:pPr>
        <w:keepNext w:val="0"/>
        <w:spacing w:before="0" w:after="120" w:line="240" w:lineRule="auto"/>
      </w:pPr>
      <w:r>
        <w:t>My answer: ______  Confidence: 1  2  3</w:t>
      </w:r>
    </w:p>
    <w:p>
      <w:pPr>
        <w:keepNext/>
        <w:spacing w:before="120" w:after="40" w:line="240" w:lineRule="auto"/>
      </w:pPr>
      <w:r>
        <w:t>LCSW-WB09-Q002 | Application | Moderate | Primary concept: Group participation and facilitation</w:t>
      </w:r>
    </w:p>
    <w:p>
      <w:pPr>
        <w:keepNext/>
        <w:keepLines/>
        <w:spacing w:before="60"/>
      </w:pPr>
      <w:r>
        <w:rPr>
          <w:b/>
          <w:i w:val="0"/>
        </w:rPr>
        <w:t>2. In a psychoeducational group, one member repeatedly answers every question before others can speak. What should the social worker do?</w:t>
      </w:r>
    </w:p>
    <w:p>
      <w:pPr>
        <w:keepNext/>
        <w:keepLines/>
        <w:spacing w:after="20"/>
        <w:ind w:left="259"/>
      </w:pPr>
      <w:r>
        <w:t>A. Tell the member to remain silent for the rest of the session.</w:t>
      </w:r>
    </w:p>
    <w:p>
      <w:pPr>
        <w:keepNext/>
        <w:keepLines/>
        <w:spacing w:after="20"/>
        <w:ind w:left="259"/>
      </w:pPr>
      <w:r>
        <w:t>B. Ignore the behavior because psychoeducational groups do not require cohesion.</w:t>
      </w:r>
    </w:p>
    <w:p>
      <w:pPr>
        <w:keepNext/>
        <w:keepLines/>
        <w:spacing w:after="20"/>
        <w:ind w:left="259"/>
      </w:pPr>
      <w:r>
        <w:t>C. Thank the member, restate the participation norm, and invite other members to respond.</w:t>
      </w:r>
    </w:p>
    <w:p>
      <w:pPr>
        <w:keepNext/>
        <w:keepLines/>
        <w:spacing w:after="20"/>
        <w:ind w:left="259"/>
      </w:pPr>
      <w:r>
        <w:t>D. Ask the group to vote on whether the member should leave.</w:t>
      </w:r>
    </w:p>
    <w:p>
      <w:pPr>
        <w:keepNext w:val="0"/>
        <w:spacing w:before="0" w:after="120" w:line="240" w:lineRule="auto"/>
      </w:pPr>
      <w:r>
        <w:t>My answer: ______  Confidence: 1  2  3</w:t>
      </w:r>
    </w:p>
    <w:p>
      <w:pPr>
        <w:keepNext/>
        <w:spacing w:before="120" w:after="40" w:line="240" w:lineRule="auto"/>
      </w:pPr>
      <w:r>
        <w:t>LCSW-WB09-Q003 | Scenario | Moderate | Primary concept: Accessible mandated referral</w:t>
      </w:r>
    </w:p>
    <w:p>
      <w:pPr>
        <w:keepNext/>
        <w:keepLines/>
        <w:spacing w:before="60"/>
      </w:pPr>
      <w:r>
        <w:rPr>
          <w:b/>
          <w:i w:val="0"/>
        </w:rPr>
        <w:t>3. A client is referred to an anger-management group but cannot understand the language used in the program. What should the social worker do FIRST?</w:t>
      </w:r>
    </w:p>
    <w:p>
      <w:pPr>
        <w:keepNext/>
        <w:keepLines/>
        <w:spacing w:after="20"/>
        <w:ind w:left="259"/>
      </w:pPr>
      <w:r>
        <w:t>A. Tell the client to attend anyway because participation is mandatory.</w:t>
      </w:r>
    </w:p>
    <w:p>
      <w:pPr>
        <w:keepNext/>
        <w:keepLines/>
        <w:spacing w:after="20"/>
        <w:ind w:left="259"/>
      </w:pPr>
      <w:r>
        <w:t>B. Ask a family member to interpret confidential group sessions.</w:t>
      </w:r>
    </w:p>
    <w:p>
      <w:pPr>
        <w:keepNext/>
        <w:keepLines/>
        <w:spacing w:after="20"/>
        <w:ind w:left="259"/>
      </w:pPr>
      <w:r>
        <w:t>C. Document that the client is resistant to treatment.</w:t>
      </w:r>
    </w:p>
    <w:p>
      <w:pPr>
        <w:keepNext/>
        <w:keepLines/>
        <w:spacing w:after="20"/>
        <w:ind w:left="259"/>
      </w:pPr>
      <w:r>
        <w:t>D. Assess the mandate, language-access needs, and availability of an equivalent accessible service.</w:t>
      </w:r>
    </w:p>
    <w:p>
      <w:pPr>
        <w:keepNext w:val="0"/>
        <w:spacing w:before="0" w:after="120" w:line="240" w:lineRule="auto"/>
      </w:pPr>
      <w:r>
        <w:t>My answer: ______  Confidence: 1  2  3</w:t>
      </w:r>
    </w:p>
    <w:p>
      <w:pPr>
        <w:keepNext/>
        <w:spacing w:before="120" w:after="40" w:line="240" w:lineRule="auto"/>
      </w:pPr>
      <w:r>
        <w:t>LCSW-WB09-Q004 | Scenario | Moderate | Primary concept: Educational-team role and authorization</w:t>
      </w:r>
    </w:p>
    <w:p>
      <w:pPr>
        <w:keepNext/>
        <w:keepLines/>
        <w:spacing w:before="60"/>
      </w:pPr>
      <w:r>
        <w:rPr>
          <w:b/>
          <w:i w:val="0"/>
        </w:rPr>
        <w:t>4. A clinical social worker is invited to an IEP meeting for a child receiving therapy. The parent asks the social worker to participate. What should the social worker do FIRST?</w:t>
      </w:r>
    </w:p>
    <w:p>
      <w:pPr>
        <w:keepNext/>
        <w:keepLines/>
        <w:spacing w:after="20"/>
        <w:ind w:left="259"/>
      </w:pPr>
      <w:r>
        <w:t>A. Attend and disclose the entire psychotherapy record.</w:t>
      </w:r>
    </w:p>
    <w:p>
      <w:pPr>
        <w:keepNext/>
        <w:keepLines/>
        <w:spacing w:after="20"/>
        <w:ind w:left="259"/>
      </w:pPr>
      <w:r>
        <w:t>B. Decline because clinical social workers never participate in educational meetings.</w:t>
      </w:r>
    </w:p>
    <w:p>
      <w:pPr>
        <w:keepNext/>
        <w:keepLines/>
        <w:spacing w:after="20"/>
        <w:ind w:left="259"/>
      </w:pPr>
      <w:r>
        <w:t>C. Clarify the parent's authorization, the social worker's role, the meeting purpose, and what information would be relevant.</w:t>
      </w:r>
    </w:p>
    <w:p>
      <w:pPr>
        <w:keepNext/>
        <w:keepLines/>
        <w:spacing w:after="20"/>
        <w:ind w:left="259"/>
      </w:pPr>
      <w:r>
        <w:t>D. Ask the school to determine what may be disclosed.</w:t>
      </w:r>
    </w:p>
    <w:p>
      <w:pPr>
        <w:keepNext w:val="0"/>
        <w:spacing w:before="0" w:after="120" w:line="240" w:lineRule="auto"/>
      </w:pPr>
      <w:r>
        <w:t>My answer: ______  Confidence: 1  2  3</w:t>
      </w:r>
    </w:p>
    <w:p>
      <w:pPr>
        <w:keepNext/>
        <w:spacing w:before="120" w:after="40" w:line="240" w:lineRule="auto"/>
      </w:pPr>
      <w:r>
        <w:t>LCSW-WB09-Q005 | Application | Moderate | Primary concept: Warm handoff and referral follow-through</w:t>
      </w:r>
    </w:p>
    <w:p>
      <w:pPr>
        <w:keepNext/>
        <w:keepLines/>
        <w:spacing w:before="60"/>
      </w:pPr>
      <w:r>
        <w:rPr>
          <w:b/>
          <w:i w:val="0"/>
        </w:rPr>
        <w:t>5. A social worker gives a client a list of food-assistance programs. At the next visit, the client says none of the programs returned calls. What should the social worker do NEXT?</w:t>
      </w:r>
    </w:p>
    <w:p>
      <w:pPr>
        <w:keepNext/>
        <w:keepLines/>
        <w:spacing w:after="20"/>
        <w:ind w:left="259"/>
      </w:pPr>
      <w:r>
        <w:t>A. Provide the same list again.</w:t>
      </w:r>
    </w:p>
    <w:p>
      <w:pPr>
        <w:keepNext/>
        <w:keepLines/>
        <w:spacing w:after="20"/>
        <w:ind w:left="259"/>
      </w:pPr>
      <w:r>
        <w:t>B. Assess barriers, verify current resource availability, and collaborate on a warm handoff or alternative service.</w:t>
      </w:r>
    </w:p>
    <w:p>
      <w:pPr>
        <w:keepNext/>
        <w:keepLines/>
        <w:spacing w:after="20"/>
        <w:ind w:left="259"/>
      </w:pPr>
      <w:r>
        <w:t>C. Conclude that the client lacks motivation.</w:t>
      </w:r>
    </w:p>
    <w:p>
      <w:pPr>
        <w:keepNext/>
        <w:keepLines/>
        <w:spacing w:after="20"/>
        <w:ind w:left="259"/>
      </w:pPr>
      <w:r>
        <w:t>D. End services because community agencies are responsible now.</w:t>
      </w:r>
    </w:p>
    <w:p>
      <w:pPr>
        <w:keepNext w:val="0"/>
        <w:spacing w:before="0" w:after="120" w:line="240" w:lineRule="auto"/>
      </w:pPr>
      <w:r>
        <w:t>My answer: ______  Confidence: 1  2  3</w:t>
      </w:r>
    </w:p>
    <w:p>
      <w:pPr>
        <w:keepNext/>
        <w:spacing w:before="120" w:after="40" w:line="240" w:lineRule="auto"/>
      </w:pPr>
      <w:r>
        <w:t>LCSW-WB09-Q006 | Scenario | Moderate | Primary concept: Permanency planning and participation</w:t>
      </w:r>
    </w:p>
    <w:p>
      <w:pPr>
        <w:keepNext/>
        <w:keepLines/>
        <w:spacing w:before="60"/>
      </w:pPr>
      <w:r>
        <w:rPr>
          <w:b/>
          <w:i w:val="0"/>
        </w:rPr>
        <w:t>6. A social worker in child welfare is developing a permanency plan for a child in foster care. The child, parents, and foster caregivers express different preferences. What should the social worker do FIRST?</w:t>
      </w:r>
    </w:p>
    <w:p>
      <w:pPr>
        <w:keepNext/>
        <w:keepLines/>
        <w:spacing w:after="20"/>
        <w:ind w:left="259"/>
      </w:pPr>
      <w:r>
        <w:t>A. Review safety, legal requirements, the child's developmental needs and voice, family capacities, and available supports before recommending a plan.</w:t>
      </w:r>
    </w:p>
    <w:p>
      <w:pPr>
        <w:keepNext/>
        <w:keepLines/>
        <w:spacing w:after="20"/>
        <w:ind w:left="259"/>
      </w:pPr>
      <w:r>
        <w:t>B. Adopt the foster caregivers' preference because they provide daily care.</w:t>
      </w:r>
    </w:p>
    <w:p>
      <w:pPr>
        <w:keepNext/>
        <w:keepLines/>
        <w:spacing w:after="20"/>
        <w:ind w:left="259"/>
      </w:pPr>
      <w:r>
        <w:t>C. Promise the child that the child's preferred placement will occur.</w:t>
      </w:r>
    </w:p>
    <w:p>
      <w:pPr>
        <w:keepNext/>
        <w:keepLines/>
        <w:spacing w:after="20"/>
        <w:ind w:left="259"/>
      </w:pPr>
      <w:r>
        <w:t>D. Exclude the parents from planning because the child is already in care.</w:t>
      </w:r>
    </w:p>
    <w:p>
      <w:pPr>
        <w:keepNext w:val="0"/>
        <w:spacing w:before="0" w:after="120" w:line="240" w:lineRule="auto"/>
      </w:pPr>
      <w:r>
        <w:t>My answer: ______  Confidence: 1  2  3</w:t>
      </w:r>
    </w:p>
    <w:p>
      <w:pPr>
        <w:keepNext/>
        <w:spacing w:before="120" w:after="40" w:line="240" w:lineRule="auto"/>
      </w:pPr>
      <w:r>
        <w:t>LCSW-WB09-Q007 | Scenario | Moderate | Primary concept: End-of-life self-determination and teamwork</w:t>
      </w:r>
    </w:p>
    <w:p>
      <w:pPr>
        <w:keepNext/>
        <w:keepLines/>
        <w:spacing w:before="60"/>
      </w:pPr>
      <w:r>
        <w:rPr>
          <w:b/>
          <w:i w:val="0"/>
        </w:rPr>
        <w:t>7. A hospice patient wants comfort-focused care, while adult children insist that every possible treatment continue. What should the social worker do NEXT?</w:t>
      </w:r>
    </w:p>
    <w:p>
      <w:pPr>
        <w:keepNext/>
        <w:keepLines/>
        <w:spacing w:after="20"/>
        <w:ind w:left="259"/>
      </w:pPr>
      <w:r>
        <w:t>A. Tell the children that their opinions are irrelevant.</w:t>
      </w:r>
    </w:p>
    <w:p>
      <w:pPr>
        <w:keepNext/>
        <w:keepLines/>
        <w:spacing w:after="20"/>
        <w:ind w:left="259"/>
      </w:pPr>
      <w:r>
        <w:t>B. Persuade the patient to follow the children's wishes.</w:t>
      </w:r>
    </w:p>
    <w:p>
      <w:pPr>
        <w:keepNext/>
        <w:keepLines/>
        <w:spacing w:after="20"/>
        <w:ind w:left="259"/>
      </w:pPr>
      <w:r>
        <w:t>C. Avoid the conflict because medical staff will resolve it.</w:t>
      </w:r>
    </w:p>
    <w:p>
      <w:pPr>
        <w:keepNext/>
        <w:keepLines/>
        <w:spacing w:after="20"/>
        <w:ind w:left="259"/>
      </w:pPr>
      <w:r>
        <w:t>D. Clarify the patient's decision-making capacity and expressed goals, support communication, and coordinate with the hospice team.</w:t>
      </w:r>
    </w:p>
    <w:p>
      <w:pPr>
        <w:keepNext w:val="0"/>
        <w:spacing w:before="0" w:after="120" w:line="240" w:lineRule="auto"/>
      </w:pPr>
      <w:r>
        <w:t>My answer: ______  Confidence: 1  2  3</w:t>
      </w:r>
    </w:p>
    <w:p>
      <w:pPr>
        <w:keepNext/>
        <w:spacing w:before="120" w:after="40" w:line="240" w:lineRule="auto"/>
      </w:pPr>
      <w:r>
        <w:t>LCSW-WB09-Q008 | Recall | Easy | Primary concept: Client choice about family involvement</w:t>
      </w:r>
    </w:p>
    <w:p>
      <w:pPr>
        <w:keepNext/>
        <w:keepLines/>
        <w:spacing w:before="60"/>
      </w:pPr>
      <w:r>
        <w:rPr>
          <w:b/>
          <w:i w:val="0"/>
        </w:rPr>
        <w:t>8. An adult client in outpatient treatment asks the social worker not to involve family members, although the family has requested updates. There is no immediate safety concern. What should the social worker do?</w:t>
      </w:r>
    </w:p>
    <w:p>
      <w:pPr>
        <w:keepNext/>
        <w:keepLines/>
        <w:spacing w:after="20"/>
        <w:ind w:left="259"/>
      </w:pPr>
      <w:r>
        <w:t>A. Provide updates because the family is concerned.</w:t>
      </w:r>
    </w:p>
    <w:p>
      <w:pPr>
        <w:keepNext/>
        <w:keepLines/>
        <w:spacing w:after="20"/>
        <w:ind w:left="259"/>
      </w:pPr>
      <w:r>
        <w:t>B. Respect the client's decision and explore the reasons, benefits, and possible alternatives for support.</w:t>
      </w:r>
    </w:p>
    <w:p>
      <w:pPr>
        <w:keepNext/>
        <w:keepLines/>
        <w:spacing w:after="20"/>
        <w:ind w:left="259"/>
      </w:pPr>
      <w:r>
        <w:t>C. Terminate treatment because family support is necessary.</w:t>
      </w:r>
    </w:p>
    <w:p>
      <w:pPr>
        <w:keepNext/>
        <w:keepLines/>
        <w:spacing w:after="20"/>
        <w:ind w:left="259"/>
      </w:pPr>
      <w:r>
        <w:t>D. Tell the family the client is being uncooperative.</w:t>
      </w:r>
    </w:p>
    <w:p>
      <w:pPr>
        <w:keepNext w:val="0"/>
        <w:spacing w:before="0" w:after="120" w:line="240" w:lineRule="auto"/>
      </w:pPr>
      <w:r>
        <w:t>My answer: ______  Confidence: 1  2  3</w:t>
      </w:r>
    </w:p>
    <w:p>
      <w:pPr>
        <w:keepNext/>
        <w:spacing w:before="120" w:after="40" w:line="240" w:lineRule="auto"/>
      </w:pPr>
      <w:r>
        <w:t>LCSW-WB09-Q009 | Scenario | Moderate | Primary concept: Interagency role clarification</w:t>
      </w:r>
    </w:p>
    <w:p>
      <w:pPr>
        <w:keepNext/>
        <w:keepLines/>
        <w:spacing w:before="60"/>
      </w:pPr>
      <w:r>
        <w:rPr>
          <w:b/>
          <w:i w:val="0"/>
        </w:rPr>
        <w:t>9. A client receives overlapping services from three agencies and reports contradictory instructions. What should the social worker do FIRST?</w:t>
      </w:r>
    </w:p>
    <w:p>
      <w:pPr>
        <w:keepNext/>
        <w:keepLines/>
        <w:spacing w:after="20"/>
        <w:ind w:left="259"/>
      </w:pPr>
      <w:r>
        <w:t>A. Tell the client to select one agency and end the others immediately.</w:t>
      </w:r>
    </w:p>
    <w:p>
      <w:pPr>
        <w:keepNext/>
        <w:keepLines/>
        <w:spacing w:after="20"/>
        <w:ind w:left="259"/>
      </w:pPr>
      <w:r>
        <w:t>B. Assume the client misunderstood the instructions.</w:t>
      </w:r>
    </w:p>
    <w:p>
      <w:pPr>
        <w:keepNext/>
        <w:keepLines/>
        <w:spacing w:after="20"/>
        <w:ind w:left="259"/>
      </w:pPr>
      <w:r>
        <w:t>C. With appropriate consent, clarify each provider's role, identify conflicts or duplication, and coordinate a shared plan.</w:t>
      </w:r>
    </w:p>
    <w:p>
      <w:pPr>
        <w:keepNext/>
        <w:keepLines/>
        <w:spacing w:after="20"/>
        <w:ind w:left="259"/>
      </w:pPr>
      <w:r>
        <w:t>D. Send all records to every agency without limits.</w:t>
      </w:r>
    </w:p>
    <w:p>
      <w:pPr>
        <w:keepNext w:val="0"/>
        <w:spacing w:before="0" w:after="120" w:line="240" w:lineRule="auto"/>
      </w:pPr>
      <w:r>
        <w:t>My answer: ______  Confidence: 1  2  3</w:t>
      </w:r>
    </w:p>
    <w:p>
      <w:pPr>
        <w:keepNext/>
        <w:spacing w:before="120" w:after="40" w:line="240" w:lineRule="auto"/>
      </w:pPr>
      <w:r>
        <w:t>LCSW-WB09-Q010 | Integrated | Challenge | Primary concept: Community participation and advocacy</w:t>
      </w:r>
    </w:p>
    <w:p>
      <w:pPr>
        <w:keepNext/>
        <w:keepLines/>
        <w:spacing w:before="60"/>
      </w:pPr>
      <w:r>
        <w:rPr>
          <w:b/>
          <w:i w:val="0"/>
        </w:rPr>
        <w:t>10. Residents ask a community social worker for help responding to increasing neighborhood violence. What should the social worker do FIRST?</w:t>
      </w:r>
    </w:p>
    <w:p>
      <w:pPr>
        <w:keepNext/>
        <w:keepLines/>
        <w:spacing w:after="20"/>
        <w:ind w:left="259"/>
      </w:pPr>
      <w:r>
        <w:t>A. Design a program without resident input.</w:t>
      </w:r>
    </w:p>
    <w:p>
      <w:pPr>
        <w:keepNext/>
        <w:keepLines/>
        <w:spacing w:after="20"/>
        <w:ind w:left="259"/>
      </w:pPr>
      <w:r>
        <w:t>B. Tell residents that only law enforcement can address the problem.</w:t>
      </w:r>
    </w:p>
    <w:p>
      <w:pPr>
        <w:keepNext/>
        <w:keepLines/>
        <w:spacing w:after="20"/>
        <w:ind w:left="259"/>
      </w:pPr>
      <w:r>
        <w:t>C. Select a single spokesperson and exclude other perspectives.</w:t>
      </w:r>
    </w:p>
    <w:p>
      <w:pPr>
        <w:keepNext/>
        <w:keepLines/>
        <w:spacing w:after="20"/>
        <w:ind w:left="259"/>
      </w:pPr>
      <w:r>
        <w:t>D. Facilitate assessment of residents' priorities, strengths, stakeholders, risks, and existing resources.</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involved client-system choice, self-determination, group process, access, referral follow-through, team roles, or incomplete person-in-environment reasoning. Rewrite the best-answer rule in your own words.</w:t>
            </w:r>
          </w:p>
        </w:tc>
      </w:tr>
    </w:tbl>
    <w:p>
      <w:pPr>
        <w:spacing w:after="0"/>
      </w:pPr>
    </w:p>
    <w:p>
      <w:pPr>
        <w:pStyle w:val="Heading2"/>
        <w:keepNext/>
        <w:keepLines/>
        <w:spacing w:before="100" w:after="40"/>
      </w:pPr>
      <w:r>
        <w:rPr>
          <w:b/>
          <w:sz w:val="20"/>
        </w:rPr>
        <w:t>Question 1 (LCSW-WB09-Q001)</w:t>
      </w:r>
    </w:p>
    <w:p>
      <w:pPr>
        <w:keepNext/>
        <w:keepLines/>
      </w:pPr>
      <w:r>
        <w:rPr>
          <w:b/>
          <w:i w:val="0"/>
          <w:color w:val="0F7C82"/>
        </w:rPr>
        <w:t>Correct Answer: A</w:t>
      </w:r>
    </w:p>
    <w:p>
      <w:pPr>
        <w:keepNext/>
        <w:keepLines/>
        <w:spacing w:after="40"/>
        <w:ind w:left="173"/>
      </w:pPr>
      <w:r>
        <w:rPr>
          <w:b/>
          <w:i w:val="0"/>
        </w:rPr>
        <w:t>A. Correct. Person-in-environment assessment should include urgent family needs and their effect on the student.</w:t>
      </w:r>
    </w:p>
    <w:p>
      <w:pPr>
        <w:keepNext/>
        <w:keepLines/>
        <w:spacing w:after="40"/>
        <w:ind w:left="173"/>
      </w:pPr>
      <w:r>
        <w:rPr>
          <w:b/>
          <w:i w:val="0"/>
        </w:rPr>
        <w:t>B. A behavior plan may be considered later, but the environmental crisis may be contributing to the student's functioning.</w:t>
      </w:r>
    </w:p>
    <w:p>
      <w:pPr>
        <w:keepNext/>
        <w:keepLines/>
        <w:spacing w:after="40"/>
        <w:ind w:left="173"/>
      </w:pPr>
      <w:r>
        <w:rPr>
          <w:b/>
          <w:i w:val="0"/>
        </w:rPr>
        <w:t>C. Social workers commonly assess and coordinate around resource barriers that affect functioning.</w:t>
      </w:r>
    </w:p>
    <w:p>
      <w:pPr>
        <w:keepNext/>
        <w:keepLines/>
        <w:spacing w:after="40"/>
        <w:ind w:left="173"/>
      </w:pPr>
      <w:r>
        <w:rPr>
          <w:b/>
          <w:i w:val="0"/>
        </w:rPr>
        <w:t>D. Housing instability alone does not establish neglect; further assessment is needed.</w:t>
      </w:r>
    </w:p>
    <w:p>
      <w:pPr>
        <w:keepLines/>
        <w:spacing w:after="120"/>
        <w:ind w:left="173"/>
      </w:pPr>
      <w:r>
        <w:rPr>
          <w:b/>
          <w:i w:val="0"/>
          <w:color w:val="1F4E78"/>
        </w:rPr>
        <w:t xml:space="preserve">Exam Strategy: </w:t>
      </w:r>
      <w:r>
        <w:rPr>
          <w:b w:val="0"/>
          <w:i/>
        </w:rPr>
        <w:t>Integrate family dynamics with urgent person-in-environment needs; do not treat a resource crisis as only a communication problem.</w:t>
      </w:r>
    </w:p>
    <w:p>
      <w:pPr>
        <w:pStyle w:val="Heading2"/>
        <w:keepNext/>
        <w:keepLines/>
        <w:spacing w:before="100" w:after="40"/>
      </w:pPr>
      <w:r>
        <w:rPr>
          <w:b/>
          <w:sz w:val="20"/>
        </w:rPr>
        <w:t>Question 2 (LCSW-WB09-Q002)</w:t>
      </w:r>
    </w:p>
    <w:p>
      <w:pPr>
        <w:keepNext/>
        <w:keepLines/>
      </w:pPr>
      <w:r>
        <w:rPr>
          <w:b/>
          <w:i w:val="0"/>
          <w:color w:val="0F7C82"/>
        </w:rPr>
        <w:t>Correct Answer: C</w:t>
      </w:r>
    </w:p>
    <w:p>
      <w:pPr>
        <w:keepNext/>
        <w:keepLines/>
        <w:spacing w:after="40"/>
        <w:ind w:left="173"/>
      </w:pPr>
      <w:r>
        <w:rPr>
          <w:b/>
          <w:i w:val="0"/>
        </w:rPr>
        <w:t>A. A punitive response may shame the member and damage group safety.</w:t>
      </w:r>
    </w:p>
    <w:p>
      <w:pPr>
        <w:keepNext/>
        <w:keepLines/>
        <w:spacing w:after="40"/>
        <w:ind w:left="173"/>
      </w:pPr>
      <w:r>
        <w:rPr>
          <w:b/>
          <w:i w:val="0"/>
        </w:rPr>
        <w:t>B. Participation and cohesion still matter in psychoeducational groups.</w:t>
      </w:r>
    </w:p>
    <w:p>
      <w:pPr>
        <w:keepNext/>
        <w:keepLines/>
        <w:spacing w:after="40"/>
        <w:ind w:left="173"/>
      </w:pPr>
      <w:r>
        <w:rPr>
          <w:b/>
          <w:i w:val="0"/>
        </w:rPr>
        <w:t>C. Correct. The facilitator protects access and participation while responding respectfully and reinforcing norms.</w:t>
      </w:r>
    </w:p>
    <w:p>
      <w:pPr>
        <w:keepNext/>
        <w:keepLines/>
        <w:spacing w:after="40"/>
        <w:ind w:left="173"/>
      </w:pPr>
      <w:r>
        <w:rPr>
          <w:b/>
          <w:i w:val="0"/>
        </w:rPr>
        <w:t>D. The facilitator should manage the process rather than shifting disciplinary responsibility to the group.</w:t>
      </w:r>
    </w:p>
    <w:p>
      <w:pPr>
        <w:keepLines/>
        <w:spacing w:after="120"/>
        <w:ind w:left="173"/>
      </w:pPr>
      <w:r>
        <w:rPr>
          <w:b/>
          <w:i w:val="0"/>
          <w:color w:val="1F4E78"/>
        </w:rPr>
        <w:t xml:space="preserve">Exam Strategy: </w:t>
      </w:r>
      <w:r>
        <w:rPr>
          <w:b w:val="0"/>
          <w:i/>
        </w:rPr>
        <w:t>Protect safety, participation, and cohesion while addressing the here-and-now process respectfully and consistently with group norms.</w:t>
      </w:r>
    </w:p>
    <w:p>
      <w:pPr>
        <w:pStyle w:val="Heading2"/>
        <w:keepNext/>
        <w:keepLines/>
        <w:spacing w:before="100" w:after="40"/>
      </w:pPr>
      <w:r>
        <w:rPr>
          <w:b/>
          <w:sz w:val="20"/>
        </w:rPr>
        <w:t>Question 3 (LCSW-WB09-Q003)</w:t>
      </w:r>
    </w:p>
    <w:p>
      <w:pPr>
        <w:keepNext/>
        <w:keepLines/>
      </w:pPr>
      <w:r>
        <w:rPr>
          <w:b/>
          <w:i w:val="0"/>
          <w:color w:val="0F7C82"/>
        </w:rPr>
        <w:t>Correct Answer: D</w:t>
      </w:r>
    </w:p>
    <w:p>
      <w:pPr>
        <w:keepNext/>
        <w:keepLines/>
        <w:spacing w:after="40"/>
        <w:ind w:left="173"/>
      </w:pPr>
      <w:r>
        <w:rPr>
          <w:b/>
          <w:i w:val="0"/>
        </w:rPr>
        <w:t>A. Attendance without meaningful language access may not provide an effective or fair service.</w:t>
      </w:r>
    </w:p>
    <w:p>
      <w:pPr>
        <w:keepNext/>
        <w:keepLines/>
        <w:spacing w:after="40"/>
        <w:ind w:left="173"/>
      </w:pPr>
      <w:r>
        <w:rPr>
          <w:b/>
          <w:i w:val="0"/>
        </w:rPr>
        <w:t>B. Family interpretation in a confidential group is generally not an adequate substitute for qualified language access.</w:t>
      </w:r>
    </w:p>
    <w:p>
      <w:pPr>
        <w:keepNext/>
        <w:keepLines/>
        <w:spacing w:after="40"/>
        <w:ind w:left="173"/>
      </w:pPr>
      <w:r>
        <w:rPr>
          <w:b/>
          <w:i w:val="0"/>
        </w:rPr>
        <w:t>C. The barrier is access, not necessarily motivation.</w:t>
      </w:r>
    </w:p>
    <w:p>
      <w:pPr>
        <w:keepNext/>
        <w:keepLines/>
        <w:spacing w:after="40"/>
        <w:ind w:left="173"/>
      </w:pPr>
      <w:r>
        <w:rPr>
          <w:b/>
          <w:i w:val="0"/>
        </w:rPr>
        <w:t>D. Correct. The social worker should clarify requirements and identify an accessible, appropriate option.</w:t>
      </w:r>
    </w:p>
    <w:p>
      <w:pPr>
        <w:keepLines/>
        <w:spacing w:after="120"/>
        <w:ind w:left="173"/>
      </w:pPr>
      <w:r>
        <w:rPr>
          <w:b/>
          <w:i w:val="0"/>
          <w:color w:val="1F4E78"/>
        </w:rPr>
        <w:t xml:space="preserve">Exam Strategy: </w:t>
      </w:r>
      <w:r>
        <w:rPr>
          <w:b w:val="0"/>
          <w:i/>
        </w:rPr>
        <w:t>Match the referral to need, eligibility, language, disability access, transportation, cost, and client preference.</w:t>
      </w:r>
    </w:p>
    <w:p>
      <w:pPr>
        <w:pStyle w:val="Heading2"/>
        <w:keepNext/>
        <w:keepLines/>
        <w:spacing w:before="100" w:after="40"/>
      </w:pPr>
      <w:r>
        <w:rPr>
          <w:b/>
          <w:sz w:val="20"/>
        </w:rPr>
        <w:t>Question 4 (LCSW-WB09-Q004)</w:t>
      </w:r>
    </w:p>
    <w:p>
      <w:pPr>
        <w:keepNext/>
        <w:keepLines/>
      </w:pPr>
      <w:r>
        <w:rPr>
          <w:b/>
          <w:i w:val="0"/>
          <w:color w:val="0F7C82"/>
        </w:rPr>
        <w:t>Correct Answer: C</w:t>
      </w:r>
    </w:p>
    <w:p>
      <w:pPr>
        <w:keepNext/>
        <w:keepLines/>
        <w:spacing w:after="40"/>
        <w:ind w:left="173"/>
      </w:pPr>
      <w:r>
        <w:rPr>
          <w:b/>
          <w:i w:val="0"/>
        </w:rPr>
        <w:t>A. Participation does not require release of the full record.</w:t>
      </w:r>
    </w:p>
    <w:p>
      <w:pPr>
        <w:keepNext/>
        <w:keepLines/>
        <w:spacing w:after="40"/>
        <w:ind w:left="173"/>
      </w:pPr>
      <w:r>
        <w:rPr>
          <w:b/>
          <w:i w:val="0"/>
        </w:rPr>
        <w:t>B. Interdisciplinary participation may be appropriate and useful.</w:t>
      </w:r>
    </w:p>
    <w:p>
      <w:pPr>
        <w:keepNext/>
        <w:keepLines/>
        <w:spacing w:after="40"/>
        <w:ind w:left="173"/>
      </w:pPr>
      <w:r>
        <w:rPr>
          <w:b/>
          <w:i w:val="0"/>
        </w:rPr>
        <w:t>C. Correct. Effective collaboration begins with clear authorization, role, purpose, and limited relevant information.</w:t>
      </w:r>
    </w:p>
    <w:p>
      <w:pPr>
        <w:keepNext/>
        <w:keepLines/>
        <w:spacing w:after="40"/>
        <w:ind w:left="173"/>
      </w:pPr>
      <w:r>
        <w:rPr>
          <w:b/>
          <w:i w:val="0"/>
        </w:rPr>
        <w:t>D. The social worker remains responsible for ethical information sharing and role clarity.</w:t>
      </w:r>
    </w:p>
    <w:p>
      <w:pPr>
        <w:keepLines/>
        <w:spacing w:after="120"/>
        <w:ind w:left="173"/>
      </w:pPr>
      <w:r>
        <w:rPr>
          <w:b/>
          <w:i w:val="0"/>
          <w:color w:val="1F4E78"/>
        </w:rPr>
        <w:t xml:space="preserve">Exam Strategy: </w:t>
      </w:r>
      <w:r>
        <w:rPr>
          <w:b w:val="0"/>
          <w:i/>
        </w:rPr>
        <w:t>Clarify the client’s goals, the social worker’s role, relevant information, and how the client or caregiver will participate in the team process.</w:t>
      </w:r>
    </w:p>
    <w:p>
      <w:pPr>
        <w:pStyle w:val="Heading2"/>
        <w:keepNext/>
        <w:keepLines/>
        <w:spacing w:before="100" w:after="40"/>
      </w:pPr>
      <w:r>
        <w:rPr>
          <w:b/>
          <w:sz w:val="20"/>
        </w:rPr>
        <w:t>Question 5 (LCSW-WB09-Q005)</w:t>
      </w:r>
    </w:p>
    <w:p>
      <w:pPr>
        <w:keepNext/>
        <w:keepLines/>
      </w:pPr>
      <w:r>
        <w:rPr>
          <w:b/>
          <w:i w:val="0"/>
          <w:color w:val="0F7C82"/>
        </w:rPr>
        <w:t>Correct Answer: B</w:t>
      </w:r>
    </w:p>
    <w:p>
      <w:pPr>
        <w:keepNext/>
        <w:keepLines/>
        <w:spacing w:after="40"/>
        <w:ind w:left="173"/>
      </w:pPr>
      <w:r>
        <w:rPr>
          <w:b/>
          <w:i w:val="0"/>
        </w:rPr>
        <w:t>A. Repeating an ineffective referral does not address the failed access process.</w:t>
      </w:r>
    </w:p>
    <w:p>
      <w:pPr>
        <w:keepNext/>
        <w:keepLines/>
        <w:spacing w:after="40"/>
        <w:ind w:left="173"/>
      </w:pPr>
      <w:r>
        <w:rPr>
          <w:b/>
          <w:i w:val="0"/>
        </w:rPr>
        <w:t>B. Correct. Case management includes verifying resources, troubleshooting barriers, and following through.</w:t>
      </w:r>
    </w:p>
    <w:p>
      <w:pPr>
        <w:keepNext/>
        <w:keepLines/>
        <w:spacing w:after="40"/>
        <w:ind w:left="173"/>
      </w:pPr>
      <w:r>
        <w:rPr>
          <w:b/>
          <w:i w:val="0"/>
        </w:rPr>
        <w:t>C. The problem may be availability, eligibility, technology, language, transportation, or system capacity rather than motivation.</w:t>
      </w:r>
    </w:p>
    <w:p>
      <w:pPr>
        <w:keepNext/>
        <w:keepLines/>
        <w:spacing w:after="40"/>
        <w:ind w:left="173"/>
      </w:pPr>
      <w:r>
        <w:rPr>
          <w:b/>
          <w:i w:val="0"/>
        </w:rPr>
        <w:t>D. Referral does not automatically end the social worker's responsibility for continuity and evaluation.</w:t>
      </w:r>
    </w:p>
    <w:p>
      <w:pPr>
        <w:keepLines/>
        <w:spacing w:after="120"/>
        <w:ind w:left="173"/>
      </w:pPr>
      <w:r>
        <w:rPr>
          <w:b/>
          <w:i w:val="0"/>
          <w:color w:val="1F4E78"/>
        </w:rPr>
        <w:t xml:space="preserve">Exam Strategy: </w:t>
      </w:r>
      <w:r>
        <w:rPr>
          <w:b w:val="0"/>
          <w:i/>
        </w:rPr>
        <w:t>Use a warm handoff and confirm whether the client could actually access the service rather than treating a referral list as completion.</w:t>
      </w:r>
    </w:p>
    <w:p>
      <w:pPr>
        <w:pStyle w:val="Heading2"/>
        <w:keepNext/>
        <w:keepLines/>
        <w:spacing w:before="100" w:after="40"/>
      </w:pPr>
      <w:r>
        <w:rPr>
          <w:b/>
          <w:sz w:val="20"/>
        </w:rPr>
        <w:t>Question 6 (LCSW-WB09-Q006)</w:t>
      </w:r>
    </w:p>
    <w:p>
      <w:pPr>
        <w:keepNext/>
        <w:keepLines/>
      </w:pPr>
      <w:r>
        <w:rPr>
          <w:b/>
          <w:i w:val="0"/>
          <w:color w:val="0F7C82"/>
        </w:rPr>
        <w:t>Correct Answer: A</w:t>
      </w:r>
    </w:p>
    <w:p>
      <w:pPr>
        <w:keepNext/>
        <w:keepLines/>
        <w:spacing w:after="40"/>
        <w:ind w:left="173"/>
      </w:pPr>
      <w:r>
        <w:rPr>
          <w:b/>
          <w:i w:val="0"/>
        </w:rPr>
        <w:t>A. Correct. Permanency planning integrates safety, law, developmental needs, client voice, family capacity, and supports.</w:t>
      </w:r>
    </w:p>
    <w:p>
      <w:pPr>
        <w:keepNext/>
        <w:keepLines/>
        <w:spacing w:after="40"/>
        <w:ind w:left="173"/>
      </w:pPr>
      <w:r>
        <w:rPr>
          <w:b/>
          <w:i w:val="0"/>
        </w:rPr>
        <w:t>B. Daily caregiving is important information but does not alone determine permanency.</w:t>
      </w:r>
    </w:p>
    <w:p>
      <w:pPr>
        <w:keepNext/>
        <w:keepLines/>
        <w:spacing w:after="40"/>
        <w:ind w:left="173"/>
      </w:pPr>
      <w:r>
        <w:rPr>
          <w:b/>
          <w:i w:val="0"/>
        </w:rPr>
        <w:t>C. The social worker cannot guarantee an outcome that depends on legal and multidisciplinary decisions.</w:t>
      </w:r>
    </w:p>
    <w:p>
      <w:pPr>
        <w:keepNext/>
        <w:keepLines/>
        <w:spacing w:after="40"/>
        <w:ind w:left="173"/>
      </w:pPr>
      <w:r>
        <w:rPr>
          <w:b/>
          <w:i w:val="0"/>
        </w:rPr>
        <w:t>D. Parents may have rights and relevant information and should not be categorically excluded.</w:t>
      </w:r>
    </w:p>
    <w:p>
      <w:pPr>
        <w:keepLines/>
        <w:spacing w:after="120"/>
        <w:ind w:left="173"/>
      </w:pPr>
      <w:r>
        <w:rPr>
          <w:b/>
          <w:i w:val="0"/>
          <w:color w:val="1F4E78"/>
        </w:rPr>
        <w:t xml:space="preserve">Exam Strategy: </w:t>
      </w:r>
      <w:r>
        <w:rPr>
          <w:b w:val="0"/>
          <w:i/>
        </w:rPr>
        <w:t>Center safety, development, family participation, identity, attachment, and the least disruptive sustainable plan.</w:t>
      </w:r>
    </w:p>
    <w:p>
      <w:pPr>
        <w:pStyle w:val="Heading2"/>
        <w:keepNext/>
        <w:keepLines/>
        <w:spacing w:before="100" w:after="40"/>
      </w:pPr>
      <w:r>
        <w:rPr>
          <w:b/>
          <w:sz w:val="20"/>
        </w:rPr>
        <w:t>Question 7 (LCSW-WB09-Q007)</w:t>
      </w:r>
    </w:p>
    <w:p>
      <w:pPr>
        <w:keepNext/>
        <w:keepLines/>
      </w:pPr>
      <w:r>
        <w:rPr>
          <w:b/>
          <w:i w:val="0"/>
          <w:color w:val="0F7C82"/>
        </w:rPr>
        <w:t>Correct Answer: D</w:t>
      </w:r>
    </w:p>
    <w:p>
      <w:pPr>
        <w:keepNext/>
        <w:keepLines/>
        <w:spacing w:after="40"/>
        <w:ind w:left="173"/>
      </w:pPr>
      <w:r>
        <w:rPr>
          <w:b/>
          <w:i w:val="0"/>
        </w:rPr>
        <w:t>A. The family's feelings may need support even when the capable patient's preferences guide care.</w:t>
      </w:r>
    </w:p>
    <w:p>
      <w:pPr>
        <w:keepNext/>
        <w:keepLines/>
        <w:spacing w:after="40"/>
        <w:ind w:left="173"/>
      </w:pPr>
      <w:r>
        <w:rPr>
          <w:b/>
          <w:i w:val="0"/>
        </w:rPr>
        <w:t>B. This disregards the patient's autonomy.</w:t>
      </w:r>
    </w:p>
    <w:p>
      <w:pPr>
        <w:keepNext/>
        <w:keepLines/>
        <w:spacing w:after="40"/>
        <w:ind w:left="173"/>
      </w:pPr>
      <w:r>
        <w:rPr>
          <w:b/>
          <w:i w:val="0"/>
        </w:rPr>
        <w:t>C. The social worker has an appropriate role in communication, support, and care coordination.</w:t>
      </w:r>
    </w:p>
    <w:p>
      <w:pPr>
        <w:keepNext/>
        <w:keepLines/>
        <w:spacing w:after="40"/>
        <w:ind w:left="173"/>
      </w:pPr>
      <w:r>
        <w:rPr>
          <w:b/>
          <w:i w:val="0"/>
        </w:rPr>
        <w:t>D. Correct. The social worker supports self-determination, communication, and interdisciplinary care around the patient's goals.</w:t>
      </w:r>
    </w:p>
    <w:p>
      <w:pPr>
        <w:keepLines/>
        <w:spacing w:after="120"/>
        <w:ind w:left="173"/>
      </w:pPr>
      <w:r>
        <w:rPr>
          <w:b/>
          <w:i w:val="0"/>
          <w:color w:val="1F4E78"/>
        </w:rPr>
        <w:t xml:space="preserve">Exam Strategy: </w:t>
      </w:r>
      <w:r>
        <w:rPr>
          <w:b w:val="0"/>
          <w:i/>
        </w:rPr>
        <w:t>Coordinate the interdisciplinary team while preserving informed choice, cultural meaning, family communication, symptom needs, and client dignity.</w:t>
      </w:r>
    </w:p>
    <w:p>
      <w:pPr>
        <w:pStyle w:val="Heading2"/>
        <w:keepNext/>
        <w:keepLines/>
        <w:spacing w:before="100" w:after="40"/>
      </w:pPr>
      <w:r>
        <w:rPr>
          <w:b/>
          <w:sz w:val="20"/>
        </w:rPr>
        <w:t>Question 8 (LCSW-WB09-Q008)</w:t>
      </w:r>
    </w:p>
    <w:p>
      <w:pPr>
        <w:keepNext/>
        <w:keepLines/>
      </w:pPr>
      <w:r>
        <w:rPr>
          <w:b/>
          <w:i w:val="0"/>
          <w:color w:val="0F7C82"/>
        </w:rPr>
        <w:t>Correct Answer: B</w:t>
      </w:r>
    </w:p>
    <w:p>
      <w:pPr>
        <w:keepNext/>
        <w:keepLines/>
        <w:spacing w:after="40"/>
        <w:ind w:left="173"/>
      </w:pPr>
      <w:r>
        <w:rPr>
          <w:b/>
          <w:i w:val="0"/>
        </w:rPr>
        <w:t>A. Concern alone does not authorize disclosure.</w:t>
      </w:r>
    </w:p>
    <w:p>
      <w:pPr>
        <w:keepNext/>
        <w:keepLines/>
        <w:spacing w:after="40"/>
        <w:ind w:left="173"/>
      </w:pPr>
      <w:r>
        <w:rPr>
          <w:b/>
          <w:i w:val="0"/>
        </w:rPr>
        <w:t>B. Correct. A capable adult generally directs family involvement, and the social worker can explore concerns and alternatives without coercion.</w:t>
      </w:r>
    </w:p>
    <w:p>
      <w:pPr>
        <w:keepNext/>
        <w:keepLines/>
        <w:spacing w:after="40"/>
        <w:ind w:left="173"/>
      </w:pPr>
      <w:r>
        <w:rPr>
          <w:b/>
          <w:i w:val="0"/>
        </w:rPr>
        <w:t>C. Family involvement is not automatically required for outpatient treatment.</w:t>
      </w:r>
    </w:p>
    <w:p>
      <w:pPr>
        <w:keepNext/>
        <w:keepLines/>
        <w:spacing w:after="40"/>
        <w:ind w:left="173"/>
      </w:pPr>
      <w:r>
        <w:rPr>
          <w:b/>
          <w:i w:val="0"/>
        </w:rPr>
        <w:t>D. This is disrespectful and may disclose protected treatment information.</w:t>
      </w:r>
    </w:p>
    <w:p>
      <w:pPr>
        <w:keepLines/>
        <w:spacing w:after="120"/>
        <w:ind w:left="173"/>
      </w:pPr>
      <w:r>
        <w:rPr>
          <w:b/>
          <w:i w:val="0"/>
          <w:color w:val="1F4E78"/>
        </w:rPr>
        <w:t xml:space="preserve">Exam Strategy: </w:t>
      </w:r>
      <w:r>
        <w:rPr>
          <w:b w:val="0"/>
          <w:i/>
        </w:rPr>
        <w:t>Ask the client how and whether family involvement would help, unless safety, law, or capacity requires a different response.</w:t>
      </w:r>
    </w:p>
    <w:p>
      <w:pPr>
        <w:pStyle w:val="Heading2"/>
        <w:keepNext/>
        <w:keepLines/>
        <w:spacing w:before="100" w:after="40"/>
      </w:pPr>
      <w:r>
        <w:rPr>
          <w:b/>
          <w:sz w:val="20"/>
        </w:rPr>
        <w:t>Question 9 (LCSW-WB09-Q009)</w:t>
      </w:r>
    </w:p>
    <w:p>
      <w:pPr>
        <w:keepNext/>
        <w:keepLines/>
      </w:pPr>
      <w:r>
        <w:rPr>
          <w:b/>
          <w:i w:val="0"/>
          <w:color w:val="0F7C82"/>
        </w:rPr>
        <w:t>Correct Answer: C</w:t>
      </w:r>
    </w:p>
    <w:p>
      <w:pPr>
        <w:keepNext/>
        <w:keepLines/>
        <w:spacing w:after="40"/>
        <w:ind w:left="173"/>
      </w:pPr>
      <w:r>
        <w:rPr>
          <w:b/>
          <w:i w:val="0"/>
        </w:rPr>
        <w:t>A. Ending services may remove needed supports before the roles and conflicts are understood.</w:t>
      </w:r>
    </w:p>
    <w:p>
      <w:pPr>
        <w:keepNext/>
        <w:keepLines/>
        <w:spacing w:after="40"/>
        <w:ind w:left="173"/>
      </w:pPr>
      <w:r>
        <w:rPr>
          <w:b/>
          <w:i w:val="0"/>
        </w:rPr>
        <w:t>B. The conflicting guidance may be real and should be assessed rather than dismissed.</w:t>
      </w:r>
    </w:p>
    <w:p>
      <w:pPr>
        <w:keepNext/>
        <w:keepLines/>
        <w:spacing w:after="40"/>
        <w:ind w:left="173"/>
      </w:pPr>
      <w:r>
        <w:rPr>
          <w:b/>
          <w:i w:val="0"/>
        </w:rPr>
        <w:t>C. Correct. Coordinated care requires consent, role clarity, communication, and a coherent plan.</w:t>
      </w:r>
    </w:p>
    <w:p>
      <w:pPr>
        <w:keepNext/>
        <w:keepLines/>
        <w:spacing w:after="40"/>
        <w:ind w:left="173"/>
      </w:pPr>
      <w:r>
        <w:rPr>
          <w:b/>
          <w:i w:val="0"/>
        </w:rPr>
        <w:t>D. Coordination does not justify unlimited disclosure.</w:t>
      </w:r>
    </w:p>
    <w:p>
      <w:pPr>
        <w:keepLines/>
        <w:spacing w:after="120"/>
        <w:ind w:left="173"/>
      </w:pPr>
      <w:r>
        <w:rPr>
          <w:b/>
          <w:i w:val="0"/>
          <w:color w:val="1F4E78"/>
        </w:rPr>
        <w:t xml:space="preserve">Exam Strategy: </w:t>
      </w:r>
      <w:r>
        <w:rPr>
          <w:b w:val="0"/>
          <w:i/>
        </w:rPr>
        <w:t>Coordinate roles, communication, and follow-through across systems while sharing only relevant information with proper authority.</w:t>
      </w:r>
    </w:p>
    <w:p>
      <w:pPr>
        <w:pStyle w:val="Heading2"/>
        <w:keepNext/>
        <w:keepLines/>
        <w:spacing w:before="100" w:after="40"/>
      </w:pPr>
      <w:r>
        <w:rPr>
          <w:b/>
          <w:sz w:val="20"/>
        </w:rPr>
        <w:t>Question 10 (LCSW-WB09-Q010)</w:t>
      </w:r>
    </w:p>
    <w:p>
      <w:pPr>
        <w:keepNext/>
        <w:keepLines/>
      </w:pPr>
      <w:r>
        <w:rPr>
          <w:b/>
          <w:i w:val="0"/>
          <w:color w:val="0F7C82"/>
        </w:rPr>
        <w:t>Correct Answer: D</w:t>
      </w:r>
    </w:p>
    <w:p>
      <w:pPr>
        <w:keepNext/>
        <w:keepLines/>
        <w:spacing w:after="40"/>
        <w:ind w:left="173"/>
      </w:pPr>
      <w:r>
        <w:rPr>
          <w:b/>
          <w:i w:val="0"/>
        </w:rPr>
        <w:t>A. A program developed without community participation may not match needs or assets.</w:t>
      </w:r>
    </w:p>
    <w:p>
      <w:pPr>
        <w:keepNext/>
        <w:keepLines/>
        <w:spacing w:after="40"/>
        <w:ind w:left="173"/>
      </w:pPr>
      <w:r>
        <w:rPr>
          <w:b/>
          <w:i w:val="0"/>
        </w:rPr>
        <w:t>B. Violence prevention may require multiple sectors and community participation, not only law enforcement.</w:t>
      </w:r>
    </w:p>
    <w:p>
      <w:pPr>
        <w:keepNext/>
        <w:keepLines/>
        <w:spacing w:after="40"/>
        <w:ind w:left="173"/>
      </w:pPr>
      <w:r>
        <w:rPr>
          <w:b/>
          <w:i w:val="0"/>
        </w:rPr>
        <w:t>C. A single voice may not represent the community's diversity and can reduce participation.</w:t>
      </w:r>
    </w:p>
    <w:p>
      <w:pPr>
        <w:keepNext/>
        <w:keepLines/>
        <w:spacing w:after="40"/>
        <w:ind w:left="173"/>
      </w:pPr>
      <w:r>
        <w:rPr>
          <w:b/>
          <w:i w:val="0"/>
        </w:rPr>
        <w:t>D. Correct. Community work begins with participatory assessment of priorities, strengths, stakeholders, safety, and resources.</w:t>
      </w:r>
    </w:p>
    <w:p>
      <w:pPr>
        <w:keepLines/>
        <w:spacing w:after="120"/>
        <w:ind w:left="173"/>
      </w:pPr>
      <w:r>
        <w:rPr>
          <w:b/>
          <w:i w:val="0"/>
          <w:color w:val="1F4E78"/>
        </w:rPr>
        <w:t xml:space="preserve">Exam Strategy: </w:t>
      </w:r>
      <w:r>
        <w:rPr>
          <w:b w:val="0"/>
          <w:i/>
        </w:rPr>
        <w:t>Engage community members as partners, assess power and access, and support participation rather than imposing a professional solution.</w:t>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applied reasoning</w:t>
            </w:r>
          </w:p>
        </w:tc>
        <w:tc>
          <w:tcPr>
            <w:tcW w:type="dxa" w:w="5328"/>
            <w:tcMar>
              <w:top w:w="100" w:type="dxa"/>
              <w:start w:w="120" w:type="dxa"/>
              <w:bottom w:w="100" w:type="dxa"/>
              <w:end w:w="120" w:type="dxa"/>
            </w:tcMar>
          </w:tcPr>
          <w:p>
            <w:pPr>
              <w:spacing w:after="0"/>
            </w:pPr>
            <w:r>
              <w:rPr>
                <w:sz w:val="18"/>
              </w:rPr>
              <w:t>Review low-confidence items and complete mixed vignettes that combine safety, fit, and response evaluation.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the decision sequence and the tables for timing, client-system fit, and course correction.</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Important reasoning gaps</w:t>
            </w:r>
          </w:p>
        </w:tc>
        <w:tc>
          <w:tcPr>
            <w:tcW w:type="dxa" w:w="5328"/>
            <w:tcMar>
              <w:top w:w="100" w:type="dxa"/>
              <w:start w:w="120" w:type="dxa"/>
              <w:bottom w:w="100" w:type="dxa"/>
              <w:end w:w="120" w:type="dxa"/>
            </w:tcMar>
          </w:tcPr>
          <w:p>
            <w:pPr>
              <w:spacing w:after="0"/>
            </w:pPr>
            <w:r>
              <w:rPr>
                <w:sz w:val="18"/>
              </w:rPr>
              <w:t>Practice naming the target and explaining why the best response is safer, better timed, and more feasible.</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intervention or client-system function at a time, then complete a second untimed attempt.</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Final Review Checklist</w:t>
      </w:r>
    </w:p>
    <w:p>
      <w:pPr>
        <w:pStyle w:val="ListBullet"/>
      </w:pPr>
      <w:r>
        <w:t>Did I identify the immediate priority before selecting a method or service?</w:t>
      </w:r>
    </w:p>
    <w:p>
      <w:pPr>
        <w:pStyle w:val="ListBullet"/>
      </w:pPr>
      <w:r>
        <w:t>Did I identify the target or client-system problem the response is intended to change?</w:t>
      </w:r>
    </w:p>
    <w:p>
      <w:pPr>
        <w:pStyle w:val="ListBullet"/>
      </w:pPr>
      <w:r>
        <w:t>Did I preserve client choice about family, group, team, and community participation whenever possible?</w:t>
      </w:r>
    </w:p>
    <w:p>
      <w:pPr>
        <w:pStyle w:val="ListBullet"/>
      </w:pPr>
      <w:r>
        <w:t>Did I consider development, culture, language, disability, access, readiness, and informed preferences?</w:t>
      </w:r>
    </w:p>
    <w:p>
      <w:pPr>
        <w:pStyle w:val="ListBullet"/>
      </w:pPr>
      <w:r>
        <w:t>Did I verify that the referral or service plan is accessible and that a responsible person will follow through?</w:t>
      </w:r>
    </w:p>
    <w:p>
      <w:pPr>
        <w:pStyle w:val="ListBullet"/>
      </w:pPr>
      <w:r>
        <w:t>Did I remain within competence and coordinate consultation, referral, or a higher level of care when needed?</w:t>
      </w:r>
    </w:p>
    <w:p>
      <w:pPr>
        <w:pStyle w:val="ListBullet"/>
      </w:pPr>
      <w:r>
        <w:t>Did I define how progress, access, participation, or follow-through will be evaluated?</w:t>
      </w:r>
    </w:p>
    <w:p>
      <w:pPr>
        <w:pStyle w:val="Heading1"/>
        <w:keepNext/>
        <w:spacing w:before="100" w:after="40"/>
      </w:pPr>
      <w:r>
        <w:t>Sources and Currency Note</w:t>
      </w:r>
    </w:p>
    <w:p>
      <w:pPr>
        <w:pStyle w:val="ListBullet"/>
      </w:pPr>
      <w:r>
        <w:t>Association of Social Work Boards. ASWB Examination Guidebook: 2026 Blueprints for Exams Taken on or After August 3, 2026 (May 2026), Clinical content outline and references.</w:t>
      </w:r>
    </w:p>
    <w:p>
      <w:pPr>
        <w:pStyle w:val="ListBullet"/>
      </w:pPr>
      <w:r>
        <w:t>Association of Social Work Boards. 2026 changes to the Social Work Licensing Exams and current Clinical examination resources (accessed July 24, 2026).</w:t>
      </w:r>
    </w:p>
    <w:p>
      <w:pPr>
        <w:pStyle w:val="ListBullet"/>
      </w:pPr>
      <w:r>
        <w:t>National Association of Social Workers. Code of Ethics (2021).</w:t>
      </w:r>
    </w:p>
    <w:p>
      <w:pPr>
        <w:pStyle w:val="ListBullet"/>
      </w:pPr>
      <w:r>
        <w:t>Family, couple, parenting, group, permanency, end-of-life, interdisciplinary, referral, and community principles are presented at an examination-preparation level. Jurisdiction-specific law and organizational policy must be verified locally.</w:t>
      </w:r>
    </w:p>
    <w:p>
      <w:pPr>
        <w:pStyle w:val="ListBullet"/>
      </w:pPr>
      <w:r>
        <w:t>This workbook uses national ASWB reasoning unless a vignette supplies a jurisdiction. Exam specifications, laws, ethical standards, and professional guidance may change.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rPr>
              <w:rFonts w:ascii="Aptos" w:hAnsi="Aptos"/>
              <w:color w:val="6B7280"/>
              <w:sz w:val="16"/>
            </w:rPr>
            <w:t xml:space="preserve">Page </w:t>
          </w:r>
          <w:r>
            <w:rPr>
              <w:rFonts w:ascii="Aptos" w:hAnsi="Aptos"/>
              <w:color w:val="6B7280"/>
              <w:sz w:val="16"/>
            </w:rPr>
            <w:fldChar w:fldCharType="begin"/>
          </w:r>
          <w:r>
            <w:rPr>
              <w:rFonts w:ascii="Aptos" w:hAnsi="Aptos"/>
              <w:color w:val="6B7280"/>
              <w:sz w:val="16"/>
            </w:rPr>
            <w:instrText xml:space="preserve"> PAGE </w:instrText>
          </w:r>
          <w:r>
            <w:rPr>
              <w:rFonts w:ascii="Aptos" w:hAnsi="Aptos"/>
              <w:color w:val="6B7280"/>
              <w:sz w:val="16"/>
            </w:rPr>
            <w:fldChar w:fldCharType="separate"/>
          </w:r>
          <w:r>
            <w:rPr>
              <w:rFonts w:ascii="Aptos" w:hAnsi="Aptos"/>
              <w:color w:val="6B7280"/>
              <w:sz w:val="16"/>
            </w:rPr>
            <w:t>1</w:t>
          </w:r>
          <w:r>
            <w:rPr>
              <w:rFonts w:ascii="Aptos" w:hAnsi="Aptos"/>
              <w:color w:val="6B7280"/>
              <w:sz w:val="16"/>
            </w:rPr>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LCSW Workbook 9  |  Family, Couple, Group, and Parenting Interventions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9: Family, Couple, Group, and Parenting Interventions</dc:title>
  <dc:subject>LCSW Exam Preparation Program Student Workbook</dc:subject>
  <dc:creator>Clinical Training Academy</dc:creator>
  <cp:keywords>CTA, LCSW, exam preparation, Workbook 9</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