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i w:val="0"/>
          <w:color w:val="1F7A8C"/>
          <w:sz w:val="24"/>
        </w:rPr>
        <w:t>CLINICAL TRAINING ACADEMY</w:t>
      </w:r>
    </w:p>
    <w:p>
      <w:pPr>
        <w:spacing w:before="320"/>
        <w:jc w:val="center"/>
      </w:pPr>
      <w:r>
        <w:rPr>
          <w:rFonts w:ascii="Arial" w:hAnsi="Arial"/>
          <w:b/>
          <w:i w:val="0"/>
          <w:color w:val="17365D"/>
          <w:sz w:val="68"/>
        </w:rPr>
        <w:t>LMFT</w:t>
      </w:r>
    </w:p>
    <w:p>
      <w:pPr>
        <w:jc w:val="center"/>
      </w:pPr>
      <w:r>
        <w:rPr>
          <w:rFonts w:ascii="Arial" w:hAnsi="Arial"/>
          <w:b/>
          <w:i w:val="0"/>
          <w:color w:val="24313D"/>
          <w:sz w:val="36"/>
        </w:rPr>
        <w:t>CLINICAL EXAM PREPARATION FLASHCARD COLLECTION</w:t>
      </w: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1F7A8C"/>
          <w:sz w:val="24"/>
        </w:rPr>
        <w:t>Printable study cards for core reasoning and all 12 workbooks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4804"/>
            <w:shd w:fill="DDEFF2"/>
            <w:tcBorders>
              <w:top w:val="single" w:sz="12" w:color="1F7A8C"/>
              <w:left w:val="single" w:sz="12" w:color="1F7A8C"/>
              <w:bottom w:val="single" w:sz="12" w:color="1F7A8C"/>
              <w:right w:val="single" w:sz="12" w:color="1F7A8C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6"/>
              </w:rPr>
              <w:t>132 cards  •  12 core-reasoning cards  •  10 cards for each workbook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b w:val="0"/>
          <w:i w:val="0"/>
          <w:color w:val="68737D"/>
          <w:sz w:val="20"/>
        </w:rPr>
        <w:t>Cut the cards, fold or cover the answer area, or study directly on screen.</w:t>
      </w:r>
    </w:p>
    <w:p>
      <w:pPr>
        <w:spacing w:before="160"/>
        <w:jc w:val="center"/>
      </w:pPr>
      <w:r>
        <w:rPr>
          <w:rFonts w:ascii="Arial" w:hAnsi="Arial"/>
          <w:b w:val="0"/>
          <w:i w:val="0"/>
          <w:color w:val="68737D"/>
          <w:sz w:val="19"/>
        </w:rPr>
        <w:t>Version 1.0  •  July 2026</w:t>
      </w:r>
    </w:p>
    <w:p>
      <w:r>
        <w:br w:type="page"/>
      </w:r>
    </w:p>
    <w:p>
      <w:pPr>
        <w:pStyle w:val="Heading1"/>
        <w:jc w:val="center"/>
      </w:pPr>
      <w:r>
        <w:t>How to Use the LMFT Flashcards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5"/>
        <w:gridCol w:w="4935"/>
        <w:gridCol w:w="4935"/>
      </w:tblGrid>
      <w:tr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RETRIEVE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Read the question. Cover the answer. Say the rule, sequence, or next step aloud before checking.</w:t>
            </w:r>
          </w:p>
        </w:tc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APPLY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For rule and trap cards, create a one-sentence vignette that would test the distinction.</w:t>
            </w:r>
          </w:p>
        </w:tc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REVIEW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Sort cards into Know, Unsure, and Relearn. Return missed cards to the matching workbook and rationale.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F7A8C"/>
          <w:sz w:val="20"/>
        </w:rPr>
        <w:t>CARD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1"/>
        <w:gridCol w:w="3701"/>
        <w:gridCol w:w="3701"/>
        <w:gridCol w:w="3701"/>
      </w:tblGrid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Exam Strategy and Clinical Reasoning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WB7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Planning, Progress, and Termination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WB2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Engagement, Intake, and MSE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WB8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Family, Couple, Attachment, and Relational Interventions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WB3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Developmental, Psychosocial, and Diversity Assessment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WB9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Trauma, Psychological, Behavioral, and Recovery Interventions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WB4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Relational, Family-System, Trauma, and Strengths Assessment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WB10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Developmental, Cultural, and Contextual Interventions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WB5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Diagnosis and Differential Diagnosis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WB11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Theory, Groups, Referral, and Collaboration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WB6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Crisis, Abuse, and Safety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WB12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California Legal, Ethical, and Professional Practice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7365D"/>
          <w:sz w:val="18"/>
        </w:rPr>
        <w:t xml:space="preserve">Study rule: </w:t>
      </w:r>
      <w:r>
        <w:rPr>
          <w:rFonts w:ascii="Arial" w:hAnsi="Arial"/>
          <w:b w:val="0"/>
          <w:i w:val="0"/>
          <w:color w:val="24313D"/>
          <w:sz w:val="18"/>
        </w:rPr>
        <w:t>Use these cards after learning the workbook content. Flashcards strengthen retrieval; they do not replace the full workbook, question-bank rationales, or current official exam and licensing information.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is the LMFT core decision sequence?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Task → Safety/Duty → Role → Assessment → Formulation → Plan → Intervention → Review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should you identify before solving the vignette?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Read the final question first and identify the requested task word and stage of care.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controls the sequence when safety or a duty is present?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Address immediate safety and controlling legal or ethical duties before routine assessment, planning, or intervention.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role question is essential in LMFT cases?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Clarify the therapist role, who the client is, and the appropriate treatment unit before choosing an action.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known and missing facts affect an answer?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Choose the option supported by known facts. When decision-critical information is missing, assess or clarify before acting.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does the LMFT systemic lens add?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Identify reciprocal patterns, relationships, context, power, safety, and the smallest effective safe treatment unit.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client preference and consent shape the response?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Integrate client preference, voluntariness, consent, privacy, culture, and context unless a safety or legal duty changes the sequence.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does “least assumptive” mean?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Reject options that require motives, diagnoses, readiness, authority, or facts that the vignette does not provide.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is a common timing rule?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 clinically reasonable intervention is wrong when assessment, stabilization, consent, planning, or role clarification must occur first.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level of response is usually preferred?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the least unnecessarily intensive, intrusive, or disruptive action that is safe, effective, ethical, and supported by the facts.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makes an action complete?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Include documentation, coordination or handoff, follow-up, outcome review, and continuity of care when the case requires them.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a missed question become a study tool?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Classify the error, write the corrective decision rule, identify the cue you missed, and practice the same pattern again.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Task → Priority → Fit → Answer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Clinical Decision Hierarchy + Three-Pass Method. Use it to organize the reasoning priorities in Exam Strategy and Clinical Reasoning.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Read the final question and qualifier before solving the full vignette. FIRST, NEXT, BEST, and MOST identify different tasks.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sequence: Emergency → Duty → Role → Assess → Plan → Intervene → Review.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Add the LMFT lens: identify the individual, relationship pattern, context, and appropriate treatment unit.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the strongest or most sophisticated action instead of the best-timed action.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facts, motives, consent, safety, or readiness that the vignette does not provide.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Forcing conjoint or family treatment when safety, privacy, medical urgency, or individual assessment controls the sequence.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exact task is the question asking? • What stage of care is the case in? • Which option fits the known facts without adding assumptions?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 each missed item, record the task word, decision stage, overlooked fact, and corrective rule.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Role • Safety • Baseline • Context • Next Step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Integrated Intake + MSE Snapshot. Use it to organize the reasoning priorities in Clinical Engagement, Intake, and Mental Status Assessment.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Engagement and assessment occur together; the relationship itself provides clinical data.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Clarify referral source, participants, therapist role, confidentiality frame, and who the client is before deciding what to do.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the MSE as a current behavioral snapshot: observe, describe, compare with baseline, and consider medical, medication, substance, sleep, and contextual factors.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Taking sides or treating one participant’s report as the complete truth.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Converting observations into motives or diagnoses without adequate evidence.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Ignoring sudden changes, physical signs, medication effects, or substance use that may require medical attention.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Who is the client and what is my role? • What is observed versus inferred? • What changed, when, and what else could explain it?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Practice writing one sentence of observation before one sentence of interpretation.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Locate → Systems → Change → Meaning → Strengths → Pattern → Action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Contextual Reasoning Sequence. Use it to organize the reasoning priorities in Developmental, Psychosocial, and Diversity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Locate the client in developmental level, life stage, family life cycle, and recent transitions—not age alone.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Ask how culture, identity, trauma, power, access, and systems shape the client’s meaning and options.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Assess barriers and protective resources together, then identify the maintaining pattern and next assessment or intervention step.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developmental or cultural stereotypes as explanations.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Pathologizing difference or treating structural stress as an individual defect.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Giving advice before understanding the transition, system, and client-defined meaning.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developmental and family transition is occurring? • What systems and power conditions matter? • What strength or resource can be used clinically?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Build a five-line context map before answering the practice bank.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Relationships • Emotional Injury • Life System • Aggression • Tools • Existing Strengths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RELATE Assessment Map. Use it to organize the reasoning priorities in Relational, Family-System, Trauma, and Strengths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Assess relational patterns, boundaries, roles, support, intimacy, trauma, aggression, and protection—not only conflict history.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Place a safety and consent gate before detailed trauma, violence, sexuality, or joint disclosure work.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measures, consultation, and referral only when they answer a specific unresolved clinical question and preserve continuity.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Treating one person’s account or a screening score as the diagnosis.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Pressing for detail before safety, pacing, and consent are established.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vague strengths language that does not change the formulation or plan.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pattern and protection are present? • What is known, missing, and from which source? • Does this tool or referral change the next decision?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Complete a RELATE map with one item in every domain.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Pattern • Timeline • Impact • Exclusions • Alternatives • Status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Working Diagnostic Formulation. Use it to organize the reasoning priorities in Diagnosis and Differential Diagnosis.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Diagnosis is a working conclusion based on pattern, threshold, chronology, impairment, and exclusions.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Rule out medical, neurological, medication, substance, and sleep explanations before locking in a psychiatric diagnosis.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working, provisional, differential, rule-out, and contextual status language accurately; state only what the evidence supports.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Diagnosing from one dramatic symptom or selecting the most severe-sounding label.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Ignoring timeline, baseline, periods of use or abstinence, and competing explanations.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Making one diagnosis explain relational, cultural, environmental, and comorbid factors that require separate attention.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is the pattern and chronology? • What exclusions remain? • Is the evidence sufficient to diagnose, gather more, or refer?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a one-sentence working formulation plus two competing explanations.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Stabilize • Assess • Formulate • Execute • Record/Reconnect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SAFER Crisis Sequence. Use it to organize the reasoning priorities in Crisis, Abuse, and Safety.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When risk is incomplete, assess directly; when danger or a duty is established, act proportionately.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Move from labels to specific facts: intent, plan, means, timing, history, protective factors, location, access, and reachability.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Recognize when the controlling issue is medical, legal/reporting, relational, or level of care, then create a plan that can actually be used.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Substituting reassurance, a safety contract, or a generic resource list for direct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the most restrictive response before acuity, capacity, and feasible alternatives are considered.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Failing to document rationale, handoff, and follow-up after the immediate action.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immediate signal requires clarification? • What facts determine acuity and duty? • Is the plan reachable, realistic, and followed up?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Practice stating the next two questions you would ask before naming an intervention.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Prioritize • Link • Agree • Name • Evaluate • Revise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PLAN-ER + CLOSE. Use it to organize the reasoning priorities in Planning, Progress, and Termination.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Create a defensible chain: assessment finding → formulation → goal → action → measure → review.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Goals must be collaborative, specific enough to recognize progress, and linked to the maintaining pattern and treatment unit.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CLOSE for transitions: Confirm, Look, Organize, Summarize, End; plan continuity and relapse prevention rather than ending abruptly.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Writing broad goals that cannot be measured or tied to a formulation.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a modality or level of care because it is familiar rather than because it fits the target.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Blaming the client for limited progress before reassessing diagnosis, alliance, access, implementation, intensity, or treatment unit.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priority is the plan addressing? • How does the action link to the formulation? • What measure and review point make revision possible?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Rewrite one vague goal into a measurable clinical or relational goal.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Safety → Who → Shared Goal → Role → Information → Access → Follow-Up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SYSTEM Treatment-Frame Sequence. Use it to organize the reasoning priorities in Family, Couple, Attachment, and Relational Interventions.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Choose the smallest effective safe system; more participants do not automatically create better care.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Sequence relational work: safety, alliance, formulation, goals/unit, reorganization, and review.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Target the maintaining process—cycle, boundary, hierarchy, role, attachment response, or transition—then match the modality and stage.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Beginning conjoint work when coercion, retaliation, privacy, or voluntariness is unresolved.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Aligning with one participant or placing a child between adults.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Referring to a group or specialist without screening fit, clarifying purpose, and preserving continuity.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Who should participate and why? • What maintaining relational process is the target? • What safety, consent, access, and follow-up conditions are required?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Draw the interaction cycle and mark the exact point the intervention should change.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Formulation • Immediacy • Target • Suitability • Response Check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FITS Intervention Selection. Use it to organize the reasoning priorities in Trauma, Psychological, Behavioral, and Recovery Interventions.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Select the intervention because of the formulation, urgency, target, client/system fit, and measurable response—not the technique name.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 methods to maintaining mechanisms such as avoidance, reinforcement, dysregulation, ambivalence, grief, or reassurance cycles.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Adapt for development, relationships, recovery stage, culture, access, and medical risk; reassess before adding more techniques.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Beginning trauma processing during instability or severe dysregulation.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Confronting ambivalence or using conjoint work automatically when safety or readiness is unresolved.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Technique-shopping after nonresponse instead of reassessing diagnosis, alliance, implementation, intensity, access, and treatment unit.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mechanism maintains the problem? • What is urgent before the target intervention? • How will response be measured and reviewed?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 one intervention, state the mechanism it is intended to change.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Context • Access/Alliance • Relational Adaptation • Evaluate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CARE Adaptation Sequence. Use it to organize the reasoning priorities in Developmental, Cultural, and Contextual Interventions.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Context must change delivery: pacing, language, modality, participants, examples, materials, and goals.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 intervention to demonstrated capacity, developmental stage, family life cycle, identity, spirituality, and client-defined meaning.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 transportation, technology, housing, cost, work, language, caregiving, and disability access as treatment variables.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preferences or needs from demographic categories.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Inviting family or changing modality by default rather than from evidence and client choice.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Labeling missed sessions or access barriers as resistance or noncommitment.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meaning does the client assign to the situation? • What barrier or power condition changes delivery? • What adaptation will be evaluated for effectiveness?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Name one concrete adaptation and the outcome that would show it helped.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Target • Hypothesis • Evidence • Orientation Fit • Readiness • Yield/Review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THEORY + GROUP. Use it to organize the reasoning priorities in Theory, Groups, Referral, and Interdisciplinary Collaboration.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Theory is a testable decision map linking observations, maintaining hypothesis, target, intervention, and response.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Choose an orientation because its mechanism fits the case; integrate approaches coherently rather than collecting techniques.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GROUP for selection and facilitation: Goal, Readiness, Organization, Understanding limits, Process/safety; collaborate with consent and role clarity.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Matching vocabulary or diagnosis to a theory without naming the mechanism.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Selecting a group without screening purpose, readiness, composition, and risk.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consultation or referral transfers the therapist’s responsibility or permits broad information sharing.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mechanism is the theory explaining? • Is the client or group ready for this format? • What is each provider’s role and what information is necessary?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Complete one THEORY statement: target, hypothesis, evidence, orientation, and review indicator.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Problem/People • Role/Rules • Obtain Facts • Threat • Ethical Options • Consult • Take/Track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PROTECT Professional-Practice Sequence. Use it to organize the reasoning priorities in California Legal, Ethical, and Professional Practice.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Identify the controlling issue before choosing an action: client welfare, privacy, safety, competence, role, law, ethics, or continuity.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Separate client status, participation, payment, consent, authorization, privilege, legal process, and information authority.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Protect record integrity, boundaries, competence, technology practice, third-party communication, consultation, and continuity of care.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payment, participation, consent, a subpoena, or an agency policy automatically authorizes disclosure or action.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Overdisclosing, altering records, acting outside competence, or delaying consultation when risk is present.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Ending or referring abruptly without stabilization, transition planning, and documentation.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Who is the client and what is my role? • What authority or duty actually controls? • What action protects welfare with the least unnecessary disclosure or disruption?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LMFT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the issue, authority, facts still needed, consultation plan, action, and documentation step.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18" w:bottom="504" w:left="518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8737D"/>
        <w:sz w:val="15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F7A8C"/>
        <w:sz w:val="14"/>
      </w:rPr>
      <w:t>CLINICAL TRAINING ACADEMY  •  LMFT FLASHCARDS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Clinical Exam Preparation Flashcard Collection</dc:title>
  <dc:subject>Clinical Exam Preparation Flashcards</dc:subject>
  <dc:creator>Clinical Training Academy</dc:creator>
  <cp:keywords>CTA, LMFT, clinical exam preparation, flashcards, study cards</cp:keywords>
  <dc:description/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