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074920" cy="1494282"/>
            <wp:docPr id="1" name="Picture 1" descr="Image: image1.png"/>
            <wp:cNvGraphicFramePr>
              <a:graphicFrameLocks noChangeAspect="1"/>
            </wp:cNvGraphicFramePr>
            <a:graphic>
              <a:graphicData uri="http://schemas.openxmlformats.org/drawingml/2006/picture">
                <pic:pic>
                  <pic:nvPicPr>
                    <pic:cNvPr id="0" name="cta_logo_cropped.png"/>
                    <pic:cNvPicPr/>
                  </pic:nvPicPr>
                  <pic:blipFill>
                    <a:blip r:embed="rId11"/>
                    <a:stretch>
                      <a:fillRect/>
                    </a:stretch>
                  </pic:blipFill>
                  <pic:spPr>
                    <a:xfrm>
                      <a:off x="0" y="0"/>
                      <a:ext cx="5074920" cy="1494282"/>
                    </a:xfrm>
                    <a:prstGeom prst="rect"/>
                  </pic:spPr>
                </pic:pic>
              </a:graphicData>
            </a:graphic>
          </wp:inline>
        </w:drawing>
      </w:r>
    </w:p>
    <w:p>
      <w:pPr>
        <w:pStyle w:val="Subtitle"/>
        <w:jc w:val="center"/>
      </w:pPr>
      <w:r>
        <w:t>LMFT CALIFORNIA LAW &amp; ETHICS EXAM PREPARATION</w:t>
      </w:r>
    </w:p>
    <w:p>
      <w:pPr>
        <w:pStyle w:val="Title"/>
        <w:jc w:val="center"/>
      </w:pPr>
      <w:r>
        <w:t>Practice Examination A</w:t>
      </w:r>
    </w:p>
    <w:p>
      <w:pPr>
        <w:jc w:val="center"/>
      </w:pPr>
      <w:r>
        <w:rPr>
          <w:rFonts w:ascii="Montserrat" w:hAnsi="Montserrat"/>
          <w:color w:val="18A6A1"/>
          <w:sz w:val="28"/>
        </w:rPr>
        <w:t>Controlled Answer Key and Detailed Rationales</w:t>
      </w:r>
    </w:p>
    <w:p>
      <w:pPr>
        <w:jc w:val="center"/>
      </w:pPr>
      <w:r>
        <w:rPr>
          <w:rFonts w:ascii="Montserrat" w:hAnsi="Montserrat"/>
          <w:color w:val="666666"/>
          <w:sz w:val="18"/>
        </w:rPr>
        <w:t>Program Code CTA-EP-001  •  Version 1.0  •  August 3, 2026</w:t>
      </w:r>
    </w:p>
    <w:p>
      <w:pPr>
        <w:jc w:val="center"/>
      </w:pPr>
      <w:r>
        <w:rPr>
          <w:rFonts w:ascii="Montserrat" w:hAnsi="Montserrat"/>
          <w:b/>
          <w:color w:val="17345B"/>
          <w:sz w:val="22"/>
        </w:rPr>
        <w:t>50 one-best-answer questions</w:t>
      </w:r>
    </w:p>
    <w:tbl>
      <w:tblPr>
        <w:tblW w:type="auto" w:w="0"/>
        <w:jc w:val="center"/>
        <w:tblLayout w:type="fixed"/>
        <w:tblLook w:firstColumn="1" w:firstRow="1" w:lastColumn="0" w:lastRow="0" w:noHBand="0" w:noVBand="1" w:val="04A0"/>
      </w:tblPr>
      <w:tblGrid>
        <w:gridCol w:w="8784"/>
      </w:tblGrid>
      <w:tr>
        <w:tc>
          <w:tcPr>
            <w:tcW w:type="dxa" w:w="10340"/>
            <w:shd w:fill="FDECEC"/>
            <w:tcMar>
              <w:top w:w="80" w:type="dxa"/>
              <w:start w:w="90" w:type="dxa"/>
              <w:bottom w:w="80" w:type="dxa"/>
              <w:end w:w="90" w:type="dxa"/>
            </w:tcMar>
            <w:vAlign w:val="center"/>
          </w:tcPr>
          <w:p>
            <w:pPr>
              <w:spacing w:after="0" w:before="0"/>
              <w:jc w:val="center"/>
            </w:pPr>
            <w:r/>
            <w:r>
              <w:rPr>
                <w:rFonts w:ascii="Montserrat" w:hAnsi="Montserrat"/>
                <w:b/>
                <w:color w:val="9D2B2B"/>
                <w:sz w:val="19"/>
              </w:rPr>
              <w:t>INTERNAL CONTROLLED ASSESSMENT MATERIAL — NOT FOR PRE-ATTEMPT LEARNER DISTRIBUTION</w:t>
            </w:r>
          </w:p>
        </w:tc>
      </w:tr>
    </w:tbl>
    <w:p/>
    <w:p>
      <w:pPr>
        <w:jc w:val="center"/>
      </w:pPr>
      <w:r>
        <w:rPr>
          <w:i/>
          <w:color w:val="666666"/>
          <w:sz w:val="18"/>
        </w:rPr>
        <w:t>For California LMFT Law and Ethics Examination candidates, including registered AMFTs and other eligible applicants. Exam-preparation program only. No continuing education credit or CE certificate.</w:t>
      </w:r>
    </w:p>
    <w:p>
      <w:pPr>
        <w:jc w:val="center"/>
      </w:pPr>
      <w:r>
        <w:rPr>
          <w:b/>
          <w:color w:val="18A6A1"/>
          <w:sz w:val="22"/>
        </w:rPr>
        <w:t>Teaching Clinicians How to Think.</w:t>
      </w:r>
    </w:p>
    <w:p>
      <w:r>
        <w:br w:type="page"/>
      </w:r>
    </w:p>
    <w:tbl>
      <w:tblPr>
        <w:tblW w:type="auto" w:w="0"/>
        <w:jc w:val="center"/>
        <w:tblLayout w:type="fixed"/>
        <w:tblLook w:firstColumn="1" w:firstRow="1" w:lastColumn="0" w:lastRow="0" w:noHBand="0" w:noVBand="1" w:val="04A0"/>
      </w:tblPr>
      <w:tblGrid>
        <w:gridCol w:w="9504"/>
      </w:tblGrid>
      <w:tr>
        <w:tc>
          <w:tcPr>
            <w:tcW w:type="dxa" w:w="10340"/>
            <w:shd w:fill="FDECEC"/>
            <w:tcMar>
              <w:top w:w="130" w:type="dxa"/>
              <w:start w:w="160" w:type="dxa"/>
              <w:bottom w:w="130" w:type="dxa"/>
              <w:end w:w="160" w:type="dxa"/>
            </w:tcMar>
          </w:tcPr>
          <w:p>
            <w:r/>
            <w:r>
              <w:rPr>
                <w:rFonts w:ascii="Montserrat" w:hAnsi="Montserrat"/>
                <w:b/>
                <w:color w:val="17345B"/>
                <w:sz w:val="22"/>
              </w:rPr>
              <w:t>Control Rules</w:t>
            </w:r>
          </w:p>
          <w:p>
            <w:pPr>
              <w:spacing w:after="40"/>
              <w:ind w:left="144" w:hanging="144"/>
            </w:pPr>
            <w:r>
              <w:rPr>
                <w:rFonts w:ascii="Montserrat" w:hAnsi="Montserrat"/>
                <w:sz w:val="19"/>
              </w:rPr>
              <w:t>• Do not provide this booklet to learners before the approved answer-review point.</w:t>
            </w:r>
          </w:p>
          <w:p>
            <w:pPr>
              <w:spacing w:after="40"/>
              <w:ind w:left="144" w:hanging="144"/>
            </w:pPr>
            <w:r>
              <w:rPr>
                <w:rFonts w:ascii="Montserrat" w:hAnsi="Montserrat"/>
                <w:sz w:val="19"/>
              </w:rPr>
              <w:t>• The compact key, item text, option-by-option rationales, CTA Exam Strategy guidance, remediation references, and internal IDs are protected assessment materials.</w:t>
            </w:r>
          </w:p>
          <w:p>
            <w:pPr>
              <w:spacing w:after="40"/>
              <w:ind w:left="144" w:hanging="144"/>
            </w:pPr>
            <w:r>
              <w:rPr>
                <w:rFonts w:ascii="Montserrat" w:hAnsi="Montserrat"/>
                <w:sz w:val="19"/>
              </w:rPr>
              <w:t>• Use the permanent Master ID and form question number when recording corrections or substitutions.</w:t>
            </w:r>
          </w:p>
          <w:p>
            <w:pPr>
              <w:spacing w:after="40"/>
              <w:ind w:left="144" w:hanging="144"/>
            </w:pPr>
            <w:r>
              <w:rPr>
                <w:rFonts w:ascii="Montserrat" w:hAnsi="Montserrat"/>
                <w:sz w:val="19"/>
              </w:rPr>
              <w:t>• No answer or rationale may be copied into public website copy, promotional materials, or unrestricted downloads.</w:t>
            </w:r>
          </w:p>
        </w:tc>
      </w:tr>
    </w:tbl>
    <w:p/>
    <w:p>
      <w:pPr>
        <w:pStyle w:val="Heading1"/>
      </w:pPr>
      <w:r>
        <w:t>Controlled Answer Key</w:t>
      </w:r>
    </w:p>
    <w:p>
      <w:pPr>
        <w:pStyle w:val="Controlled"/>
      </w:pPr>
      <w:r>
        <w:t>Release only after the learner has submitted or completed the approved examination attempt.</w:t>
      </w:r>
    </w:p>
    <w:tbl>
      <w:tblPr>
        <w:tblW w:type="auto" w:w="0"/>
        <w:jc w:val="center"/>
        <w:tblLayout w:type="fixed"/>
        <w:tblLook w:firstColumn="1" w:firstRow="1" w:lastColumn="0" w:lastRow="0" w:noHBand="0" w:noVBand="1" w:val="04A0"/>
      </w:tblPr>
      <w:tblGrid>
        <w:gridCol w:w="1292"/>
        <w:gridCol w:w="1292"/>
        <w:gridCol w:w="1292"/>
        <w:gridCol w:w="1292"/>
        <w:gridCol w:w="1292"/>
        <w:gridCol w:w="1292"/>
        <w:gridCol w:w="1292"/>
        <w:gridCol w:w="1292"/>
      </w:tblGrid>
      <w:tr>
        <w:trPr>
          <w:tblHeader w:val="true"/>
        </w:trPr>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Q#</w:t>
            </w:r>
          </w:p>
        </w:tc>
        <w:tc>
          <w:tcPr>
            <w:tcW w:type="dxa" w:w="1292"/>
            <w:shd w:fill="17345B"/>
            <w:tcMar>
              <w:top w:w="80" w:type="dxa"/>
              <w:start w:w="90" w:type="dxa"/>
              <w:bottom w:w="80" w:type="dxa"/>
              <w:end w:w="90" w:type="dxa"/>
            </w:tcMar>
            <w:vAlign w:val="center"/>
          </w:tcPr>
          <w:p>
            <w:pPr>
              <w:spacing w:after="0" w:before="0"/>
              <w:jc w:val="center"/>
            </w:pPr>
            <w:r/>
            <w:r>
              <w:rPr>
                <w:rFonts w:ascii="Montserrat" w:hAnsi="Montserrat"/>
                <w:b/>
                <w:color w:val="FFFFFF"/>
                <w:sz w:val="17"/>
              </w:rPr>
              <w:t>Key</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49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11</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24</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37</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50</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12</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25</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38</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A</w:t>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r>
      <w:tr>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13</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C</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26</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D</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7345B"/>
                <w:sz w:val="17"/>
              </w:rPr>
              <w:t>39</w:t>
            </w:r>
          </w:p>
        </w:tc>
        <w:tc>
          <w:tcPr>
            <w:tcW w:type="dxa" w:w="1292"/>
            <w:tcMar>
              <w:top w:w="80" w:type="dxa"/>
              <w:start w:w="90" w:type="dxa"/>
              <w:bottom w:w="80" w:type="dxa"/>
              <w:end w:w="90" w:type="dxa"/>
            </w:tcMar>
            <w:vAlign w:val="center"/>
          </w:tcPr>
          <w:p>
            <w:pPr>
              <w:spacing w:after="0" w:before="0"/>
              <w:jc w:val="center"/>
            </w:pPr>
            <w:r/>
            <w:r>
              <w:rPr>
                <w:rFonts w:ascii="Montserrat" w:hAnsi="Montserrat"/>
                <w:b/>
                <w:color w:val="18A6A1"/>
                <w:sz w:val="18"/>
              </w:rPr>
              <w:t>B</w:t>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c>
          <w:tcPr>
            <w:tcW w:type="dxa" w:w="1292"/>
            <w:tcMar>
              <w:top w:w="80" w:type="dxa"/>
              <w:start w:w="90" w:type="dxa"/>
              <w:bottom w:w="80" w:type="dxa"/>
              <w:end w:w="90" w:type="dxa"/>
            </w:tcMar>
            <w:vAlign w:val="center"/>
          </w:tcPr>
          <w:p>
            <w:pPr>
              <w:spacing w:after="0" w:before="0"/>
              <w:jc w:val="center"/>
            </w:pPr>
            <w:r/>
            <w:r>
              <w:rPr>
                <w:rFonts w:ascii="Montserrat" w:hAnsi="Montserrat"/>
                <w:b w:val="0"/>
                <w:color w:val="111111"/>
                <w:sz w:val="16"/>
              </w:rPr>
            </w:r>
          </w:p>
        </w:tc>
      </w:tr>
    </w:tbl>
    <w:p>
      <w:r>
        <w:br w:type="page"/>
      </w:r>
    </w:p>
    <w:p>
      <w:pPr>
        <w:pStyle w:val="Heading1"/>
      </w:pPr>
      <w:r>
        <w:t>Detailed Rationales and Remediation</w:t>
      </w:r>
    </w:p>
    <w:p>
      <w:pPr>
        <w:pStyle w:val="QuestionNumber"/>
        <w:keepNext/>
        <w:spacing w:before="140"/>
      </w:pPr>
      <w:r>
        <w:t xml:space="preserve">1. </w:t>
      </w:r>
      <w:r>
        <w:rPr>
          <w:b w:val="0"/>
          <w:color w:val="111111"/>
        </w:rPr>
        <w:t>A therapist notices feeling frustrated and unusually protective toward a client.</w:t>
        <w:br/>
        <w:t>Which statement is most accurate?</w:t>
      </w:r>
    </w:p>
    <w:p>
      <w:pPr>
        <w:pStyle w:val="Option"/>
        <w:keepNext/>
        <w:ind w:left="317" w:hanging="317"/>
      </w:pPr>
      <w:r>
        <w:rPr>
          <w:b/>
        </w:rPr>
        <w:t xml:space="preserve">A. </w:t>
      </w:r>
      <w:r>
        <w:t>The feelings themselves do not establish misconduct, but they should be recognized and managed if they may influence professional judgment.</w:t>
      </w:r>
    </w:p>
    <w:p>
      <w:pPr>
        <w:pStyle w:val="Option"/>
        <w:keepNext/>
        <w:ind w:left="317" w:hanging="317"/>
      </w:pPr>
      <w:r>
        <w:rPr>
          <w:b/>
        </w:rPr>
        <w:t xml:space="preserve">B. </w:t>
      </w:r>
      <w:r>
        <w:t>The clinician has already committed a boundary violation by experiencing the feelings without further assessment of the governing facts.</w:t>
      </w:r>
    </w:p>
    <w:p>
      <w:pPr>
        <w:pStyle w:val="Option"/>
        <w:keepNext/>
        <w:ind w:left="317" w:hanging="317"/>
      </w:pPr>
      <w:r>
        <w:rPr>
          <w:b/>
        </w:rPr>
        <w:t xml:space="preserve">C. </w:t>
      </w:r>
      <w:r>
        <w:t>Disclose every emotional reaction to the client before confirming legal authority and the permitted scope.</w:t>
      </w:r>
    </w:p>
    <w:p>
      <w:pPr>
        <w:pStyle w:val="Option"/>
        <w:keepNext w:val="0"/>
        <w:ind w:left="317" w:hanging="317"/>
      </w:pPr>
      <w:r>
        <w:rPr>
          <w:b/>
        </w:rPr>
        <w:t xml:space="preserve">D. </w:t>
      </w:r>
      <w:r>
        <w:t>Emotional reactions are irrelevant to boundary decisions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Therapists may naturally experience frustration, attraction, protectiveness, identification, resentment, or other emotional responses. Having a reaction is not automatically unethical. The concern arises when the reaction begins influencing treatment recommendations, availability, communication, exceptions, referrals, or the therapist’s need for reassurance. Self-awareness, consultation, supervision, and monitoring can help prevent the reaction from interfering with client care.</w:t>
      </w:r>
    </w:p>
    <w:p>
      <w:pPr>
        <w:spacing w:after="40"/>
        <w:ind w:left="259" w:hanging="259"/>
      </w:pPr>
      <w:r>
        <w:rPr>
          <w:b/>
          <w:color w:val="18A6A1"/>
        </w:rPr>
        <w:t xml:space="preserve">B. </w:t>
      </w:r>
      <w:r>
        <w:t>Incorrect. An internal feeling is not the same as professional misconduct. Ethical responsibility focuses on recognizing and managing the reaction appropriately.</w:t>
      </w:r>
    </w:p>
    <w:p>
      <w:pPr>
        <w:spacing w:after="40"/>
        <w:ind w:left="259" w:hanging="259"/>
      </w:pPr>
      <w:r>
        <w:rPr>
          <w:b/>
          <w:color w:val="18A6A1"/>
        </w:rPr>
        <w:t xml:space="preserve">C. </w:t>
      </w:r>
      <w:r>
        <w:t>Incorrect. Disclosure is not automatically helpful. Sharing the reaction may burden the client, create pressure, or shift treatment toward the therapist’s emotional needs.</w:t>
      </w:r>
    </w:p>
    <w:p>
      <w:pPr>
        <w:spacing w:after="40"/>
        <w:ind w:left="259" w:hanging="259"/>
      </w:pPr>
      <w:r>
        <w:rPr>
          <w:b/>
          <w:color w:val="18A6A1"/>
        </w:rPr>
        <w:t xml:space="preserve">D. </w:t>
      </w:r>
      <w:r>
        <w:t>Incorrect. Emotional reactions may directly affect objectivity and boundary decisions. Ignoring them may allow personal needs or biases to influence care without examination.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Identify the controlling rule, timing, and least disruptive response that adequately protects the client.</w:t>
            </w:r>
          </w:p>
        </w:tc>
      </w:tr>
    </w:tbl>
    <w:p>
      <w:pPr>
        <w:pStyle w:val="SmallNote"/>
        <w:spacing w:before="60"/>
      </w:pPr>
      <w:r>
        <w:rPr>
          <w:b/>
        </w:rPr>
        <w:t xml:space="preserve">Remediation: </w:t>
      </w:r>
      <w:r>
        <w:t>Workbook 6: Professional Boundaries — Chapter 1: Professional Boundaries.</w:t>
      </w:r>
    </w:p>
    <w:p>
      <w:pPr>
        <w:pStyle w:val="SmallNote"/>
      </w:pPr>
      <w:r>
        <w:rPr>
          <w:b/>
        </w:rPr>
        <w:t xml:space="preserve">Internal control: </w:t>
      </w:r>
      <w:r>
        <w:t>MQB-0506 | WB6-C1-Q013 | Easy | Scenario-Based</w:t>
      </w:r>
    </w:p>
    <w:p>
      <w:pPr>
        <w:spacing w:after="40"/>
        <w:pBdr>
          <w:bottom w:val="single" w:sz="4" w:space="2" w:color="C9D3DD"/>
        </w:pBdr>
      </w:pPr>
    </w:p>
    <w:p>
      <w:pPr>
        <w:pStyle w:val="QuestionNumber"/>
        <w:keepNext/>
        <w:spacing w:before="140"/>
      </w:pPr>
      <w:r>
        <w:t xml:space="preserve">2. </w:t>
      </w:r>
      <w:r>
        <w:rPr>
          <w:b w:val="0"/>
          <w:color w:val="111111"/>
        </w:rPr>
        <w:t>A treating therapist receives an attorney’s request to “perform a custody evaluation,” a subpoena for the full record, and a message from the client stating that all therapy information must remain private. The therapist has no custody-evaluation training. Which response best integrates the therapist’s responsibilities?</w:t>
      </w:r>
    </w:p>
    <w:p>
      <w:pPr>
        <w:pStyle w:val="Option"/>
        <w:keepNext/>
        <w:ind w:left="317" w:hanging="317"/>
      </w:pPr>
      <w:r>
        <w:rPr>
          <w:b/>
        </w:rPr>
        <w:t xml:space="preserve">A. </w:t>
      </w:r>
      <w:r>
        <w:t>Conduct the custody evaluation, release the entire record, and explain that the subpoena eliminates every confidentiality duty without further assessment of the governing facts while treating that single factor as controlling.</w:t>
      </w:r>
    </w:p>
    <w:p>
      <w:pPr>
        <w:pStyle w:val="Option"/>
        <w:keepNext/>
        <w:ind w:left="317" w:hanging="317"/>
      </w:pPr>
      <w:r>
        <w:rPr>
          <w:b/>
        </w:rPr>
        <w:t xml:space="preserve">B. </w:t>
      </w:r>
      <w:r>
        <w:t>Ignore the attorney and subpoena because treatment information can never be disclosed until a complaint, injury, or clearer problem occurs.</w:t>
      </w:r>
    </w:p>
    <w:p>
      <w:pPr>
        <w:pStyle w:val="Option"/>
        <w:keepNext/>
        <w:ind w:left="317" w:hanging="317"/>
      </w:pPr>
      <w:r>
        <w:rPr>
          <w:b/>
        </w:rPr>
        <w:t xml:space="preserve">C. </w:t>
      </w:r>
      <w:r>
        <w:t>Terminate treatment immediately and give a custody recommendation based on the existing record before considering a less disruptive protective response.</w:t>
      </w:r>
    </w:p>
    <w:p>
      <w:pPr>
        <w:pStyle w:val="Option"/>
        <w:keepNext w:val="0"/>
        <w:ind w:left="317" w:hanging="317"/>
      </w:pPr>
      <w:r>
        <w:rPr>
          <w:b/>
        </w:rPr>
        <w:t xml:space="preserve">D. </w:t>
      </w:r>
      <w:r>
        <w:t>Clarify and preserve the treatment role, decline the unqualified and conflicting custody-evaluator role, analyze the subpoena and privilege through lawful procedures, communicate accurately with the client, and disclose only information lawfully authorized or required.</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subpoena does not create evaluator competence, eliminate all confidentiality duties, or automatically require unrestricted production.</w:t>
      </w:r>
    </w:p>
    <w:p>
      <w:pPr>
        <w:spacing w:after="40"/>
        <w:ind w:left="259" w:hanging="259"/>
      </w:pPr>
      <w:r>
        <w:rPr>
          <w:b/>
          <w:color w:val="18A6A1"/>
        </w:rPr>
        <w:t xml:space="preserve">B. </w:t>
      </w:r>
      <w:r>
        <w:t>Incorrect. Treatment privilege may be relevant, but legal process should be evaluated and responded to appropriately rather than ignored.</w:t>
      </w:r>
    </w:p>
    <w:p>
      <w:pPr>
        <w:spacing w:after="40"/>
        <w:ind w:left="259" w:hanging="259"/>
      </w:pPr>
      <w:r>
        <w:rPr>
          <w:b/>
          <w:color w:val="18A6A1"/>
        </w:rPr>
        <w:t xml:space="preserve">C. </w:t>
      </w:r>
      <w:r>
        <w:t>Incorrect. Termination does not make the therapist neutral or qualified, and an existing treatment record is not a custody evaluation.</w:t>
      </w:r>
    </w:p>
    <w:p>
      <w:pPr>
        <w:spacing w:after="40"/>
        <w:ind w:left="259" w:hanging="259"/>
      </w:pPr>
      <w:r>
        <w:rPr>
          <w:b/>
          <w:color w:val="18A6A1"/>
        </w:rPr>
        <w:t xml:space="preserve">D. </w:t>
      </w:r>
      <w:r>
        <w:t>Correct. This answer separates role, competence, confidentiality, privilege, legal process, client communication, and proportionate disclosure.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role questions require separate tracks: define the role, assess competence/conflict, preserve confidentiality, analyze legal process, and communicate clearly.</w:t>
            </w:r>
          </w:p>
        </w:tc>
      </w:tr>
    </w:tbl>
    <w:p>
      <w:pPr>
        <w:pStyle w:val="SmallNote"/>
        <w:spacing w:before="60"/>
      </w:pPr>
      <w:r>
        <w:rPr>
          <w:b/>
        </w:rPr>
        <w:t xml:space="preserve">Remediation: </w:t>
      </w:r>
      <w:r>
        <w:t>Workbook 3: Professional Competence — Chapter 6: Professional Roles and Role Clarification.</w:t>
      </w:r>
    </w:p>
    <w:p>
      <w:pPr>
        <w:pStyle w:val="SmallNote"/>
      </w:pPr>
      <w:r>
        <w:rPr>
          <w:b/>
        </w:rPr>
        <w:t xml:space="preserve">Internal control: </w:t>
      </w:r>
      <w:r>
        <w:t>MQB-0323 | WB3-C6-Q017 | Difficult | Integrated Challenge</w:t>
      </w:r>
    </w:p>
    <w:p>
      <w:pPr>
        <w:spacing w:after="40"/>
        <w:pBdr>
          <w:bottom w:val="single" w:sz="4" w:space="2" w:color="C9D3DD"/>
        </w:pBdr>
      </w:pPr>
    </w:p>
    <w:p>
      <w:pPr>
        <w:pStyle w:val="QuestionNumber"/>
        <w:keepNext/>
        <w:spacing w:before="140"/>
      </w:pPr>
      <w:r>
        <w:t xml:space="preserve">3. </w:t>
      </w:r>
      <w:r>
        <w:rPr>
          <w:b w:val="0"/>
          <w:color w:val="111111"/>
        </w:rPr>
        <w:t>A therapist receives credible but incomplete information that a colleague may be practicing while impaired. No immediate client danger is established. What should the therapist do FIRST?</w:t>
      </w:r>
    </w:p>
    <w:p>
      <w:pPr>
        <w:pStyle w:val="Option"/>
        <w:keepNext/>
        <w:ind w:left="317" w:hanging="317"/>
      </w:pPr>
      <w:r>
        <w:rPr>
          <w:b/>
        </w:rPr>
        <w:t xml:space="preserve">A. </w:t>
      </w:r>
      <w:r>
        <w:t>Publicly accuse the colleague to warn everyone without further assessment of the governing facts.</w:t>
      </w:r>
    </w:p>
    <w:p>
      <w:pPr>
        <w:pStyle w:val="Option"/>
        <w:keepNext/>
        <w:ind w:left="317" w:hanging="317"/>
      </w:pPr>
      <w:r>
        <w:rPr>
          <w:b/>
        </w:rPr>
        <w:t xml:space="preserve">B. </w:t>
      </w:r>
      <w:r>
        <w:t>Clarify facts within role, assess client risk and applicable duties, and obtain timely ethical, supervisory, legal, or organizational consultation before choosing the proper channel.</w:t>
      </w:r>
    </w:p>
    <w:p>
      <w:pPr>
        <w:pStyle w:val="Option"/>
        <w:keepNext/>
        <w:ind w:left="317" w:hanging="317"/>
      </w:pPr>
      <w:r>
        <w:rPr>
          <w:b/>
        </w:rPr>
        <w:t xml:space="preserve">C. </w:t>
      </w:r>
      <w:r>
        <w:t>Ignore the information because only clients may raise concerns until a complaint, injury, or clearer problem occurs while treating that single factor as controlling.</w:t>
      </w:r>
    </w:p>
    <w:p>
      <w:pPr>
        <w:pStyle w:val="Option"/>
        <w:keepNext w:val="0"/>
        <w:ind w:left="317" w:hanging="317"/>
      </w:pPr>
      <w:r>
        <w:rPr>
          <w:b/>
        </w:rPr>
        <w:t xml:space="preserve">D. </w:t>
      </w:r>
      <w:r>
        <w:t>Automatically file complaints with every possible agency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Public accusation may breach confidentiality, spread unverified information, and bypass appropriate processes.</w:t>
      </w:r>
    </w:p>
    <w:p>
      <w:pPr>
        <w:spacing w:after="40"/>
        <w:ind w:left="259" w:hanging="259"/>
      </w:pPr>
      <w:r>
        <w:rPr>
          <w:b/>
          <w:color w:val="18A6A1"/>
        </w:rPr>
        <w:t xml:space="preserve">B. </w:t>
      </w:r>
      <w:r>
        <w:t>Correct. This is fact-based and proportionate while preserving the ability to act promptly if risk or a reporting duty is identified.</w:t>
      </w:r>
    </w:p>
    <w:p>
      <w:pPr>
        <w:spacing w:after="40"/>
        <w:ind w:left="259" w:hanging="259"/>
      </w:pPr>
      <w:r>
        <w:rPr>
          <w:b/>
          <w:color w:val="18A6A1"/>
        </w:rPr>
        <w:t xml:space="preserve">C. </w:t>
      </w:r>
      <w:r>
        <w:t>Incorrect. Credible information affecting clients may require professional attention even without a client complaint.</w:t>
      </w:r>
    </w:p>
    <w:p>
      <w:pPr>
        <w:spacing w:after="40"/>
        <w:ind w:left="259" w:hanging="259"/>
      </w:pPr>
      <w:r>
        <w:rPr>
          <w:b/>
          <w:color w:val="18A6A1"/>
        </w:rPr>
        <w:t xml:space="preserve">D. </w:t>
      </w:r>
      <w:r>
        <w:t>Incorrect. Indiscriminate reporting is not a substitute for identifying the applicable duty and authorized channel.</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With incomplete nonurgent facts, clarify risk and duties before selecting the intervention or reporting path.</w:t>
            </w:r>
          </w:p>
        </w:tc>
      </w:tr>
    </w:tbl>
    <w:p>
      <w:pPr>
        <w:pStyle w:val="SmallNote"/>
        <w:spacing w:before="60"/>
      </w:pPr>
      <w:r>
        <w:rPr>
          <w:b/>
        </w:rPr>
        <w:t xml:space="preserve">Remediation: </w:t>
      </w:r>
      <w:r>
        <w:t>Workbook 5: Preventing Harm and Promoting Client Welfare — Chapter 4: Professional Responsibility and Accountability.</w:t>
      </w:r>
    </w:p>
    <w:p>
      <w:pPr>
        <w:pStyle w:val="SmallNote"/>
      </w:pPr>
      <w:r>
        <w:rPr>
          <w:b/>
        </w:rPr>
        <w:t xml:space="preserve">Internal control: </w:t>
      </w:r>
      <w:r>
        <w:t>MQB-0470 | WB5-C4-Q011 | Moderate | Scenario-Based</w:t>
      </w:r>
    </w:p>
    <w:p>
      <w:pPr>
        <w:spacing w:after="40"/>
        <w:pBdr>
          <w:bottom w:val="single" w:sz="4" w:space="2" w:color="C9D3DD"/>
        </w:pBdr>
      </w:pPr>
    </w:p>
    <w:p>
      <w:pPr>
        <w:pStyle w:val="QuestionNumber"/>
        <w:keepNext/>
        <w:spacing w:before="140"/>
      </w:pPr>
      <w:r>
        <w:t xml:space="preserve">4. </w:t>
      </w:r>
      <w:r>
        <w:rPr>
          <w:b w:val="0"/>
          <w:color w:val="111111"/>
        </w:rPr>
        <w:t>An AMFT’s professional profile states only, “Jordan Lee, Therapist - accepting private clients,” and gives a registration number. Which concern is most significant under the 2026 BBS advertising rules?</w:t>
      </w:r>
    </w:p>
    <w:p>
      <w:pPr>
        <w:pStyle w:val="Option"/>
        <w:keepNext/>
        <w:ind w:left="317" w:hanging="317"/>
      </w:pPr>
      <w:r>
        <w:rPr>
          <w:b/>
        </w:rPr>
        <w:t xml:space="preserve">A. </w:t>
      </w:r>
      <w:r>
        <w:t>The profile may imply licensed independent practice and omits the complete registration title, employer or volunteer entity, and statement of supervision by a licensed person.</w:t>
      </w:r>
    </w:p>
    <w:p>
      <w:pPr>
        <w:pStyle w:val="Option"/>
        <w:keepNext/>
        <w:ind w:left="317" w:hanging="317"/>
      </w:pPr>
      <w:r>
        <w:rPr>
          <w:b/>
        </w:rPr>
        <w:t xml:space="preserve">B. </w:t>
      </w:r>
      <w:r>
        <w:t>Registered AMFTs are prohibited from using any social-media advertising without further assessment of the governing facts.</w:t>
      </w:r>
    </w:p>
    <w:p>
      <w:pPr>
        <w:pStyle w:val="Option"/>
        <w:keepNext/>
        <w:ind w:left="317" w:hanging="317"/>
      </w:pPr>
      <w:r>
        <w:rPr>
          <w:b/>
        </w:rPr>
        <w:t xml:space="preserve">C. </w:t>
      </w:r>
      <w:r>
        <w:t>The only missing item is the supervisor’s home address without further assessment of the governing facts while treating that single factor as controlling.</w:t>
      </w:r>
    </w:p>
    <w:p>
      <w:pPr>
        <w:pStyle w:val="Option"/>
        <w:keepNext w:val="0"/>
        <w:ind w:left="317" w:hanging="317"/>
      </w:pPr>
      <w:r>
        <w:rPr>
          <w:b/>
        </w:rPr>
        <w:t xml:space="preserve">D. </w:t>
      </w:r>
      <w:r>
        <w:t>The profile is compliant because a registration number appears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Registered AMFT advertising must accurately state registration status and include the required employer/entity and supervision information; it must not imply independent licensure.</w:t>
      </w:r>
    </w:p>
    <w:p>
      <w:pPr>
        <w:spacing w:after="40"/>
        <w:ind w:left="259" w:hanging="259"/>
      </w:pPr>
      <w:r>
        <w:rPr>
          <w:b/>
          <w:color w:val="18A6A1"/>
        </w:rPr>
        <w:t xml:space="preserve">B. </w:t>
      </w:r>
      <w:r>
        <w:t>Incorrect. Registered AMFTs may advertise when they comply with the applicable requirements.</w:t>
      </w:r>
    </w:p>
    <w:p>
      <w:pPr>
        <w:spacing w:after="40"/>
        <w:ind w:left="259" w:hanging="259"/>
      </w:pPr>
      <w:r>
        <w:rPr>
          <w:b/>
          <w:color w:val="18A6A1"/>
        </w:rPr>
        <w:t xml:space="preserve">C. </w:t>
      </w:r>
      <w:r>
        <w:t>Incorrect. A supervisor’s home address is not the minimum advertising requirement identified here.</w:t>
      </w:r>
    </w:p>
    <w:p>
      <w:pPr>
        <w:spacing w:after="40"/>
        <w:ind w:left="259" w:hanging="259"/>
      </w:pPr>
      <w:r>
        <w:rPr>
          <w:b/>
          <w:color w:val="18A6A1"/>
        </w:rPr>
        <w:t xml:space="preserve">D. </w:t>
      </w:r>
      <w:r>
        <w:t>Incorrect. A registration number alone is insufficient.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registered AMFT ads, look for status, number, employer/entity, and supervision - not merely a credential number.</w:t>
            </w:r>
          </w:p>
        </w:tc>
      </w:tr>
    </w:tbl>
    <w:p>
      <w:pPr>
        <w:pStyle w:val="SmallNote"/>
        <w:spacing w:before="60"/>
      </w:pPr>
      <w:r>
        <w:rPr>
          <w:b/>
        </w:rPr>
        <w:t xml:space="preserve">Remediation: </w:t>
      </w:r>
      <w:r>
        <w:t>Workbook 2: Telehealth Law &amp; Ethics — Chapter 5: Social Media, Boundaries, and Digital Ethics.</w:t>
      </w:r>
    </w:p>
    <w:p>
      <w:pPr>
        <w:pStyle w:val="SmallNote"/>
      </w:pPr>
      <w:r>
        <w:rPr>
          <w:b/>
        </w:rPr>
        <w:t xml:space="preserve">Internal control: </w:t>
      </w:r>
      <w:r>
        <w:t>MQB-0194 | WB2-C5-Q007 | Moderate | Application</w:t>
      </w:r>
    </w:p>
    <w:p>
      <w:pPr>
        <w:spacing w:after="40"/>
        <w:pBdr>
          <w:bottom w:val="single" w:sz="4" w:space="2" w:color="C9D3DD"/>
        </w:pBdr>
      </w:pPr>
    </w:p>
    <w:p>
      <w:pPr>
        <w:pStyle w:val="QuestionNumber"/>
        <w:keepNext/>
        <w:spacing w:before="140"/>
      </w:pPr>
      <w:r>
        <w:t xml:space="preserve">5. </w:t>
      </w:r>
      <w:r>
        <w:rPr>
          <w:b w:val="0"/>
          <w:color w:val="111111"/>
        </w:rPr>
        <w:t>A therapist concludes that a client’s spiritual experiences are symptoms of a psychotic disorder. The therapist has not asked what the experiences mean to the client, assessed whether they are accepted within the client’s community, evaluated distress or impairment, or considered alternative explanations. When the client objects, the therapist becomes defensive.</w:t>
        <w:br/>
        <w:t>What is the most appropriate response?</w:t>
      </w:r>
    </w:p>
    <w:p>
      <w:pPr>
        <w:pStyle w:val="Option"/>
        <w:keepNext/>
        <w:ind w:left="317" w:hanging="317"/>
      </w:pPr>
      <w:r>
        <w:rPr>
          <w:b/>
        </w:rPr>
        <w:t xml:space="preserve">A. </w:t>
      </w:r>
      <w:r>
        <w:t>Retain the diagnosis because changing it would undermine the clinician’s authority without further assessment of the governing facts.</w:t>
      </w:r>
    </w:p>
    <w:p>
      <w:pPr>
        <w:pStyle w:val="Option"/>
        <w:keepNext/>
        <w:ind w:left="317" w:hanging="317"/>
      </w:pPr>
      <w:r>
        <w:rPr>
          <w:b/>
        </w:rPr>
        <w:t xml:space="preserve">B. </w:t>
      </w:r>
      <w:r>
        <w:t>Refer immediately because the clinician and client hold different spiritual beliefs before considering a less disruptive protective response.</w:t>
      </w:r>
    </w:p>
    <w:p>
      <w:pPr>
        <w:pStyle w:val="Option"/>
        <w:keepNext/>
        <w:ind w:left="317" w:hanging="317"/>
      </w:pPr>
      <w:r>
        <w:rPr>
          <w:b/>
        </w:rPr>
        <w:t xml:space="preserve">C. </w:t>
      </w:r>
      <w:r>
        <w:t>Ask the client’s spiritual leader to determine the psychiatric diagnosis and rely on that response instead of professional judgment while treating that single factor as controlling.</w:t>
      </w:r>
    </w:p>
    <w:p>
      <w:pPr>
        <w:pStyle w:val="Option"/>
        <w:keepNext w:val="0"/>
        <w:ind w:left="317" w:hanging="317"/>
      </w:pPr>
      <w:r>
        <w:rPr>
          <w:b/>
        </w:rPr>
        <w:t xml:space="preserve">D. </w:t>
      </w:r>
      <w:r>
        <w:t>Pause the unsupported conclusion, listen to the client, assess meaning and clinical impact, consider alternative explanations, obtain consultation or education, and correct inaccurate records as needed.</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Professional authority does not justify retaining an unsupported diagnosis. The therapist must remain open to evidence and correction.</w:t>
      </w:r>
    </w:p>
    <w:p>
      <w:pPr>
        <w:spacing w:after="40"/>
        <w:ind w:left="259" w:hanging="259"/>
      </w:pPr>
      <w:r>
        <w:rPr>
          <w:b/>
          <w:color w:val="18A6A1"/>
        </w:rPr>
        <w:t xml:space="preserve">B. </w:t>
      </w:r>
      <w:r>
        <w:t>Incorrect. Different spiritual beliefs do not automatically require referral. Referral becomes appropriate only when competence cannot be developed or fair treatment cannot be provided.</w:t>
      </w:r>
    </w:p>
    <w:p>
      <w:pPr>
        <w:spacing w:after="40"/>
        <w:ind w:left="259" w:hanging="259"/>
      </w:pPr>
      <w:r>
        <w:rPr>
          <w:b/>
          <w:color w:val="18A6A1"/>
        </w:rPr>
        <w:t xml:space="preserve">C. </w:t>
      </w:r>
      <w:r>
        <w:t>Incorrect. A spiritual leader may provide cultural context with appropriate client permission, but the therapist remains responsible for clinical assessment and diagnosis.</w:t>
      </w:r>
    </w:p>
    <w:p>
      <w:pPr>
        <w:spacing w:after="40"/>
        <w:ind w:left="259" w:hanging="259"/>
      </w:pPr>
      <w:r>
        <w:rPr>
          <w:b/>
          <w:color w:val="18A6A1"/>
        </w:rPr>
        <w:t xml:space="preserve">D. </w:t>
      </w:r>
      <w:r>
        <w:t>Correct. The therapist has treated an interpretation as a fact without sufficient assessment. The strongest response combines cultural humility with competent clinical practice. The therapist should: Listen without defensiveness Ask what the experiences mean to the client Assess cultural and spiritual context Evaluate distress, impairment, safety, duration, and other symptoms Consider alternative explanations Obtain consultation or education when needed Revise unsupported conclusions or documentation Repair the therapeutic relationship Monitor whether competent and fair treatment can continue Cultural context should not automatically rule out a clinical condition, but unfamiliar spiritual experiences should not be pathologized without individualized assessment.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difficult cultural-assessment questions, use:</w:t>
              <w:br/>
              <w:t>Meaning → Context → Distress → Impairment → Alternatives → Consultation → Correction</w:t>
            </w:r>
          </w:p>
        </w:tc>
      </w:tr>
    </w:tbl>
    <w:p>
      <w:pPr>
        <w:pStyle w:val="SmallNote"/>
        <w:spacing w:before="60"/>
      </w:pPr>
      <w:r>
        <w:rPr>
          <w:b/>
        </w:rPr>
        <w:t xml:space="preserve">Remediation: </w:t>
      </w:r>
      <w:r>
        <w:t>Workbook 7: Cultural Humility — Chapter 1: Cultural Humility and Culturally Responsive Practice.</w:t>
      </w:r>
    </w:p>
    <w:p>
      <w:pPr>
        <w:pStyle w:val="SmallNote"/>
      </w:pPr>
      <w:r>
        <w:rPr>
          <w:b/>
        </w:rPr>
        <w:t xml:space="preserve">Internal control: </w:t>
      </w:r>
      <w:r>
        <w:t>MQB-0595 | WB7-C1-Q017 | Difficult | Integrated Challenge Question</w:t>
      </w:r>
    </w:p>
    <w:p>
      <w:pPr>
        <w:spacing w:after="40"/>
        <w:pBdr>
          <w:bottom w:val="single" w:sz="4" w:space="2" w:color="C9D3DD"/>
        </w:pBdr>
      </w:pPr>
    </w:p>
    <w:p>
      <w:pPr>
        <w:pStyle w:val="QuestionNumber"/>
        <w:keepNext/>
        <w:spacing w:before="140"/>
      </w:pPr>
      <w:r>
        <w:t xml:space="preserve">6. </w:t>
      </w:r>
      <w:r>
        <w:rPr>
          <w:b w:val="0"/>
          <w:color w:val="111111"/>
        </w:rPr>
        <w:t>An LMFT concludes that a client is resistant and notices only facts supporting that view while discounting evidence that the intervention is ineffective. What should the LMFT address?</w:t>
      </w:r>
    </w:p>
    <w:p>
      <w:pPr>
        <w:pStyle w:val="Option"/>
        <w:keepNext/>
        <w:ind w:left="317" w:hanging="317"/>
      </w:pPr>
      <w:r>
        <w:rPr>
          <w:b/>
        </w:rPr>
        <w:t xml:space="preserve">A. </w:t>
      </w:r>
      <w:r>
        <w:t>Confirmation bias and the need to reassess the formulation and treatment response.</w:t>
      </w:r>
    </w:p>
    <w:p>
      <w:pPr>
        <w:pStyle w:val="Option"/>
        <w:keepNext/>
        <w:ind w:left="317" w:hanging="317"/>
      </w:pPr>
      <w:r>
        <w:rPr>
          <w:b/>
        </w:rPr>
        <w:t xml:space="preserve">B. </w:t>
      </w:r>
      <w:r>
        <w:t>A legal requirement to terminate immediately without further assessment of the governing facts.</w:t>
      </w:r>
    </w:p>
    <w:p>
      <w:pPr>
        <w:pStyle w:val="Option"/>
        <w:keepNext/>
        <w:ind w:left="317" w:hanging="317"/>
      </w:pPr>
      <w:r>
        <w:rPr>
          <w:b/>
        </w:rPr>
        <w:t xml:space="preserve">C. </w:t>
      </w:r>
      <w:r>
        <w:t>Proof that the client lacks capacity without further assessment of the governing facts.</w:t>
      </w:r>
    </w:p>
    <w:p>
      <w:pPr>
        <w:pStyle w:val="Option"/>
        <w:keepNext w:val="0"/>
        <w:ind w:left="317" w:hanging="317"/>
      </w:pPr>
      <w:r>
        <w:rPr>
          <w:b/>
        </w:rPr>
        <w:t xml:space="preserve">D. </w:t>
      </w:r>
      <w:r>
        <w:t>The need to hide the lack of progress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Selective attention to confirming evidence can obscure treatment mismatch and calls for reassessment.</w:t>
      </w:r>
    </w:p>
    <w:p>
      <w:pPr>
        <w:spacing w:after="40"/>
        <w:ind w:left="259" w:hanging="259"/>
      </w:pPr>
      <w:r>
        <w:rPr>
          <w:b/>
          <w:color w:val="18A6A1"/>
        </w:rPr>
        <w:t xml:space="preserve">B. </w:t>
      </w:r>
      <w:r>
        <w:t>Incorrect. No facts establish a universal legal duty to terminate immediately.</w:t>
      </w:r>
    </w:p>
    <w:p>
      <w:pPr>
        <w:spacing w:after="40"/>
        <w:ind w:left="259" w:hanging="259"/>
      </w:pPr>
      <w:r>
        <w:rPr>
          <w:b/>
          <w:color w:val="18A6A1"/>
        </w:rPr>
        <w:t xml:space="preserve">C. </w:t>
      </w:r>
      <w:r>
        <w:t>Incorrect. Disagreement or poor response does not establish incapacity.</w:t>
      </w:r>
    </w:p>
    <w:p>
      <w:pPr>
        <w:spacing w:after="40"/>
        <w:ind w:left="259" w:hanging="259"/>
      </w:pPr>
      <w:r>
        <w:rPr>
          <w:b/>
          <w:color w:val="18A6A1"/>
        </w:rPr>
        <w:t xml:space="preserve">D. </w:t>
      </w:r>
      <w:r>
        <w:t>Incorrect. Concealment prevents honest evaluation and correction.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the reasoning distortion, then return to outcome data and alternative explanations.</w:t>
            </w:r>
          </w:p>
        </w:tc>
      </w:tr>
    </w:tbl>
    <w:p>
      <w:pPr>
        <w:pStyle w:val="SmallNote"/>
        <w:spacing w:before="60"/>
      </w:pPr>
      <w:r>
        <w:rPr>
          <w:b/>
        </w:rPr>
        <w:t xml:space="preserve">Remediation: </w:t>
      </w:r>
      <w:r>
        <w:t>Workbook 5: Preventing Harm and Promoting Client Welfare — Chapter 5: Professional Judgment and Ethical Decision-Making.</w:t>
      </w:r>
    </w:p>
    <w:p>
      <w:pPr>
        <w:pStyle w:val="SmallNote"/>
      </w:pPr>
      <w:r>
        <w:rPr>
          <w:b/>
        </w:rPr>
        <w:t xml:space="preserve">Internal control: </w:t>
      </w:r>
      <w:r>
        <w:t>MQB-0485 | WB5-C5-Q009 | Moderate | Scenario-Based</w:t>
      </w:r>
    </w:p>
    <w:p>
      <w:pPr>
        <w:spacing w:after="40"/>
        <w:pBdr>
          <w:bottom w:val="single" w:sz="4" w:space="2" w:color="C9D3DD"/>
        </w:pBdr>
      </w:pPr>
    </w:p>
    <w:p>
      <w:pPr>
        <w:pStyle w:val="QuestionNumber"/>
        <w:keepNext/>
        <w:spacing w:before="140"/>
      </w:pPr>
      <w:r>
        <w:t xml:space="preserve">7. </w:t>
      </w:r>
      <w:r>
        <w:rPr>
          <w:b w:val="0"/>
          <w:color w:val="111111"/>
        </w:rPr>
        <w:t>A record has reached the ordinary minimum retention period, but the practice receives notice of a client complaint and a preservation request. What should the clinician do next?</w:t>
      </w:r>
    </w:p>
    <w:p>
      <w:pPr>
        <w:pStyle w:val="Option"/>
        <w:keepNext/>
        <w:ind w:left="317" w:hanging="317"/>
      </w:pPr>
      <w:r>
        <w:rPr>
          <w:b/>
        </w:rPr>
        <w:t xml:space="preserve">A. </w:t>
      </w:r>
      <w:r>
        <w:t>Destroy the record on schedule because the statutory minimum period has ended.</w:t>
      </w:r>
    </w:p>
    <w:p>
      <w:pPr>
        <w:pStyle w:val="Option"/>
        <w:keepNext/>
        <w:ind w:left="317" w:hanging="317"/>
      </w:pPr>
      <w:r>
        <w:rPr>
          <w:b/>
        </w:rPr>
        <w:t xml:space="preserve">B. </w:t>
      </w:r>
      <w:r>
        <w:t>Keep only the final progress note because the complaint does not require the complete file.</w:t>
      </w:r>
    </w:p>
    <w:p>
      <w:pPr>
        <w:pStyle w:val="Option"/>
        <w:keepNext/>
        <w:ind w:left="317" w:hanging="317"/>
      </w:pPr>
      <w:r>
        <w:rPr>
          <w:b/>
        </w:rPr>
        <w:t xml:space="preserve">C. </w:t>
      </w:r>
      <w:r>
        <w:t>Suspend destruction and preserve the relevant record while the complaint or legal-hold duty remains active.</w:t>
      </w:r>
    </w:p>
    <w:p>
      <w:pPr>
        <w:pStyle w:val="Option"/>
        <w:keepNext w:val="0"/>
        <w:ind w:left="317" w:hanging="317"/>
      </w:pPr>
      <w:r>
        <w:rPr>
          <w:b/>
        </w:rPr>
        <w:t xml:space="preserve">D. </w:t>
      </w:r>
      <w:r>
        <w:t>Transfer the record to the client and delete every practice copy immediately.</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An ordinary minimum retention period does not authorize destruction when a complaint, investigation, contract, or legal hold creates a longer preservation duty.</w:t>
      </w:r>
    </w:p>
    <w:p>
      <w:pPr>
        <w:spacing w:after="40"/>
        <w:ind w:left="259" w:hanging="259"/>
      </w:pPr>
      <w:r>
        <w:rPr>
          <w:b/>
          <w:color w:val="18A6A1"/>
        </w:rPr>
        <w:t xml:space="preserve">B. </w:t>
      </w:r>
      <w:r>
        <w:t>Incorrect. Partial preservation may omit material information and does not satisfy a hold covering the relevant record.</w:t>
      </w:r>
    </w:p>
    <w:p>
      <w:pPr>
        <w:spacing w:after="40"/>
        <w:ind w:left="259" w:hanging="259"/>
      </w:pPr>
      <w:r>
        <w:rPr>
          <w:b/>
          <w:color w:val="18A6A1"/>
        </w:rPr>
        <w:t xml:space="preserve">C. </w:t>
      </w:r>
      <w:r>
        <w:t>Correct. The clinician should suspend routine destruction, preserve the information, and follow the applicable complaint or legal-hold process.</w:t>
      </w:r>
    </w:p>
    <w:p>
      <w:pPr>
        <w:spacing w:after="40"/>
        <w:ind w:left="259" w:hanging="259"/>
      </w:pPr>
      <w:r>
        <w:rPr>
          <w:b/>
          <w:color w:val="18A6A1"/>
        </w:rPr>
        <w:t xml:space="preserve">D. </w:t>
      </w:r>
      <w:r>
        <w:t>Incorrect. Providing a copy to the client does not eliminate the practice’s preservation responsibility.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retention minimum is a floor, not permission to destroy records under an active preservation duty.</w:t>
            </w:r>
          </w:p>
        </w:tc>
      </w:tr>
    </w:tbl>
    <w:p>
      <w:pPr>
        <w:pStyle w:val="SmallNote"/>
        <w:spacing w:before="60"/>
      </w:pPr>
      <w:r>
        <w:rPr>
          <w:b/>
        </w:rPr>
        <w:t xml:space="preserve">Remediation: </w:t>
      </w:r>
      <w:r>
        <w:t>Workbook 9: Clinical Documentation, Record Management, and Technology — Chapter 3: Record Retention Requirements.</w:t>
      </w:r>
    </w:p>
    <w:p>
      <w:pPr>
        <w:pStyle w:val="SmallNote"/>
      </w:pPr>
      <w:r>
        <w:rPr>
          <w:b/>
        </w:rPr>
        <w:t xml:space="preserve">Internal control: </w:t>
      </w:r>
      <w:r>
        <w:t>MQB-0803 | CTA-CUM-WB9-003 | Moderate | First/Next</w:t>
      </w:r>
    </w:p>
    <w:p>
      <w:pPr>
        <w:spacing w:after="40"/>
        <w:pBdr>
          <w:bottom w:val="single" w:sz="4" w:space="2" w:color="C9D3DD"/>
        </w:pBdr>
      </w:pPr>
    </w:p>
    <w:p>
      <w:pPr>
        <w:pStyle w:val="QuestionNumber"/>
        <w:keepNext/>
        <w:spacing w:before="140"/>
      </w:pPr>
      <w:r>
        <w:t xml:space="preserve">8. </w:t>
      </w:r>
      <w:r>
        <w:rPr>
          <w:b w:val="0"/>
          <w:color w:val="111111"/>
        </w:rPr>
        <w:t>A therapist concludes during the first session that a client is irresponsible and unlikely to improve. The therapist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Option"/>
        <w:keepNext/>
        <w:ind w:left="317" w:hanging="317"/>
      </w:pPr>
      <w:r>
        <w:rPr>
          <w:b/>
        </w:rPr>
        <w:t xml:space="preserve">A. </w:t>
      </w:r>
      <w:r>
        <w:t>Discharge the client because several pieces of information support the clinician’s first impression without further assessment of the governing facts.</w:t>
      </w:r>
    </w:p>
    <w:p>
      <w:pPr>
        <w:pStyle w:val="Option"/>
        <w:keepNext/>
        <w:ind w:left="317" w:hanging="317"/>
      </w:pPr>
      <w:r>
        <w:rPr>
          <w:b/>
        </w:rPr>
        <w:t xml:space="preserve">B. </w:t>
      </w:r>
      <w:r>
        <w:t>Retain the conclusion but soften the language used with the client without further assessment of the governing facts.</w:t>
      </w:r>
    </w:p>
    <w:p>
      <w:pPr>
        <w:pStyle w:val="Option"/>
        <w:keepNext/>
        <w:ind w:left="317" w:hanging="317"/>
      </w:pPr>
      <w:r>
        <w:rPr>
          <w:b/>
        </w:rPr>
        <w:t xml:space="preserve">C. </w:t>
      </w:r>
      <w:r>
        <w:t>Separate facts from interpretations, examine contradictory evidence, explore barriers with the client, obtain objective consultation, correct inaccurate documentation, and reconsider the discharge recommendation.</w:t>
      </w:r>
    </w:p>
    <w:p>
      <w:pPr>
        <w:pStyle w:val="Option"/>
        <w:keepNext w:val="0"/>
        <w:ind w:left="317" w:hanging="317"/>
      </w:pPr>
      <w:r>
        <w:rPr>
          <w:b/>
        </w:rPr>
        <w:t xml:space="preserve">D. </w:t>
      </w:r>
      <w:r>
        <w:t>Transfer the client immediately because the clinician’s first impression cannot be changed before considering a less disruptive protective response.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therapist has selectively interpreted the available information. The missed appointments cannot be evaluated fairly without considering transportation, childcare, progress, and the client’s perspective.</w:t>
      </w:r>
    </w:p>
    <w:p>
      <w:pPr>
        <w:spacing w:after="40"/>
        <w:ind w:left="259" w:hanging="259"/>
      </w:pPr>
      <w:r>
        <w:rPr>
          <w:b/>
          <w:color w:val="18A6A1"/>
        </w:rPr>
        <w:t xml:space="preserve">B. </w:t>
      </w:r>
      <w:r>
        <w:t>Incorrect. Changing the wording without correcting the reasoning, documentation, and treatment decision would leave the biased process intact.</w:t>
      </w:r>
    </w:p>
    <w:p>
      <w:pPr>
        <w:spacing w:after="40"/>
        <w:ind w:left="259" w:hanging="259"/>
      </w:pPr>
      <w:r>
        <w:rPr>
          <w:b/>
          <w:color w:val="18A6A1"/>
        </w:rPr>
        <w:t xml:space="preserve">C. </w:t>
      </w:r>
      <w:r>
        <w:t>Correct. The scenario reflects a pattern of premature judgment and confirmation bias. The therapist formed an early label, selectively noticed confirming information, ignored contradictory facts and access barriers, and allowed the assumption to influence documentation and continued access to treatment. The corrective response should address the entire process: Identify the original conclusion Separate observations from interpretations Explore practical barriers Review evidence supporting and challenging the conclusion Seek consultation that increases objectivity Correct inaccurate records Reevaluate treatment and discharge decisions Repair any harm to the therapeutic relationship Monitor for recurrence</w:t>
      </w:r>
    </w:p>
    <w:p>
      <w:pPr>
        <w:spacing w:after="40"/>
        <w:ind w:left="259" w:hanging="259"/>
      </w:pPr>
      <w:r>
        <w:rPr>
          <w:b/>
          <w:color w:val="18A6A1"/>
        </w:rPr>
        <w:t xml:space="preserve">D. </w:t>
      </w:r>
      <w:r>
        <w:t>Incorrect. Referral or transfer may be necessary if the therapist cannot provide fair and competent treatment after corrective efforts, but it should not be the automatic first response.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 the chapter’s corrective sequence:</w:t>
              <w:br/>
              <w:t>Conclusion → Facts vs. interpretation → Evidence → Client perspective → Alternatives → Impact → Correction</w:t>
            </w:r>
          </w:p>
        </w:tc>
      </w:tr>
    </w:tbl>
    <w:p>
      <w:pPr>
        <w:pStyle w:val="SmallNote"/>
        <w:spacing w:before="60"/>
      </w:pPr>
      <w:r>
        <w:rPr>
          <w:b/>
        </w:rPr>
        <w:t xml:space="preserve">Remediation: </w:t>
      </w:r>
      <w:r>
        <w:t>Workbook 7: Cultural Humility — Chapter 2: Bias, Assumptions, and Ethical Decision-Making.</w:t>
      </w:r>
    </w:p>
    <w:p>
      <w:pPr>
        <w:pStyle w:val="SmallNote"/>
      </w:pPr>
      <w:r>
        <w:rPr>
          <w:b/>
        </w:rPr>
        <w:t xml:space="preserve">Internal control: </w:t>
      </w:r>
      <w:r>
        <w:t>MQB-0612 | WB7-C2-Q017 | Difficult | Integrated Challenge Question</w:t>
      </w:r>
    </w:p>
    <w:p>
      <w:pPr>
        <w:spacing w:after="40"/>
        <w:pBdr>
          <w:bottom w:val="single" w:sz="4" w:space="2" w:color="C9D3DD"/>
        </w:pBdr>
      </w:pPr>
    </w:p>
    <w:p>
      <w:pPr>
        <w:pStyle w:val="QuestionNumber"/>
        <w:keepNext/>
        <w:spacing w:before="140"/>
      </w:pPr>
      <w:r>
        <w:t xml:space="preserve">9. </w:t>
      </w:r>
      <w:r>
        <w:rPr>
          <w:b w:val="0"/>
          <w:color w:val="111111"/>
        </w:rP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Option"/>
        <w:keepNext/>
        <w:ind w:left="317" w:hanging="317"/>
      </w:pPr>
      <w:r>
        <w:rPr>
          <w:b/>
        </w:rPr>
        <w:t xml:space="preserve">A. </w:t>
      </w:r>
      <w:r>
        <w:t>The conduct occurred outside the clinician’s office without further assessment of the governing facts.</w:t>
      </w:r>
    </w:p>
    <w:p>
      <w:pPr>
        <w:pStyle w:val="Option"/>
        <w:keepNext/>
        <w:ind w:left="317" w:hanging="317"/>
      </w:pPr>
      <w:r>
        <w:rPr>
          <w:b/>
        </w:rPr>
        <w:t xml:space="preserve">B. </w:t>
      </w:r>
      <w:r>
        <w:t>The conduct misused professional power, created significant risk, or primarily served the clinician’s personal interests.</w:t>
      </w:r>
    </w:p>
    <w:p>
      <w:pPr>
        <w:pStyle w:val="Option"/>
        <w:keepNext/>
        <w:ind w:left="317" w:hanging="317"/>
      </w:pPr>
      <w:r>
        <w:rPr>
          <w:b/>
        </w:rPr>
        <w:t xml:space="preserve">C. </w:t>
      </w:r>
      <w:r>
        <w:t>The conduct was unusual without further assessment of the governing facts.</w:t>
      </w:r>
    </w:p>
    <w:p>
      <w:pPr>
        <w:pStyle w:val="Option"/>
        <w:keepNext w:val="0"/>
        <w:ind w:left="317" w:hanging="317"/>
      </w:pPr>
      <w:r>
        <w:rPr>
          <w:b/>
        </w:rPr>
        <w:t xml:space="preserve">D. </w:t>
      </w:r>
      <w:r>
        <w:t>The client agreed to the conduct because the person's preference is treated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Location does not determine whether conduct is ethical. Boundary violations may occur inside or outside the office, through electronic communication, at community events, or after treatment sessions.</w:t>
      </w:r>
    </w:p>
    <w:p>
      <w:pPr>
        <w:spacing w:after="40"/>
        <w:ind w:left="259" w:hanging="259"/>
      </w:pPr>
      <w:r>
        <w:rPr>
          <w:b/>
          <w:color w:val="18A6A1"/>
        </w:rPr>
        <w:t xml:space="preserve">B. </w:t>
      </w:r>
      <w:r>
        <w:t>Correct. A boundary violation involves misuse of the therapeutic relationship. It may exploit the client, impair professional judgment, create pressure or dependency, cause significant harm, or allow the therapist to obtain personal, emotional, financial, romantic, or sexual benefit. The central concern is not simply whether the behavior was unusual. The concern is whether professional power was used in a way that displaced client welfare and damaged the integrity of treatment.</w:t>
      </w:r>
    </w:p>
    <w:p>
      <w:pPr>
        <w:spacing w:after="40"/>
        <w:ind w:left="259" w:hanging="259"/>
      </w:pPr>
      <w:r>
        <w:rPr>
          <w:b/>
          <w:color w:val="18A6A1"/>
        </w:rPr>
        <w:t xml:space="preserve">C. </w:t>
      </w:r>
      <w:r>
        <w:t>Incorrect. Unusual conduct is not automatically a violation. A nontraditional action may be appropriate when it serves a clear clinical purpose and is carefully evaluated, transparent, and monitored.</w:t>
      </w:r>
    </w:p>
    <w:p>
      <w:pPr>
        <w:spacing w:after="40"/>
        <w:ind w:left="259" w:hanging="259"/>
      </w:pPr>
      <w:r>
        <w:rPr>
          <w:b/>
          <w:color w:val="18A6A1"/>
        </w:rPr>
        <w:t xml:space="preserve">D. </w:t>
      </w:r>
      <w:r>
        <w:t>Incorrect. Client agreement does not eliminate the therapist’s responsibility. The power difference, fear of losing treatment, emotional dependency, or desire for approval may affect whether the client feels genuinely free to refuse.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ask only:</w:t>
              <w:br/>
              <w:t>“Was this unusual?”</w:t>
              <w:br/>
              <w:t>Ask:</w:t>
              <w:br/>
              <w:t>Who benefited, what risks were created, and was professional power misused?</w:t>
            </w:r>
          </w:p>
        </w:tc>
      </w:tr>
    </w:tbl>
    <w:p>
      <w:pPr>
        <w:pStyle w:val="SmallNote"/>
        <w:spacing w:before="60"/>
      </w:pPr>
      <w:r>
        <w:rPr>
          <w:b/>
        </w:rPr>
        <w:t xml:space="preserve">Remediation: </w:t>
      </w:r>
      <w:r>
        <w:t>Workbook 6: Professional Boundaries — Chapter 2: Boundary Crossings and Boundary Violations.</w:t>
      </w:r>
    </w:p>
    <w:p>
      <w:pPr>
        <w:pStyle w:val="SmallNote"/>
      </w:pPr>
      <w:r>
        <w:rPr>
          <w:b/>
        </w:rPr>
        <w:t xml:space="preserve">Internal control: </w:t>
      </w:r>
      <w:r>
        <w:t>MQB-0512 | WB6-C2-Q002 | Easy | Scenario-Based</w:t>
      </w:r>
    </w:p>
    <w:p>
      <w:pPr>
        <w:spacing w:after="40"/>
        <w:pBdr>
          <w:bottom w:val="single" w:sz="4" w:space="2" w:color="C9D3DD"/>
        </w:pBdr>
      </w:pPr>
    </w:p>
    <w:p>
      <w:pPr>
        <w:pStyle w:val="QuestionNumber"/>
        <w:keepNext/>
        <w:spacing w:before="140"/>
      </w:pPr>
      <w:r>
        <w:t xml:space="preserve">10. </w:t>
      </w:r>
      <w:r>
        <w:rPr>
          <w:b w:val="0"/>
          <w:color w:val="111111"/>
        </w:rPr>
        <w:t>A therapist accidentally emails a treatment summary to the wrong parent with a similar name. What is the best first response?</w:t>
      </w:r>
    </w:p>
    <w:p>
      <w:pPr>
        <w:pStyle w:val="Option"/>
        <w:keepNext/>
        <w:ind w:left="317" w:hanging="317"/>
      </w:pPr>
      <w:r>
        <w:rPr>
          <w:b/>
        </w:rPr>
        <w:t xml:space="preserve">A. </w:t>
      </w:r>
      <w:r>
        <w:t>Wait to see whether the recipient opens the message until a complaint, injury, or clearer problem occurs.</w:t>
      </w:r>
    </w:p>
    <w:p>
      <w:pPr>
        <w:pStyle w:val="Option"/>
        <w:keepNext/>
        <w:ind w:left="317" w:hanging="317"/>
      </w:pPr>
      <w:r>
        <w:rPr>
          <w:b/>
        </w:rPr>
        <w:t xml:space="preserve">B. </w:t>
      </w:r>
      <w:r>
        <w:t>Delete the clinician’s sent copy so the disclosure is no longer documented to remove the immediate administrative concern.</w:t>
      </w:r>
    </w:p>
    <w:p>
      <w:pPr>
        <w:pStyle w:val="Option"/>
        <w:keepNext/>
        <w:ind w:left="317" w:hanging="317"/>
      </w:pPr>
      <w:r>
        <w:rPr>
          <w:b/>
        </w:rPr>
        <w:t xml:space="preserve">C. </w:t>
      </w:r>
      <w:r>
        <w:t>Send a second email containing more client details to explain the mistake without further assessment of the governing facts while treating that single factor as controlling.</w:t>
      </w:r>
    </w:p>
    <w:p>
      <w:pPr>
        <w:pStyle w:val="Option"/>
        <w:keepNext w:val="0"/>
        <w:ind w:left="317" w:hanging="317"/>
      </w:pPr>
      <w:r>
        <w:rPr>
          <w:b/>
        </w:rPr>
        <w:t xml:space="preserve">D. </w:t>
      </w:r>
      <w:r>
        <w:t>Contain the disclosure if possible, preserve the facts, assess what was sent and whether it was accessed, follow incident procedures, and determine required notification or mitigation.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Delay may increase exposure and reduce the chance of mitigation.</w:t>
      </w:r>
    </w:p>
    <w:p>
      <w:pPr>
        <w:spacing w:after="40"/>
        <w:ind w:left="259" w:hanging="259"/>
      </w:pPr>
      <w:r>
        <w:rPr>
          <w:b/>
          <w:color w:val="18A6A1"/>
        </w:rPr>
        <w:t xml:space="preserve">B. </w:t>
      </w:r>
      <w:r>
        <w:t>Incorrect. Deleting evidence does not retrieve the message and may interfere with the required analysis.</w:t>
      </w:r>
    </w:p>
    <w:p>
      <w:pPr>
        <w:spacing w:after="40"/>
        <w:ind w:left="259" w:hanging="259"/>
      </w:pPr>
      <w:r>
        <w:rPr>
          <w:b/>
          <w:color w:val="18A6A1"/>
        </w:rPr>
        <w:t xml:space="preserve">C. </w:t>
      </w:r>
      <w:r>
        <w:t>Incorrect. Sending additional information to the wrong recipient could compound the disclosure.</w:t>
      </w:r>
    </w:p>
    <w:p>
      <w:pPr>
        <w:spacing w:after="40"/>
        <w:ind w:left="259" w:hanging="259"/>
      </w:pPr>
      <w:r>
        <w:rPr>
          <w:b/>
          <w:color w:val="18A6A1"/>
        </w:rPr>
        <w:t xml:space="preserve">D. </w:t>
      </w:r>
      <w:r>
        <w:t>Correct. Prompt containment, evidence preservation, scope assessment, mitigation, consultation, and notification analysis are appropriate.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Wrong-recipient questions favor containment and assessment, not waiting, concealment, or additional disclosure.</w:t>
            </w:r>
          </w:p>
        </w:tc>
      </w:tr>
    </w:tbl>
    <w:p>
      <w:pPr>
        <w:pStyle w:val="SmallNote"/>
        <w:spacing w:before="60"/>
      </w:pPr>
      <w:r>
        <w:rPr>
          <w:b/>
        </w:rPr>
        <w:t xml:space="preserve">Remediation: </w:t>
      </w:r>
      <w:r>
        <w:t>Workbook 2: Telehealth Law &amp; Ethics — Chapter 6: Technology Risk Management and Compliance.</w:t>
      </w:r>
    </w:p>
    <w:p>
      <w:pPr>
        <w:pStyle w:val="SmallNote"/>
      </w:pPr>
      <w:r>
        <w:rPr>
          <w:b/>
        </w:rPr>
        <w:t xml:space="preserve">Internal control: </w:t>
      </w:r>
      <w:r>
        <w:t>MQB-0213 | WB2-C6-Q009 | Moderate | Scenario-Based</w:t>
      </w:r>
    </w:p>
    <w:p>
      <w:pPr>
        <w:spacing w:after="40"/>
        <w:pBdr>
          <w:bottom w:val="single" w:sz="4" w:space="2" w:color="C9D3DD"/>
        </w:pBdr>
      </w:pPr>
    </w:p>
    <w:p>
      <w:pPr>
        <w:pStyle w:val="QuestionNumber"/>
        <w:keepNext/>
        <w:spacing w:before="140"/>
      </w:pPr>
      <w:r>
        <w:t xml:space="preserve">11. </w:t>
      </w:r>
      <w:r>
        <w:rPr>
          <w:b w:val="0"/>
          <w:color w:val="111111"/>
        </w:rPr>
        <w:t>A therapist and client live in a small community and unexpectedly join the same volunteer committee. Avoiding all contact would significantly burden the client. What is the best response?</w:t>
      </w:r>
    </w:p>
    <w:p>
      <w:pPr>
        <w:pStyle w:val="Option"/>
        <w:keepNext/>
        <w:ind w:left="317" w:hanging="317"/>
      </w:pPr>
      <w:r>
        <w:rPr>
          <w:b/>
        </w:rPr>
        <w:t xml:space="preserve">A. </w:t>
      </w:r>
      <w:r>
        <w:t>End therapy immediately because any community overlap is automatically unethical.</w:t>
      </w:r>
    </w:p>
    <w:p>
      <w:pPr>
        <w:pStyle w:val="Option"/>
        <w:keepNext/>
        <w:ind w:left="317" w:hanging="317"/>
      </w:pPr>
      <w:r>
        <w:rPr>
          <w:b/>
        </w:rPr>
        <w:t xml:space="preserve">B. </w:t>
      </w:r>
      <w:r>
        <w:t>Discuss foreseeable contact, confidentiality, roles, and boundaries; assess risk, document the plan, and revisit it as needed.</w:t>
      </w:r>
    </w:p>
    <w:p>
      <w:pPr>
        <w:pStyle w:val="Option"/>
        <w:keepNext/>
        <w:ind w:left="317" w:hanging="317"/>
      </w:pPr>
      <w:r>
        <w:rPr>
          <w:b/>
        </w:rPr>
        <w:t xml:space="preserve">C. </w:t>
      </w:r>
      <w:r>
        <w:t>Act like close friends in public so others will not suspect a treatment relationship.</w:t>
      </w:r>
    </w:p>
    <w:p>
      <w:pPr>
        <w:pStyle w:val="Option"/>
        <w:keepNext w:val="0"/>
        <w:ind w:left="317" w:hanging="317"/>
      </w:pPr>
      <w:r>
        <w:rPr>
          <w:b/>
        </w:rPr>
        <w:t xml:space="preserve">D. </w:t>
      </w:r>
      <w:r>
        <w:t>Require the client to leave the committee because the therapist’s community role takes priority.</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Unavoidable overlap does not automatically require termination; the clinician should assess whether risks can be managed.</w:t>
      </w:r>
    </w:p>
    <w:p>
      <w:pPr>
        <w:spacing w:after="40"/>
        <w:ind w:left="259" w:hanging="259"/>
      </w:pPr>
      <w:r>
        <w:rPr>
          <w:b/>
          <w:color w:val="18A6A1"/>
        </w:rPr>
        <w:t xml:space="preserve">B. </w:t>
      </w:r>
      <w:r>
        <w:t>Correct. A transparent and individualized plan addresses confidentiality, role expectations, power, possible encounters, and ongoing monitoring.</w:t>
      </w:r>
    </w:p>
    <w:p>
      <w:pPr>
        <w:spacing w:after="40"/>
        <w:ind w:left="259" w:hanging="259"/>
      </w:pPr>
      <w:r>
        <w:rPr>
          <w:b/>
          <w:color w:val="18A6A1"/>
        </w:rPr>
        <w:t xml:space="preserve">C. </w:t>
      </w:r>
      <w:r>
        <w:t>Incorrect. Performing friendship can create deception, boundary confusion, and greater confidentiality risk.</w:t>
      </w:r>
    </w:p>
    <w:p>
      <w:pPr>
        <w:spacing w:after="40"/>
        <w:ind w:left="259" w:hanging="259"/>
      </w:pPr>
      <w:r>
        <w:rPr>
          <w:b/>
          <w:color w:val="18A6A1"/>
        </w:rPr>
        <w:t xml:space="preserve">D. </w:t>
      </w:r>
      <w:r>
        <w:t>Incorrect. The therapist should not automatically shift the burden to the client or prioritize personal convenience over client welfare.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small-community cases, look for risk management rather than automatic avoidance or client displacement.</w:t>
            </w:r>
          </w:p>
        </w:tc>
      </w:tr>
    </w:tbl>
    <w:p>
      <w:pPr>
        <w:pStyle w:val="SmallNote"/>
        <w:spacing w:before="60"/>
      </w:pPr>
      <w:r>
        <w:rPr>
          <w:b/>
        </w:rPr>
        <w:t xml:space="preserve">Remediation: </w:t>
      </w:r>
      <w:r>
        <w:t>Workbook 6: Professional Boundaries — Chapter 3: Multiple and Dual Relationships.</w:t>
      </w:r>
    </w:p>
    <w:p>
      <w:pPr>
        <w:pStyle w:val="SmallNote"/>
      </w:pPr>
      <w:r>
        <w:rPr>
          <w:b/>
        </w:rPr>
        <w:t xml:space="preserve">Internal control: </w:t>
      </w:r>
      <w:r>
        <w:t>MQB-0791 | CTA-CUM-WB6-002 | Moderate | Scenario-Based</w:t>
      </w:r>
    </w:p>
    <w:p>
      <w:pPr>
        <w:spacing w:after="40"/>
        <w:pBdr>
          <w:bottom w:val="single" w:sz="4" w:space="2" w:color="C9D3DD"/>
        </w:pBdr>
      </w:pPr>
    </w:p>
    <w:p>
      <w:pPr>
        <w:pStyle w:val="QuestionNumber"/>
        <w:keepNext/>
        <w:spacing w:before="140"/>
      </w:pPr>
      <w:r>
        <w:t xml:space="preserve">12. </w:t>
      </w:r>
      <w:r>
        <w:rPr>
          <w:b w:val="0"/>
          <w:color w:val="111111"/>
        </w:rPr>
        <w:t>A supervisor directs a registered AMFT to continue an unfamiliar high-intensity intervention with a highly dependent client whose symptoms are worsening. The registered AMFT lacks training, the client says, “I will agree so you do not abandon me,” and no immediate life-threatening danger is present. What is the BEST next step?</w:t>
      </w:r>
    </w:p>
    <w:p>
      <w:pPr>
        <w:pStyle w:val="Option"/>
        <w:keepNext/>
        <w:ind w:left="317" w:hanging="317"/>
      </w:pPr>
      <w:r>
        <w:rPr>
          <w:b/>
        </w:rPr>
        <w:t xml:space="preserve">A. </w:t>
      </w:r>
      <w:r>
        <w:t>Pause or modify the unsafe element, reassess the client’s condition and voluntariness, obtain qualified supervision or consultation, arrange competent alternative or collaborative care, and document and monitor continuity.</w:t>
      </w:r>
    </w:p>
    <w:p>
      <w:pPr>
        <w:pStyle w:val="Option"/>
        <w:keepNext/>
        <w:ind w:left="317" w:hanging="317"/>
      </w:pPr>
      <w:r>
        <w:rPr>
          <w:b/>
        </w:rPr>
        <w:t xml:space="preserve">B. </w:t>
      </w:r>
      <w:r>
        <w:t>Continue because supervisor approval and client agreement eliminate competence and harm concerns because the person's preference is treated as controlling while treating that single factor as controlling.</w:t>
      </w:r>
    </w:p>
    <w:p>
      <w:pPr>
        <w:pStyle w:val="Option"/>
        <w:keepNext/>
        <w:ind w:left="317" w:hanging="317"/>
      </w:pPr>
      <w:r>
        <w:rPr>
          <w:b/>
        </w:rPr>
        <w:t xml:space="preserve">C. </w:t>
      </w:r>
      <w:r>
        <w:t>Terminate the client immediately because worsening proves the entire therapeutic relationship is harmful before considering a less disruptive protective response.</w:t>
      </w:r>
    </w:p>
    <w:p>
      <w:pPr>
        <w:pStyle w:val="Option"/>
        <w:keepNext w:val="0"/>
        <w:ind w:left="317" w:hanging="317"/>
      </w:pPr>
      <w:r>
        <w:rPr>
          <w:b/>
        </w:rPr>
        <w:t xml:space="preserve">D. </w:t>
      </w:r>
      <w:r>
        <w:t>Obtain a more detailed waiver and proceed until actual injury occurs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integrates competence, deterioration, power imbalance, noncoercion, qualified assistance, proportionality, documentation, and continuity without delaying until harm occurs.</w:t>
      </w:r>
    </w:p>
    <w:p>
      <w:pPr>
        <w:spacing w:after="40"/>
        <w:ind w:left="259" w:hanging="259"/>
      </w:pPr>
      <w:r>
        <w:rPr>
          <w:b/>
          <w:color w:val="18A6A1"/>
        </w:rPr>
        <w:t xml:space="preserve">B. </w:t>
      </w:r>
      <w:r>
        <w:t>Incorrect. A supervisor cannot create competence or make disproportionate risk ethical, and the client’s statement raises a voluntariness concern.</w:t>
      </w:r>
    </w:p>
    <w:p>
      <w:pPr>
        <w:spacing w:after="40"/>
        <w:ind w:left="259" w:hanging="259"/>
      </w:pPr>
      <w:r>
        <w:rPr>
          <w:b/>
          <w:color w:val="18A6A1"/>
        </w:rPr>
        <w:t xml:space="preserve">C. </w:t>
      </w:r>
      <w:r>
        <w:t>Incorrect. Immediate termination may create avoidable harm and is disproportionate when modification, collaboration, or orderly transfer can protect the client.</w:t>
      </w:r>
    </w:p>
    <w:p>
      <w:pPr>
        <w:spacing w:after="40"/>
        <w:ind w:left="259" w:hanging="259"/>
      </w:pPr>
      <w:r>
        <w:rPr>
          <w:b/>
          <w:color w:val="18A6A1"/>
        </w:rPr>
        <w:t xml:space="preserve">D. </w:t>
      </w:r>
      <w:r>
        <w:t>Incorrect. A waiver cannot authorize incompetent care, neutralize coercive pressure, or justify waiting for injury.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integrated items, identify each risk layer and choose the response that protects, corrects competence limits, and preserves continuity.</w:t>
            </w:r>
          </w:p>
        </w:tc>
      </w:tr>
    </w:tbl>
    <w:p>
      <w:pPr>
        <w:pStyle w:val="SmallNote"/>
        <w:spacing w:before="60"/>
      </w:pPr>
      <w:r>
        <w:rPr>
          <w:b/>
        </w:rPr>
        <w:t xml:space="preserve">Remediation: </w:t>
      </w:r>
      <w:r>
        <w:t>Workbook 5: Preventing Harm and Promoting Client Welfare — Chapter 1: The Principle of Nonmaleficence.</w:t>
      </w:r>
    </w:p>
    <w:p>
      <w:pPr>
        <w:pStyle w:val="SmallNote"/>
      </w:pPr>
      <w:r>
        <w:rPr>
          <w:b/>
        </w:rPr>
        <w:t xml:space="preserve">Internal control: </w:t>
      </w:r>
      <w:r>
        <w:t>MQB-0425 | WB5-C1-Q017 | Difficult | Integrated Challenge</w:t>
      </w:r>
    </w:p>
    <w:p>
      <w:pPr>
        <w:spacing w:after="40"/>
        <w:pBdr>
          <w:bottom w:val="single" w:sz="4" w:space="2" w:color="C9D3DD"/>
        </w:pBdr>
      </w:pPr>
    </w:p>
    <w:p>
      <w:pPr>
        <w:pStyle w:val="QuestionNumber"/>
        <w:keepNext/>
        <w:spacing w:before="140"/>
      </w:pPr>
      <w:r>
        <w:t xml:space="preserve">13. </w:t>
      </w:r>
      <w:r>
        <w:rPr>
          <w:b w:val="0"/>
          <w:color w:val="111111"/>
        </w:rPr>
        <w:t>A client signed the practice’s informed-consent form at intake but did not sign a release. The client’s employer now asks the therapist for a treatment update, and the therapist reviews the difference between the two documents.</w:t>
        <w:br/>
        <w:t>Which statement most accurately guides the therapist?</w:t>
      </w:r>
    </w:p>
    <w:p>
      <w:pPr>
        <w:pStyle w:val="Option"/>
        <w:keepNext/>
        <w:ind w:left="317" w:hanging="317"/>
      </w:pPr>
      <w:r>
        <w:rPr>
          <w:b/>
        </w:rPr>
        <w:t xml:space="preserve">A. </w:t>
      </w:r>
      <w:r>
        <w:t>Informed consent permits the clinician to release the complete record without further assessment of the governing facts.</w:t>
      </w:r>
    </w:p>
    <w:p>
      <w:pPr>
        <w:pStyle w:val="Option"/>
        <w:keepNext/>
        <w:ind w:left="317" w:hanging="317"/>
      </w:pPr>
      <w:r>
        <w:rPr>
          <w:b/>
        </w:rPr>
        <w:t xml:space="preserve">B. </w:t>
      </w:r>
      <w:r>
        <w:t>Authorization explains the general risks and policies of treatment without further assessment of the governing facts.</w:t>
      </w:r>
    </w:p>
    <w:p>
      <w:pPr>
        <w:pStyle w:val="Option"/>
        <w:keepNext/>
        <w:ind w:left="317" w:hanging="317"/>
      </w:pPr>
      <w:r>
        <w:rPr>
          <w:b/>
        </w:rPr>
        <w:t xml:space="preserve">C. </w:t>
      </w:r>
      <w:r>
        <w:t>Informed consent explains treatment and client choices, while authorization permits a specified use or disclosure of information.</w:t>
      </w:r>
    </w:p>
    <w:p>
      <w:pPr>
        <w:pStyle w:val="Option"/>
        <w:keepNext w:val="0"/>
        <w:ind w:left="317" w:hanging="317"/>
      </w:pPr>
      <w:r>
        <w:rPr>
          <w:b/>
        </w:rPr>
        <w:t xml:space="preserve">D. </w:t>
      </w:r>
      <w:r>
        <w:t>The two documents serve the same legal and clinical purpose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Informed consent does not automatically authorize disclosure of the clinical record to outside people or organizations.</w:t>
      </w:r>
    </w:p>
    <w:p>
      <w:pPr>
        <w:spacing w:after="40"/>
        <w:ind w:left="259" w:hanging="259"/>
      </w:pPr>
      <w:r>
        <w:rPr>
          <w:b/>
          <w:color w:val="18A6A1"/>
        </w:rPr>
        <w:t xml:space="preserve">B. </w:t>
      </w:r>
      <w:r>
        <w:t>Incorrect. Explaining treatment risks and general practice policies is primarily a function of informed consent, not a release authorization.</w:t>
      </w:r>
    </w:p>
    <w:p>
      <w:pPr>
        <w:spacing w:after="40"/>
        <w:ind w:left="259" w:hanging="259"/>
      </w:pPr>
      <w:r>
        <w:rPr>
          <w:b/>
          <w:color w:val="18A6A1"/>
        </w:rPr>
        <w:t xml:space="preserve">C. </w:t>
      </w:r>
      <w:r>
        <w:t>Correct. Informed consent explains the nature of treatment, relevant risks and benefits, policies, fees, confidentiality limits, and client choices. It supports the client’s decision to participate in services. An authorization serves a different purpose. It permits identified information to be used or disclosed to a particular recipient for a stated purpose and period.</w:t>
      </w:r>
    </w:p>
    <w:p>
      <w:pPr>
        <w:spacing w:after="40"/>
        <w:ind w:left="259" w:hanging="259"/>
      </w:pPr>
      <w:r>
        <w:rPr>
          <w:b/>
          <w:color w:val="18A6A1"/>
        </w:rPr>
        <w:t xml:space="preserve">D. </w:t>
      </w:r>
      <w:r>
        <w:t>Incorrect. The documents may both involve client understanding and agreement, but they do not perform the same function.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confuse:</w:t>
              <w:br/>
              <w:t>Consent to treatment</w:t>
              <w:br/>
              <w:t>Permission to disclose information</w:t>
            </w:r>
          </w:p>
        </w:tc>
      </w:tr>
    </w:tbl>
    <w:p>
      <w:pPr>
        <w:pStyle w:val="SmallNote"/>
        <w:spacing w:before="60"/>
      </w:pPr>
      <w:r>
        <w:rPr>
          <w:b/>
        </w:rPr>
        <w:t xml:space="preserve">Remediation: </w:t>
      </w:r>
      <w:r>
        <w:t>Workbook 8: Confidentiality, Privacy, and Information Sharing — Chapter 2: Authorizations, Releases of Information, and Limits on Disclosure.</w:t>
      </w:r>
    </w:p>
    <w:p>
      <w:pPr>
        <w:pStyle w:val="SmallNote"/>
      </w:pPr>
      <w:r>
        <w:rPr>
          <w:b/>
        </w:rPr>
        <w:t xml:space="preserve">Internal control: </w:t>
      </w:r>
      <w:r>
        <w:t>MQB-0657 | WB8-C2-Q011 | Easy | Scenario-Based</w:t>
      </w:r>
    </w:p>
    <w:p>
      <w:pPr>
        <w:spacing w:after="40"/>
        <w:pBdr>
          <w:bottom w:val="single" w:sz="4" w:space="2" w:color="C9D3DD"/>
        </w:pBdr>
      </w:pPr>
    </w:p>
    <w:p>
      <w:pPr>
        <w:pStyle w:val="QuestionNumber"/>
        <w:keepNext/>
        <w:spacing w:before="140"/>
      </w:pPr>
      <w:r>
        <w:t xml:space="preserve">14. </w:t>
      </w:r>
      <w:r>
        <w:rPr>
          <w:b w:val="0"/>
          <w:color w:val="111111"/>
        </w:rPr>
        <w:t>A registered AMFT tells a client, “I am licensed and meet with another therapist for optional advice.” What is the most appropriate correction?</w:t>
      </w:r>
    </w:p>
    <w:p>
      <w:pPr>
        <w:pStyle w:val="Option"/>
        <w:keepNext/>
        <w:ind w:left="317" w:hanging="317"/>
      </w:pPr>
      <w:r>
        <w:rPr>
          <w:b/>
        </w:rPr>
        <w:t xml:space="preserve">A. </w:t>
      </w:r>
      <w:r>
        <w:t>No correction; supervision and consultation are identical without further assessment of the governing facts.</w:t>
      </w:r>
    </w:p>
    <w:p>
      <w:pPr>
        <w:pStyle w:val="Option"/>
        <w:keepNext/>
        <w:ind w:left="317" w:hanging="317"/>
      </w:pPr>
      <w:r>
        <w:rPr>
          <w:b/>
        </w:rPr>
        <w:t xml:space="preserve">B. </w:t>
      </w:r>
      <w:r>
        <w:t>Disclose only the employer before confirming legal authority and the permitted scope.</w:t>
      </w:r>
    </w:p>
    <w:p>
      <w:pPr>
        <w:pStyle w:val="Option"/>
        <w:keepNext/>
        <w:ind w:left="317" w:hanging="317"/>
      </w:pPr>
      <w:r>
        <w:rPr>
          <w:b/>
        </w:rPr>
        <w:t xml:space="preserve">C. </w:t>
      </w:r>
      <w:r>
        <w:t>Wait for the client to ask until a complaint, injury, or clearer problem occurs.</w:t>
      </w:r>
    </w:p>
    <w:p>
      <w:pPr>
        <w:pStyle w:val="Option"/>
        <w:keepNext w:val="0"/>
        <w:ind w:left="317" w:hanging="317"/>
      </w:pPr>
      <w:r>
        <w:rPr>
          <w:b/>
        </w:rPr>
        <w:t xml:space="preserve">D. </w:t>
      </w:r>
      <w:r>
        <w:t>Accurately explain that the person is a registered AMFT, is not independently licensed, and practices under required supervision.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This option either omits a required element, overstates authority, or relies on an inaccurate assumption.</w:t>
      </w:r>
    </w:p>
    <w:p>
      <w:pPr>
        <w:spacing w:after="40"/>
        <w:ind w:left="259" w:hanging="259"/>
      </w:pPr>
      <w:r>
        <w:rPr>
          <w:b/>
          <w:color w:val="18A6A1"/>
        </w:rPr>
        <w:t xml:space="preserve">B. </w:t>
      </w:r>
      <w:r>
        <w:t>Incorrect. This option does not accurately apply the controlling disclosure requirement to the facts.</w:t>
      </w:r>
    </w:p>
    <w:p>
      <w:pPr>
        <w:spacing w:after="40"/>
        <w:ind w:left="259" w:hanging="259"/>
      </w:pPr>
      <w:r>
        <w:rPr>
          <w:b/>
          <w:color w:val="18A6A1"/>
        </w:rPr>
        <w:t xml:space="preserve">C. </w:t>
      </w:r>
      <w:r>
        <w:t>Incorrect. This option confuses documentation or convenience with meaningful legal and professional compliance.</w:t>
      </w:r>
    </w:p>
    <w:p>
      <w:pPr>
        <w:spacing w:after="40"/>
        <w:ind w:left="259" w:hanging="259"/>
      </w:pPr>
      <w:r>
        <w:rPr>
          <w:b/>
          <w:color w:val="18A6A1"/>
        </w:rPr>
        <w:t xml:space="preserve">D. </w:t>
      </w:r>
      <w:r>
        <w:t>Correct. The statement misrepresents both licensure and the mandatory nature of supervision.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Optional consultation is a distractor when supervision is legally required.</w:t>
            </w:r>
          </w:p>
        </w:tc>
      </w:tr>
    </w:tbl>
    <w:p>
      <w:pPr>
        <w:pStyle w:val="SmallNote"/>
        <w:spacing w:before="60"/>
      </w:pPr>
      <w:r>
        <w:rPr>
          <w:b/>
        </w:rPr>
        <w:t xml:space="preserve">Remediation: </w:t>
      </w:r>
      <w:r>
        <w:t>Workbook 1: Informed Consent, Minors, and Family Involvement — Chapter 4: Required Disclosures.</w:t>
      </w:r>
    </w:p>
    <w:p>
      <w:pPr>
        <w:pStyle w:val="SmallNote"/>
      </w:pPr>
      <w:r>
        <w:rPr>
          <w:b/>
        </w:rPr>
        <w:t xml:space="preserve">Internal control: </w:t>
      </w:r>
      <w:r>
        <w:t>MQB-0059 | WB1-C4-Q008 | Moderate | Scenario-Based</w:t>
      </w:r>
    </w:p>
    <w:p>
      <w:pPr>
        <w:spacing w:after="40"/>
        <w:pBdr>
          <w:bottom w:val="single" w:sz="4" w:space="2" w:color="C9D3DD"/>
        </w:pBdr>
      </w:pPr>
    </w:p>
    <w:p>
      <w:pPr>
        <w:pStyle w:val="QuestionNumber"/>
        <w:keepNext/>
        <w:spacing w:before="140"/>
      </w:pPr>
      <w:r>
        <w:t xml:space="preserve">15. </w:t>
      </w:r>
      <w:r>
        <w:rPr>
          <w:b w:val="0"/>
          <w:color w:val="111111"/>
        </w:rP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Option"/>
        <w:keepNext/>
        <w:ind w:left="317" w:hanging="317"/>
      </w:pPr>
      <w:r>
        <w:rPr>
          <w:b/>
        </w:rPr>
        <w:t xml:space="preserve">A. </w:t>
      </w:r>
      <w:r>
        <w:t>The practice has adequate security because encryption is the most important safeguard without further assessment of the governing facts.</w:t>
      </w:r>
    </w:p>
    <w:p>
      <w:pPr>
        <w:pStyle w:val="Option"/>
        <w:keepNext/>
        <w:ind w:left="317" w:hanging="317"/>
      </w:pPr>
      <w:r>
        <w:rPr>
          <w:b/>
        </w:rPr>
        <w:t xml:space="preserve">B. </w:t>
      </w:r>
      <w:r>
        <w:t>The practice needs only stronger office locks without further assessment of the governing facts.</w:t>
      </w:r>
    </w:p>
    <w:p>
      <w:pPr>
        <w:pStyle w:val="Option"/>
        <w:keepNext/>
        <w:ind w:left="317" w:hanging="317"/>
      </w:pPr>
      <w:r>
        <w:rPr>
          <w:b/>
        </w:rPr>
        <w:t xml:space="preserve">C. </w:t>
      </w:r>
      <w:r>
        <w:t>No changes are needed unless an actual breach occurs without further assessment of the governing facts.</w:t>
      </w:r>
    </w:p>
    <w:p>
      <w:pPr>
        <w:pStyle w:val="Option"/>
        <w:keepNext w:val="0"/>
        <w:ind w:left="317" w:hanging="317"/>
      </w:pPr>
      <w:r>
        <w:rPr>
          <w:b/>
        </w:rPr>
        <w:t xml:space="preserve">D. </w:t>
      </w:r>
      <w:r>
        <w:t>Technology alone is insufficient; the practice also needs administrative safeguards such as training, individual access controls, policies, and incident-reporting procedures.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Encryption is valuable, but it does not correct unsafe staff behavior, shared passwords, unclear responsibilities, or the absence of incident procedures.</w:t>
      </w:r>
    </w:p>
    <w:p>
      <w:pPr>
        <w:spacing w:after="40"/>
        <w:ind w:left="259" w:hanging="259"/>
      </w:pPr>
      <w:r>
        <w:rPr>
          <w:b/>
          <w:color w:val="18A6A1"/>
        </w:rPr>
        <w:t xml:space="preserve">B. </w:t>
      </w:r>
      <w:r>
        <w:t>Incorrect. Physical safeguards matter, but the problems described primarily involve administrative and electronic access-control weaknesses.</w:t>
      </w:r>
    </w:p>
    <w:p>
      <w:pPr>
        <w:spacing w:after="40"/>
        <w:ind w:left="259" w:hanging="259"/>
      </w:pPr>
      <w:r>
        <w:rPr>
          <w:b/>
          <w:color w:val="18A6A1"/>
        </w:rPr>
        <w:t xml:space="preserve">C. </w:t>
      </w:r>
      <w:r>
        <w:t>Incorrect. Waiting for a breach is poor risk management. Security measures should be implemented proactively.</w:t>
      </w:r>
    </w:p>
    <w:p>
      <w:pPr>
        <w:spacing w:after="40"/>
        <w:ind w:left="259" w:hanging="259"/>
      </w:pPr>
      <w:r>
        <w:rPr>
          <w:b/>
          <w:color w:val="18A6A1"/>
        </w:rPr>
        <w:t xml:space="preserve">D. </w:t>
      </w:r>
      <w:r>
        <w:t>Correct. Effective record security depends on more than technology. Administrative safeguards help ensure that people understand how information may be accessed, used, disclosed, and protected. The practice should provide staff training, prohibit shared credentials, assign access according to role, establish security policies, and create procedures for identifying and reporting incidents.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Use the P-A-E framework:</w:t>
              <w:br/>
              <w:t>Physical safeguards</w:t>
              <w:br/>
              <w:t>Administrative safeguards</w:t>
              <w:br/>
              <w:t>Electronic safeguards</w:t>
              <w:br/>
              <w:t>The strongest security system uses all three.</w:t>
            </w:r>
          </w:p>
        </w:tc>
      </w:tr>
    </w:tbl>
    <w:p>
      <w:pPr>
        <w:pStyle w:val="SmallNote"/>
        <w:spacing w:before="60"/>
      </w:pPr>
      <w:r>
        <w:rPr>
          <w:b/>
        </w:rPr>
        <w:t xml:space="preserve">Remediation: </w:t>
      </w:r>
      <w:r>
        <w:t>Workbook 9: Clinical Documentation, Record Management, and Technology — Chapter 4: Record Security, Storage, and Record Destruction.</w:t>
      </w:r>
    </w:p>
    <w:p>
      <w:pPr>
        <w:pStyle w:val="SmallNote"/>
      </w:pPr>
      <w:r>
        <w:rPr>
          <w:b/>
        </w:rPr>
        <w:t xml:space="preserve">Internal control: </w:t>
      </w:r>
      <w:r>
        <w:t>MQB-0751 | WB9-C4-Q003 | Moderate | Scenario-Based</w:t>
      </w:r>
    </w:p>
    <w:p>
      <w:pPr>
        <w:spacing w:after="40"/>
        <w:pBdr>
          <w:bottom w:val="single" w:sz="4" w:space="2" w:color="C9D3DD"/>
        </w:pBdr>
      </w:pPr>
    </w:p>
    <w:p>
      <w:pPr>
        <w:pStyle w:val="QuestionNumber"/>
        <w:keepNext/>
        <w:spacing w:before="140"/>
      </w:pPr>
      <w:r>
        <w:t xml:space="preserve">16. </w:t>
      </w:r>
      <w:r>
        <w:rPr>
          <w:b w:val="0"/>
          <w:color w:val="111111"/>
        </w:rPr>
        <w:t>An LMFT substantially changes the treatment approach without explaining the change. The client becomes confused and disengages. What is the BEST response?</w:t>
      </w:r>
    </w:p>
    <w:p>
      <w:pPr>
        <w:pStyle w:val="Option"/>
        <w:keepNext/>
        <w:ind w:left="317" w:hanging="317"/>
      </w:pPr>
      <w:r>
        <w:rPr>
          <w:b/>
        </w:rPr>
        <w:t xml:space="preserve">A. </w:t>
      </w:r>
      <w:r>
        <w:t>Discuss the change and its rationale in understandable terms, assess the misunderstanding and client response, and revisit the plan and consent as appropriate.</w:t>
      </w:r>
    </w:p>
    <w:p>
      <w:pPr>
        <w:pStyle w:val="Option"/>
        <w:keepNext/>
        <w:ind w:left="317" w:hanging="317"/>
      </w:pPr>
      <w:r>
        <w:rPr>
          <w:b/>
        </w:rPr>
        <w:t xml:space="preserve">B. </w:t>
      </w:r>
      <w:r>
        <w:t>Continue unchanged because treatment choices belong only to the clinician without additional assessment or consultation.</w:t>
      </w:r>
    </w:p>
    <w:p>
      <w:pPr>
        <w:pStyle w:val="Option"/>
        <w:keepNext/>
        <w:ind w:left="317" w:hanging="317"/>
      </w:pPr>
      <w:r>
        <w:rPr>
          <w:b/>
        </w:rPr>
        <w:t xml:space="preserve">C. </w:t>
      </w:r>
      <w:r>
        <w:t>Blame the client for failing to trust professional expertise without further assessment of the governing facts while treating that single factor as controlling.</w:t>
      </w:r>
    </w:p>
    <w:p>
      <w:pPr>
        <w:pStyle w:val="Option"/>
        <w:keepNext w:val="0"/>
        <w:ind w:left="317" w:hanging="317"/>
      </w:pPr>
      <w:r>
        <w:rPr>
          <w:b/>
        </w:rPr>
        <w:t xml:space="preserve">D. </w:t>
      </w:r>
      <w:r>
        <w:t>Terminate immediately to avoid further disagreement before considering a less disruptive protective response.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This directly addresses the communication failure, supports informed participation, and uses the client’s response to reassess treatment fit.</w:t>
      </w:r>
    </w:p>
    <w:p>
      <w:pPr>
        <w:spacing w:after="40"/>
        <w:ind w:left="259" w:hanging="259"/>
      </w:pPr>
      <w:r>
        <w:rPr>
          <w:b/>
          <w:color w:val="18A6A1"/>
        </w:rPr>
        <w:t xml:space="preserve">B. </w:t>
      </w:r>
      <w:r>
        <w:t>Incorrect. Professional judgment does not eliminate the client’s right to meaningful information and participation in material treatment decisions.</w:t>
      </w:r>
    </w:p>
    <w:p>
      <w:pPr>
        <w:spacing w:after="40"/>
        <w:ind w:left="259" w:hanging="259"/>
      </w:pPr>
      <w:r>
        <w:rPr>
          <w:b/>
          <w:color w:val="18A6A1"/>
        </w:rPr>
        <w:t xml:space="preserve">C. </w:t>
      </w:r>
      <w:r>
        <w:t>Incorrect. Blame avoids the preventable source of confusion and may further damage the therapeutic relationship.</w:t>
      </w:r>
    </w:p>
    <w:p>
      <w:pPr>
        <w:spacing w:after="40"/>
        <w:ind w:left="259" w:hanging="259"/>
      </w:pPr>
      <w:r>
        <w:rPr>
          <w:b/>
          <w:color w:val="18A6A1"/>
        </w:rPr>
        <w:t xml:space="preserve">D. </w:t>
      </w:r>
      <w:r>
        <w:t>Incorrect. Immediate termination is disproportionate when clarification and treatment review may safely repair the problem.</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 material change creates confusion, repair communication and reassess before choosing a disruptive response.</w:t>
            </w:r>
          </w:p>
        </w:tc>
      </w:tr>
    </w:tbl>
    <w:p>
      <w:pPr>
        <w:pStyle w:val="SmallNote"/>
        <w:spacing w:before="60"/>
      </w:pPr>
      <w:r>
        <w:rPr>
          <w:b/>
        </w:rPr>
        <w:t xml:space="preserve">Remediation: </w:t>
      </w:r>
      <w:r>
        <w:t>Workbook 5: Preventing Harm and Promoting Client Welfare — Chapter 2: Avoiding and Preventing Client Harm.</w:t>
      </w:r>
    </w:p>
    <w:p>
      <w:pPr>
        <w:pStyle w:val="SmallNote"/>
      </w:pPr>
      <w:r>
        <w:rPr>
          <w:b/>
        </w:rPr>
        <w:t xml:space="preserve">Internal control: </w:t>
      </w:r>
      <w:r>
        <w:t>MQB-0432 | WB5-C2-Q007 | Moderate | Scenario-Based</w:t>
      </w:r>
    </w:p>
    <w:p>
      <w:pPr>
        <w:spacing w:after="40"/>
        <w:pBdr>
          <w:bottom w:val="single" w:sz="4" w:space="2" w:color="C9D3DD"/>
        </w:pBdr>
      </w:pPr>
    </w:p>
    <w:p>
      <w:pPr>
        <w:pStyle w:val="QuestionNumber"/>
        <w:keepNext/>
        <w:spacing w:before="140"/>
      </w:pPr>
      <w:r>
        <w:t xml:space="preserve">17. </w:t>
      </w:r>
      <w:r>
        <w:rPr>
          <w:b w:val="0"/>
          <w:color w:val="111111"/>
        </w:rP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Option"/>
        <w:keepNext/>
        <w:ind w:left="317" w:hanging="317"/>
      </w:pPr>
      <w:r>
        <w:rPr>
          <w:b/>
        </w:rPr>
        <w:t xml:space="preserve">A. </w:t>
      </w:r>
      <w:r>
        <w:t>The minor cannot consent because independent consent is limited to abuse cases because the person's preference is treated as controlling.</w:t>
      </w:r>
    </w:p>
    <w:p>
      <w:pPr>
        <w:pStyle w:val="Option"/>
        <w:keepNext/>
        <w:ind w:left="317" w:hanging="317"/>
      </w:pPr>
      <w:r>
        <w:rPr>
          <w:b/>
        </w:rPr>
        <w:t xml:space="preserve">B. </w:t>
      </w:r>
      <w:r>
        <w:t>The absence of abuse or serious-danger criteria does not prevent independent consent under the current statute.</w:t>
      </w:r>
    </w:p>
    <w:p>
      <w:pPr>
        <w:pStyle w:val="Option"/>
        <w:keepNext/>
        <w:ind w:left="317" w:hanging="317"/>
      </w:pPr>
      <w:r>
        <w:rPr>
          <w:b/>
        </w:rPr>
        <w:t xml:space="preserve">C. </w:t>
      </w:r>
      <w:r>
        <w:t>The minor may consent only after a parent refuses to authorize treatment because the person's preference is treated as controlling.</w:t>
      </w:r>
    </w:p>
    <w:p>
      <w:pPr>
        <w:pStyle w:val="Option"/>
        <w:keepNext w:val="0"/>
        <w:ind w:left="317" w:hanging="317"/>
      </w:pPr>
      <w:r>
        <w:rPr>
          <w:b/>
        </w:rPr>
        <w:t xml:space="preserve">D. </w:t>
      </w:r>
      <w:r>
        <w:t>The minor cannot consent unless the clinician predicts serious harm without treatment because the person's preference is treated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Alleged abuse is no longer required for independent consent under this provision.</w:t>
      </w:r>
    </w:p>
    <w:p>
      <w:pPr>
        <w:spacing w:after="40"/>
        <w:ind w:left="259" w:hanging="259"/>
      </w:pPr>
      <w:r>
        <w:rPr>
          <w:b/>
          <w:color w:val="18A6A1"/>
        </w:rPr>
        <w:t xml:space="preserve">B. </w:t>
      </w:r>
      <w:r>
        <w:t>Correct. Current California law no longer requires a minor to demonstrate that: The minor would present a danger of serious physical or mental harm without treatment, or The minor is an alleged victim of incest or child abuse Those former heightened criteria were removed from Family Code section 6924. Since July 1, 2024, a minor aged 12 or older may consent to qualifying outpatient mental-health treatment when the attending professional determines that the minor is mature enough to participate intelligently. A. Alleged abuse is no longer required for independent consent under this provision. D. A predicted danger of serious harm is no longer part of the current eligibility standard. C. The law does not require the minor to seek parental consent and receive a refusal first.</w:t>
      </w:r>
    </w:p>
    <w:p>
      <w:pPr>
        <w:spacing w:after="40"/>
        <w:ind w:left="259" w:hanging="259"/>
      </w:pPr>
      <w:r>
        <w:rPr>
          <w:b/>
          <w:color w:val="18A6A1"/>
        </w:rPr>
        <w:t xml:space="preserve">C. </w:t>
      </w:r>
      <w:r>
        <w:t>Incorrect. The law does not require the minor to seek parental consent and receive a refusal first.</w:t>
      </w:r>
    </w:p>
    <w:p>
      <w:pPr>
        <w:spacing w:after="40"/>
        <w:ind w:left="259" w:hanging="259"/>
      </w:pPr>
      <w:r>
        <w:rPr>
          <w:b/>
          <w:color w:val="18A6A1"/>
        </w:rPr>
        <w:t xml:space="preserve">D. </w:t>
      </w:r>
      <w:r>
        <w:t>Incorrect. A predicted danger of serious harm is no longer part of the current eligibility standard.</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An exam question may present the former law as a distractor. Under the current rule, do not require: Danger + abuse + parental refusal The controlling requirements are age and sufficient maturity.</w:t>
            </w:r>
          </w:p>
        </w:tc>
      </w:tr>
    </w:tbl>
    <w:p>
      <w:pPr>
        <w:pStyle w:val="SmallNote"/>
        <w:spacing w:before="60"/>
      </w:pPr>
      <w:r>
        <w:rPr>
          <w:b/>
        </w:rPr>
        <w:t xml:space="preserve">Remediation: </w:t>
      </w:r>
      <w:r>
        <w:t>Workbook 1: Informed Consent, Minors, and Family Involvement — Chapter 6: Minor Consent Exceptions.</w:t>
      </w:r>
    </w:p>
    <w:p>
      <w:pPr>
        <w:pStyle w:val="SmallNote"/>
      </w:pPr>
      <w:r>
        <w:rPr>
          <w:b/>
        </w:rPr>
        <w:t xml:space="preserve">Internal control: </w:t>
      </w:r>
      <w:r>
        <w:t>MQB-0087 | WB1-C6-Q002 | Easy | Application</w:t>
      </w:r>
    </w:p>
    <w:p>
      <w:pPr>
        <w:spacing w:after="40"/>
        <w:pBdr>
          <w:bottom w:val="single" w:sz="4" w:space="2" w:color="C9D3DD"/>
        </w:pBdr>
      </w:pPr>
    </w:p>
    <w:p>
      <w:pPr>
        <w:pStyle w:val="QuestionNumber"/>
        <w:keepNext/>
        <w:spacing w:before="140"/>
      </w:pPr>
      <w:r>
        <w:t xml:space="preserve">18. </w:t>
      </w:r>
      <w:r>
        <w:rPr>
          <w:b w:val="0"/>
          <w:color w:val="111111"/>
        </w:rP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Option"/>
        <w:keepNext/>
        <w:ind w:left="317" w:hanging="317"/>
      </w:pPr>
      <w:r>
        <w:rPr>
          <w:b/>
        </w:rPr>
        <w:t xml:space="preserve">A. </w:t>
      </w:r>
      <w:r>
        <w:t>Continue unchanged because privacy and continuity outweigh the observed performance concerns without first resolving the underlying legal or clinical issue.</w:t>
      </w:r>
    </w:p>
    <w:p>
      <w:pPr>
        <w:pStyle w:val="Option"/>
        <w:keepNext/>
        <w:ind w:left="317" w:hanging="317"/>
      </w:pPr>
      <w:r>
        <w:rPr>
          <w:b/>
        </w:rPr>
        <w:t xml:space="preserve">B. </w:t>
      </w:r>
      <w:r>
        <w:t>Disclose every diagnosis and medication to clients before permanently leaving practice.</w:t>
      </w:r>
    </w:p>
    <w:p>
      <w:pPr>
        <w:pStyle w:val="Option"/>
        <w:keepNext/>
        <w:ind w:left="317" w:hanging="317"/>
      </w:pPr>
      <w:r>
        <w:rPr>
          <w:b/>
        </w:rPr>
        <w:t xml:space="preserve">C. </w:t>
      </w:r>
      <w:r>
        <w:t>Wait for a client complaint before modifying duties or arranging coverage.</w:t>
      </w:r>
    </w:p>
    <w:p>
      <w:pPr>
        <w:pStyle w:val="Option"/>
        <w:keepNext w:val="0"/>
        <w:ind w:left="317" w:hanging="317"/>
      </w:pPr>
      <w:r>
        <w:rPr>
          <w:b/>
        </w:rPr>
        <w:t xml:space="preserve">D. </w:t>
      </w:r>
      <w:r>
        <w:t>Assess current fitness and risk, limit unsafe duties, arrange coverage, use appropriate supports, document decisions, and reevaluate readiness.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Privacy and continuity do not justify continuing unchanged when current functioning is impairing safety and professional performance.</w:t>
      </w:r>
    </w:p>
    <w:p>
      <w:pPr>
        <w:spacing w:after="40"/>
        <w:ind w:left="259" w:hanging="259"/>
      </w:pPr>
      <w:r>
        <w:rPr>
          <w:b/>
          <w:color w:val="18A6A1"/>
        </w:rPr>
        <w:t xml:space="preserve">B. </w:t>
      </w:r>
      <w:r>
        <w:t>Incorrect. Broad disclosure and permanent withdrawal from practice are not automatically required and may be disproportionate.</w:t>
      </w:r>
    </w:p>
    <w:p>
      <w:pPr>
        <w:spacing w:after="40"/>
        <w:ind w:left="259" w:hanging="259"/>
      </w:pPr>
      <w:r>
        <w:rPr>
          <w:b/>
          <w:color w:val="18A6A1"/>
        </w:rPr>
        <w:t xml:space="preserve">C. </w:t>
      </w:r>
      <w:r>
        <w:t>Incorrect. The duty to protect clients arises when functional problems and risk are observed, not only after a complaint.</w:t>
      </w:r>
    </w:p>
    <w:p>
      <w:pPr>
        <w:spacing w:after="40"/>
        <w:ind w:left="259" w:hanging="259"/>
      </w:pPr>
      <w:r>
        <w:rPr>
          <w:b/>
          <w:color w:val="18A6A1"/>
        </w:rPr>
        <w:t xml:space="preserve">D. </w:t>
      </w:r>
      <w:r>
        <w:t>Correct. The therapist should assess current fitness, limit unsafe duties, arrange continuity and coverage, obtain appropriate support, document decisions, and reevaluate readiness before resuming affected work.</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Evaluate functioning and risk, not diagnosis alone; use proportionate restrictions and documented follow-up.</w:t>
            </w:r>
          </w:p>
        </w:tc>
      </w:tr>
    </w:tbl>
    <w:p>
      <w:pPr>
        <w:pStyle w:val="SmallNote"/>
        <w:spacing w:before="60"/>
      </w:pPr>
      <w:r>
        <w:rPr>
          <w:b/>
        </w:rPr>
        <w:t xml:space="preserve">Remediation: </w:t>
      </w:r>
      <w:r>
        <w:t>Workbook 4: Professional Impairment — Chapter 4: Physical Conditions, Fatigue, and Professional Functioning.</w:t>
      </w:r>
    </w:p>
    <w:p>
      <w:pPr>
        <w:pStyle w:val="SmallNote"/>
      </w:pPr>
      <w:r>
        <w:rPr>
          <w:b/>
        </w:rPr>
        <w:t xml:space="preserve">Internal control: </w:t>
      </w:r>
      <w:r>
        <w:t>MQB-0391 | WB4-C4-Q017 | Difficult | Integrated Challenge</w:t>
      </w:r>
    </w:p>
    <w:p>
      <w:pPr>
        <w:spacing w:after="40"/>
        <w:pBdr>
          <w:bottom w:val="single" w:sz="4" w:space="2" w:color="C9D3DD"/>
        </w:pBdr>
      </w:pPr>
    </w:p>
    <w:p>
      <w:pPr>
        <w:pStyle w:val="QuestionNumber"/>
        <w:keepNext/>
        <w:spacing w:before="140"/>
      </w:pPr>
      <w:r>
        <w:t xml:space="preserve">19. </w:t>
      </w:r>
      <w:r>
        <w:rPr>
          <w:b w:val="0"/>
          <w:color w:val="111111"/>
        </w:rPr>
        <w:t>From the California BBS perspective, a California LMFT with a current and active license is attending a conference in Oregon and plans to conduct a telehealth session with an established client who is physically in California. Which statement is most accurate?</w:t>
      </w:r>
    </w:p>
    <w:p>
      <w:pPr>
        <w:pStyle w:val="Option"/>
        <w:keepNext/>
        <w:ind w:left="317" w:hanging="317"/>
      </w:pPr>
      <w:r>
        <w:rPr>
          <w:b/>
        </w:rPr>
        <w:t xml:space="preserve">A. </w:t>
      </w:r>
      <w:r>
        <w:t>The LMFT may generally provide the session if telehealth is clinically appropriate and the LMFT follows California's telehealth requirements.</w:t>
      </w:r>
    </w:p>
    <w:p>
      <w:pPr>
        <w:pStyle w:val="Option"/>
        <w:keepNext/>
        <w:ind w:left="317" w:hanging="317"/>
      </w:pPr>
      <w:r>
        <w:rPr>
          <w:b/>
        </w:rPr>
        <w:t xml:space="preserve">B. </w:t>
      </w:r>
      <w:r>
        <w:t>The session is prohibited solely because the LMFT is physically outside California without further assessment of the governing facts.</w:t>
      </w:r>
    </w:p>
    <w:p>
      <w:pPr>
        <w:pStyle w:val="Option"/>
        <w:keepNext/>
        <w:ind w:left="317" w:hanging="317"/>
      </w:pPr>
      <w:r>
        <w:rPr>
          <w:b/>
        </w:rPr>
        <w:t xml:space="preserve">C. </w:t>
      </w:r>
      <w:r>
        <w:t>The LMFT may proceed only if the client waives California telehealth requirements without further assessment of the governing facts.</w:t>
      </w:r>
    </w:p>
    <w:p>
      <w:pPr>
        <w:pStyle w:val="Option"/>
        <w:keepNext w:val="0"/>
        <w:ind w:left="317" w:hanging="317"/>
      </w:pPr>
      <w:r>
        <w:rPr>
          <w:b/>
        </w:rPr>
        <w:t xml:space="preserve">D. </w:t>
      </w:r>
      <w:r>
        <w:t>California law no longer applies because the LMFT is outside the state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BBS guidance states that a California licensee who is outside California may serve a client located in California if the license is current and active, the case is appropriate, and the telehealth regulations are followed.</w:t>
      </w:r>
    </w:p>
    <w:p>
      <w:pPr>
        <w:spacing w:after="40"/>
        <w:ind w:left="259" w:hanging="259"/>
      </w:pPr>
      <w:r>
        <w:rPr>
          <w:b/>
          <w:color w:val="18A6A1"/>
        </w:rPr>
        <w:t xml:space="preserve">B. </w:t>
      </w:r>
      <w:r>
        <w:t>Incorrect. The therapist's temporary physical location outside California does not by itself prohibit the session under BBS rules.</w:t>
      </w:r>
    </w:p>
    <w:p>
      <w:pPr>
        <w:spacing w:after="40"/>
        <w:ind w:left="259" w:hanging="259"/>
      </w:pPr>
      <w:r>
        <w:rPr>
          <w:b/>
          <w:color w:val="18A6A1"/>
        </w:rPr>
        <w:t xml:space="preserve">C. </w:t>
      </w:r>
      <w:r>
        <w:t>Incorrect. A client cannot waive the therapist's legal and regulatory obligations.</w:t>
      </w:r>
    </w:p>
    <w:p>
      <w:pPr>
        <w:spacing w:after="40"/>
        <w:ind w:left="259" w:hanging="259"/>
      </w:pPr>
      <w:r>
        <w:rPr>
          <w:b/>
          <w:color w:val="18A6A1"/>
        </w:rPr>
        <w:t xml:space="preserve">D. </w:t>
      </w:r>
      <w:r>
        <w:t>Incorrect. The client is in California, and the therapist remains subject to California BBS requirements.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Separate the therapist's travel from the client's location. The client is physically in California.</w:t>
            </w:r>
          </w:p>
        </w:tc>
      </w:tr>
    </w:tbl>
    <w:p>
      <w:pPr>
        <w:pStyle w:val="SmallNote"/>
        <w:spacing w:before="60"/>
      </w:pPr>
      <w:r>
        <w:rPr>
          <w:b/>
        </w:rPr>
        <w:t xml:space="preserve">Remediation: </w:t>
      </w:r>
      <w:r>
        <w:t>Workbook 2: Telehealth Law &amp; Ethics — Chapter 1: Telehealth Foundations.</w:t>
      </w:r>
    </w:p>
    <w:p>
      <w:pPr>
        <w:pStyle w:val="SmallNote"/>
      </w:pPr>
      <w:r>
        <w:rPr>
          <w:b/>
        </w:rPr>
        <w:t xml:space="preserve">Internal control: </w:t>
      </w:r>
      <w:r>
        <w:t>MQB-0122 | WB2-C1-Q003 | Easy | Application</w:t>
      </w:r>
    </w:p>
    <w:p>
      <w:pPr>
        <w:spacing w:after="40"/>
        <w:pBdr>
          <w:bottom w:val="single" w:sz="4" w:space="2" w:color="C9D3DD"/>
        </w:pBdr>
      </w:pPr>
    </w:p>
    <w:p>
      <w:pPr>
        <w:pStyle w:val="QuestionNumber"/>
        <w:keepNext/>
        <w:spacing w:before="140"/>
      </w:pPr>
      <w:r>
        <w:t xml:space="preserve">20. </w:t>
      </w:r>
      <w:r>
        <w:rPr>
          <w:b w:val="0"/>
          <w:color w:val="111111"/>
        </w:rPr>
        <w:t>A registered AMFT is assigned a specialized service by an employer. The registered AMFT holds a current registration and is supervised but has no relevant training, and the service may exceed the registered AMFT’s authorized role in the setting. What is the best response?</w:t>
      </w:r>
    </w:p>
    <w:p>
      <w:pPr>
        <w:pStyle w:val="Option"/>
        <w:keepNext/>
        <w:ind w:left="317" w:hanging="317"/>
      </w:pPr>
      <w:r>
        <w:rPr>
          <w:b/>
        </w:rPr>
        <w:t xml:space="preserve">A. </w:t>
      </w:r>
      <w:r>
        <w:t>Perform the service because an employer assignment establishes authority without further assessment of the governing facts.</w:t>
      </w:r>
    </w:p>
    <w:p>
      <w:pPr>
        <w:pStyle w:val="Option"/>
        <w:keepNext/>
        <w:ind w:left="317" w:hanging="317"/>
      </w:pPr>
      <w:r>
        <w:rPr>
          <w:b/>
        </w:rPr>
        <w:t xml:space="preserve">B. </w:t>
      </w:r>
      <w:r>
        <w:t>Clarify the legal scope, supervision and setting requirements, and the registered AMFT’s actual competence before providing the service.</w:t>
      </w:r>
    </w:p>
    <w:p>
      <w:pPr>
        <w:pStyle w:val="Option"/>
        <w:keepNext/>
        <w:ind w:left="317" w:hanging="317"/>
      </w:pPr>
      <w:r>
        <w:rPr>
          <w:b/>
        </w:rPr>
        <w:t xml:space="preserve">C. </w:t>
      </w:r>
      <w:r>
        <w:t>Rely on the supervisor’s license as if it were the registered AMFT’s own because legal authorization is treated as proof of competence.</w:t>
      </w:r>
    </w:p>
    <w:p>
      <w:pPr>
        <w:pStyle w:val="Option"/>
        <w:keepNext w:val="0"/>
        <w:ind w:left="317" w:hanging="317"/>
      </w:pPr>
      <w:r>
        <w:rPr>
          <w:b/>
        </w:rPr>
        <w:t xml:space="preserve">D. </w:t>
      </w:r>
      <w:r>
        <w:t>Ask the client to accept responsibility for the registered AMFT’s limitations and rely on that response instead of professional judgment.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An employer cannot create legal authority or competence by assignment.</w:t>
      </w:r>
    </w:p>
    <w:p>
      <w:pPr>
        <w:spacing w:after="40"/>
        <w:ind w:left="259" w:hanging="259"/>
      </w:pPr>
      <w:r>
        <w:rPr>
          <w:b/>
          <w:color w:val="18A6A1"/>
        </w:rPr>
        <w:t xml:space="preserve">B. </w:t>
      </w:r>
      <w:r>
        <w:t>Correct. Both the supervised legal framework and the registered AMFT’s education, training, and experience must be evaluated.</w:t>
      </w:r>
    </w:p>
    <w:p>
      <w:pPr>
        <w:spacing w:after="40"/>
        <w:ind w:left="259" w:hanging="259"/>
      </w:pPr>
      <w:r>
        <w:rPr>
          <w:b/>
          <w:color w:val="18A6A1"/>
        </w:rPr>
        <w:t xml:space="preserve">C. </w:t>
      </w:r>
      <w:r>
        <w:t>Incorrect. A supervisor’s license does not become the supervisee’s credential.</w:t>
      </w:r>
    </w:p>
    <w:p>
      <w:pPr>
        <w:spacing w:after="40"/>
        <w:ind w:left="259" w:hanging="259"/>
      </w:pPr>
      <w:r>
        <w:rPr>
          <w:b/>
          <w:color w:val="18A6A1"/>
        </w:rPr>
        <w:t xml:space="preserve">D. </w:t>
      </w:r>
      <w:r>
        <w:t>Incorrect. The registered AMFT and supervisor retain professional responsibility; it cannot be shifted to the client.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registered AMFTs, add supervision, employment, setting, and assigned-activity limits to the ordinary legal-and-capable analysis.</w:t>
            </w:r>
          </w:p>
        </w:tc>
      </w:tr>
    </w:tbl>
    <w:p>
      <w:pPr>
        <w:pStyle w:val="SmallNote"/>
        <w:spacing w:before="60"/>
      </w:pPr>
      <w:r>
        <w:rPr>
          <w:b/>
        </w:rPr>
        <w:t xml:space="preserve">Remediation: </w:t>
      </w:r>
      <w:r>
        <w:t>Workbook 3: Professional Competence — Chapter 2: Scope of Practice vs. Scope of Competence.</w:t>
      </w:r>
    </w:p>
    <w:p>
      <w:pPr>
        <w:pStyle w:val="SmallNote"/>
      </w:pPr>
      <w:r>
        <w:rPr>
          <w:b/>
        </w:rPr>
        <w:t xml:space="preserve">Internal control: </w:t>
      </w:r>
      <w:r>
        <w:t>MQB-0247 | WB3-C2-Q009 | Moderate | Scenario-Based</w:t>
      </w:r>
    </w:p>
    <w:p>
      <w:pPr>
        <w:spacing w:after="40"/>
        <w:pBdr>
          <w:bottom w:val="single" w:sz="4" w:space="2" w:color="C9D3DD"/>
        </w:pBdr>
      </w:pPr>
    </w:p>
    <w:p>
      <w:pPr>
        <w:pStyle w:val="QuestionNumber"/>
        <w:keepNext/>
        <w:spacing w:before="140"/>
      </w:pPr>
      <w:r>
        <w:t xml:space="preserve">21. </w:t>
      </w:r>
      <w:r>
        <w:rPr>
          <w:b w:val="0"/>
          <w:color w:val="111111"/>
        </w:rPr>
        <w:t>A therapist gives a current client special after-hours access, shares intimate personal problems, sends romantic messages, and promises that they can begin a sexual relationship after therapy ends. The therapist then terminates treatment, begins sexual contact six weeks later, and deletes the messages when a colleague expresses concern.</w:t>
        <w:br/>
        <w:t>Which analysis and response are most accurate?</w:t>
      </w:r>
    </w:p>
    <w:p>
      <w:pPr>
        <w:pStyle w:val="Option"/>
        <w:keepNext/>
        <w:ind w:left="317" w:hanging="317"/>
      </w:pPr>
      <w:r>
        <w:rPr>
          <w:b/>
        </w:rPr>
        <w:t xml:space="preserve">A. </w:t>
      </w:r>
      <w:r>
        <w:t>The relationship is acceptable because sexual contact began after formal termination because the existing paperwork is treated as conclusive while treating that single factor as controlling.</w:t>
      </w:r>
    </w:p>
    <w:p>
      <w:pPr>
        <w:pStyle w:val="Option"/>
        <w:keepNext/>
        <w:ind w:left="317" w:hanging="317"/>
      </w:pPr>
      <w:r>
        <w:rPr>
          <w:b/>
        </w:rPr>
        <w:t xml:space="preserve">B. </w:t>
      </w:r>
      <w:r>
        <w:t>The relationship is acceptable because the client willingly participated without further assessment of the governing facts.</w:t>
      </w:r>
    </w:p>
    <w:p>
      <w:pPr>
        <w:pStyle w:val="Option"/>
        <w:keepNext/>
        <w:ind w:left="317" w:hanging="317"/>
      </w:pPr>
      <w:r>
        <w:rPr>
          <w:b/>
        </w:rPr>
        <w:t xml:space="preserve">C. </w:t>
      </w:r>
      <w:r>
        <w:t>The pattern reflects grooming, sexual solicitation, misuse of professional power, conduct within California’s former-client restriction, and concealment requiring immediate protective and corrective action.</w:t>
      </w:r>
    </w:p>
    <w:p>
      <w:pPr>
        <w:pStyle w:val="Option"/>
        <w:keepNext w:val="0"/>
        <w:ind w:left="317" w:hanging="317"/>
      </w:pPr>
      <w:r>
        <w:rPr>
          <w:b/>
        </w:rPr>
        <w:t xml:space="preserve">D. </w:t>
      </w:r>
      <w:r>
        <w:t>The only concern is deletion of the messages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Formal termination does not immediately erase professional power, attachment, confidential knowledge, or California’s two-year former-client restriction.</w:t>
      </w:r>
    </w:p>
    <w:p>
      <w:pPr>
        <w:spacing w:after="40"/>
        <w:ind w:left="259" w:hanging="259"/>
      </w:pPr>
      <w:r>
        <w:rPr>
          <w:b/>
          <w:color w:val="18A6A1"/>
        </w:rPr>
        <w:t xml:space="preserve">B. </w:t>
      </w:r>
      <w:r>
        <w:t>Incorrect. Client participation does not remove the therapist’s responsibility or make grooming and exploitation acceptable.</w:t>
      </w:r>
    </w:p>
    <w:p>
      <w:pPr>
        <w:spacing w:after="40"/>
        <w:ind w:left="259" w:hanging="259"/>
      </w:pPr>
      <w:r>
        <w:rPr>
          <w:b/>
          <w:color w:val="18A6A1"/>
        </w:rPr>
        <w:t xml:space="preserve">C. </w:t>
      </w:r>
      <w:r>
        <w:t>Correct. The conduct shows a progressive pattern: Special access Personal emotional involvement Romantic messaging Promise of a future sexual relationship Termination used as a pathway to sexual contact Sexual involvement within two years Destruction or concealment of communications The therapist should stop the conduct, assess the former client’s safety and treatment needs, preserve remaining records, seek appropriate legal and professional guidance, avoid pressure or retaliation, and protect continuity of care.</w:t>
      </w:r>
    </w:p>
    <w:p>
      <w:pPr>
        <w:spacing w:after="40"/>
        <w:ind w:left="259" w:hanging="259"/>
      </w:pPr>
      <w:r>
        <w:rPr>
          <w:b/>
          <w:color w:val="18A6A1"/>
        </w:rPr>
        <w:t xml:space="preserve">D. </w:t>
      </w:r>
      <w:r>
        <w:t>Incorrect. Deleting messages is serious, but it is only one part of a broader pattern involving solicitation, sexual misconduct, exploitation, and misuse of the termination process.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sexual-misconduct questions, follow the entire pattern:</w:t>
              <w:br/>
              <w:t>Special treatment → Secrecy → Emotional intimacy → Sexualization → Solicitation → Termination → Sexual conduct → Concealment</w:t>
              <w:br/>
              <w:t>Do not evaluate only the final act.</w:t>
            </w:r>
          </w:p>
        </w:tc>
      </w:tr>
    </w:tbl>
    <w:p>
      <w:pPr>
        <w:pStyle w:val="SmallNote"/>
        <w:spacing w:before="60"/>
      </w:pPr>
      <w:r>
        <w:rPr>
          <w:b/>
        </w:rPr>
        <w:t xml:space="preserve">Remediation: </w:t>
      </w:r>
      <w:r>
        <w:t>Workbook 6: Professional Boundaries — Chapter 5: Sexual Misconduct and Client Exploitation.</w:t>
      </w:r>
    </w:p>
    <w:p>
      <w:pPr>
        <w:pStyle w:val="SmallNote"/>
      </w:pPr>
      <w:r>
        <w:rPr>
          <w:b/>
        </w:rPr>
        <w:t xml:space="preserve">Internal control: </w:t>
      </w:r>
      <w:r>
        <w:t>MQB-0578 | WB6-C5-Q017 | Difficult | Integrated Challenge Question</w:t>
      </w:r>
    </w:p>
    <w:p>
      <w:pPr>
        <w:spacing w:after="40"/>
        <w:pBdr>
          <w:bottom w:val="single" w:sz="4" w:space="2" w:color="C9D3DD"/>
        </w:pBdr>
      </w:pPr>
    </w:p>
    <w:p>
      <w:pPr>
        <w:pStyle w:val="QuestionNumber"/>
        <w:keepNext/>
        <w:spacing w:before="140"/>
      </w:pPr>
      <w:r>
        <w:t xml:space="preserve">22. </w:t>
      </w:r>
      <w:r>
        <w:rPr>
          <w:b w:val="0"/>
          <w:color w:val="111111"/>
        </w:rPr>
        <w:t>A competent adult understands the material information, asks questions, and declines the clinician’s preferred intervention. No emergency or involuntary-treatment authority is present. Which response is most appropriate?</w:t>
      </w:r>
    </w:p>
    <w:p>
      <w:pPr>
        <w:pStyle w:val="Option"/>
        <w:keepNext/>
        <w:ind w:left="317" w:hanging="317"/>
      </w:pPr>
      <w:r>
        <w:rPr>
          <w:b/>
        </w:rPr>
        <w:t xml:space="preserve">A. </w:t>
      </w:r>
      <w:r>
        <w:t>Continue persuading until the client agrees because the clinician remains responsible for treatment outcomes.</w:t>
      </w:r>
    </w:p>
    <w:p>
      <w:pPr>
        <w:pStyle w:val="Option"/>
        <w:keepNext/>
        <w:ind w:left="317" w:hanging="317"/>
      </w:pPr>
      <w:r>
        <w:rPr>
          <w:b/>
        </w:rPr>
        <w:t xml:space="preserve">B. </w:t>
      </w:r>
      <w:r>
        <w:t>End all services because refusal of one intervention shows that the client is unwilling to participate.</w:t>
      </w:r>
    </w:p>
    <w:p>
      <w:pPr>
        <w:pStyle w:val="Option"/>
        <w:keepNext/>
        <w:ind w:left="317" w:hanging="317"/>
      </w:pPr>
      <w:r>
        <w:rPr>
          <w:b/>
        </w:rPr>
        <w:t xml:space="preserve">C. </w:t>
      </w:r>
      <w:r>
        <w:t>Respect the informed refusal, discuss reasonable alternatives, and document the decision-making process.</w:t>
      </w:r>
    </w:p>
    <w:p>
      <w:pPr>
        <w:pStyle w:val="Option"/>
        <w:keepNext w:val="0"/>
        <w:ind w:left="317" w:hanging="317"/>
      </w:pPr>
      <w:r>
        <w:rPr>
          <w:b/>
        </w:rPr>
        <w:t xml:space="preserve">D. </w:t>
      </w:r>
      <w:r>
        <w:t>Begin the intervention because beneficence permits a clinician to override an unwise voluntary choice.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Clarification is appropriate, but continued pressure after an informed decision can undermine voluntariness.</w:t>
      </w:r>
    </w:p>
    <w:p>
      <w:pPr>
        <w:spacing w:after="40"/>
        <w:ind w:left="259" w:hanging="259"/>
      </w:pPr>
      <w:r>
        <w:rPr>
          <w:b/>
          <w:color w:val="18A6A1"/>
        </w:rPr>
        <w:t xml:space="preserve">B. </w:t>
      </w:r>
      <w:r>
        <w:t>Incorrect. Refusal of one recommendation does not automatically require termination when other appropriate options remain.</w:t>
      </w:r>
    </w:p>
    <w:p>
      <w:pPr>
        <w:spacing w:after="40"/>
        <w:ind w:left="259" w:hanging="259"/>
      </w:pPr>
      <w:r>
        <w:rPr>
          <w:b/>
          <w:color w:val="18A6A1"/>
        </w:rPr>
        <w:t xml:space="preserve">C. </w:t>
      </w:r>
      <w:r>
        <w:t>Correct. A competent adult in voluntary care may generally refuse a proposed intervention. The clinician should respect the decision, explore alternatives, and document the discussion.</w:t>
      </w:r>
    </w:p>
    <w:p>
      <w:pPr>
        <w:spacing w:after="40"/>
        <w:ind w:left="259" w:hanging="259"/>
      </w:pPr>
      <w:r>
        <w:rPr>
          <w:b/>
          <w:color w:val="18A6A1"/>
        </w:rPr>
        <w:t xml:space="preserve">D. </w:t>
      </w:r>
      <w:r>
        <w:t>Incorrect. Beneficence does not ordinarily authorize imposed treatment when a competent adult has made an informed and voluntary refusal.</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capacity, understanding, and voluntariness are established, distinguish disagreement from incapacity.</w:t>
            </w:r>
          </w:p>
        </w:tc>
      </w:tr>
    </w:tbl>
    <w:p>
      <w:pPr>
        <w:pStyle w:val="SmallNote"/>
        <w:spacing w:before="60"/>
      </w:pPr>
      <w:r>
        <w:rPr>
          <w:b/>
        </w:rPr>
        <w:t xml:space="preserve">Remediation: </w:t>
      </w:r>
      <w:r>
        <w:t>Workbook 1: Informed Consent, Minors, and Family Involvement — Chapter 1: Foundations of Informed Consent.</w:t>
      </w:r>
    </w:p>
    <w:p>
      <w:pPr>
        <w:pStyle w:val="SmallNote"/>
      </w:pPr>
      <w:r>
        <w:rPr>
          <w:b/>
        </w:rPr>
        <w:t xml:space="preserve">Internal control: </w:t>
      </w:r>
      <w:r>
        <w:t>MQB-0770 | CTA-CUM-WB1-005 | Easy | Concept/Legal</w:t>
      </w:r>
    </w:p>
    <w:p>
      <w:pPr>
        <w:spacing w:after="40"/>
        <w:pBdr>
          <w:bottom w:val="single" w:sz="4" w:space="2" w:color="C9D3DD"/>
        </w:pBdr>
      </w:pPr>
    </w:p>
    <w:p>
      <w:pPr>
        <w:pStyle w:val="QuestionNumber"/>
        <w:keepNext/>
        <w:spacing w:before="140"/>
      </w:pPr>
      <w:r>
        <w:t xml:space="preserve">23. </w:t>
      </w:r>
      <w:r>
        <w:rPr>
          <w:b w:val="0"/>
          <w:color w:val="111111"/>
        </w:rP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Option"/>
        <w:keepNext/>
        <w:ind w:left="317" w:hanging="317"/>
      </w:pPr>
      <w:r>
        <w:rPr>
          <w:b/>
        </w:rPr>
        <w:t xml:space="preserve">A. </w:t>
      </w:r>
      <w:r>
        <w:t>Take no action because the vendor advertised HIPAA compliance and signed a BAA because the existing paperwork is treated as conclusive.</w:t>
      </w:r>
    </w:p>
    <w:p>
      <w:pPr>
        <w:pStyle w:val="Option"/>
        <w:keepNext/>
        <w:ind w:left="317" w:hanging="317"/>
      </w:pPr>
      <w:r>
        <w:rPr>
          <w:b/>
        </w:rPr>
        <w:t xml:space="preserve">B. </w:t>
      </w:r>
      <w:r>
        <w:t>Ask the former employee to promise not to use the information and continue the same procedures because the existing paperwork is treated as conclusive.</w:t>
      </w:r>
    </w:p>
    <w:p>
      <w:pPr>
        <w:pStyle w:val="Option"/>
        <w:keepNext/>
        <w:ind w:left="317" w:hanging="317"/>
      </w:pPr>
      <w:r>
        <w:rPr>
          <w:b/>
        </w:rPr>
        <w:t xml:space="preserve">C. </w:t>
      </w:r>
      <w:r>
        <w:t>Treat the progress notes as protected but disregard the psychotherapy notes because they were maintained separately without further assessment of the governing facts.</w:t>
      </w:r>
    </w:p>
    <w:p>
      <w:pPr>
        <w:pStyle w:val="Option"/>
        <w:keepNext w:val="0"/>
        <w:ind w:left="317" w:hanging="317"/>
      </w:pPr>
      <w:r>
        <w:rPr>
          <w:b/>
        </w:rPr>
        <w:t xml:space="preserve">D. </w:t>
      </w:r>
      <w:r>
        <w:t>Contain and investigate the unauthorized access, evaluate notification duties, protect both record types, correct the access and safeguard failures, and document the incident and corrective action.</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vendor agreement and marketing claim do not excuse poor password practices, excessive access, unsecured devices, or inadequate workforce controls.</w:t>
      </w:r>
    </w:p>
    <w:p>
      <w:pPr>
        <w:spacing w:after="40"/>
        <w:ind w:left="259" w:hanging="259"/>
      </w:pPr>
      <w:r>
        <w:rPr>
          <w:b/>
          <w:color w:val="18A6A1"/>
        </w:rPr>
        <w:t xml:space="preserve">B. </w:t>
      </w:r>
      <w:r>
        <w:t>Incorrect. A promise does not contain the exposure, determine what occurred, or satisfy possible reporting and notification duties.</w:t>
      </w:r>
    </w:p>
    <w:p>
      <w:pPr>
        <w:spacing w:after="40"/>
        <w:ind w:left="259" w:hanging="259"/>
      </w:pPr>
      <w:r>
        <w:rPr>
          <w:b/>
          <w:color w:val="18A6A1"/>
        </w:rPr>
        <w:t xml:space="preserve">C. </w:t>
      </w:r>
      <w:r>
        <w:t>Incorrect. Separately maintained psychotherapy notes receive special protection. They are not exempt from privacy and security responsibilities.</w:t>
      </w:r>
    </w:p>
    <w:p>
      <w:pPr>
        <w:spacing w:after="40"/>
        <w:ind w:left="259" w:hanging="259"/>
      </w:pPr>
      <w:r>
        <w:rPr>
          <w:b/>
          <w:color w:val="18A6A1"/>
        </w:rPr>
        <w:t xml:space="preserve">D. </w:t>
      </w:r>
      <w:r>
        <w:t>Correct. The signed BAA and software marketing do not establish overall compliance. The practice remains responsible for its own administrative, physical, and technical safeguards. 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 Both progress notes and psychotherapy notes require protection. The psychotherapy notes may receive additional disclosure protections, but separate storage does not make unauthorized access unimportant.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integrated privacy questions, evaluate all layers:</w:t>
              <w:br/>
              <w:t>Information: Is it identifiable health information?</w:t>
              <w:br/>
              <w:t>Law: Do HIPAA and California law apply?</w:t>
              <w:br/>
              <w:t>Access: Was the person authorized?</w:t>
              <w:br/>
              <w:t>Security: Were administrative, physical, and technical safeguards adequate?</w:t>
              <w:br/>
              <w:t>Incident response: Was the exposure contained, assessed, reported, corrected, and documented?</w:t>
            </w:r>
          </w:p>
        </w:tc>
      </w:tr>
    </w:tbl>
    <w:p>
      <w:pPr>
        <w:pStyle w:val="SmallNote"/>
        <w:spacing w:before="60"/>
      </w:pPr>
      <w:r>
        <w:rPr>
          <w:b/>
        </w:rPr>
        <w:t xml:space="preserve">Remediation: </w:t>
      </w:r>
      <w:r>
        <w:t>Workbook 8: Confidentiality, Privacy, and Information Sharing — Chapter 3: Privacy, Protected Health Information, and HIPAA.</w:t>
      </w:r>
    </w:p>
    <w:p>
      <w:pPr>
        <w:pStyle w:val="SmallNote"/>
      </w:pPr>
      <w:r>
        <w:rPr>
          <w:b/>
        </w:rPr>
        <w:t xml:space="preserve">Internal control: </w:t>
      </w:r>
      <w:r>
        <w:t>MQB-0680 | WB8-C3-Q017 | Difficult | Integrated Challenge</w:t>
      </w:r>
    </w:p>
    <w:p>
      <w:pPr>
        <w:spacing w:after="40"/>
        <w:pBdr>
          <w:bottom w:val="single" w:sz="4" w:space="2" w:color="C9D3DD"/>
        </w:pBdr>
      </w:pPr>
    </w:p>
    <w:p>
      <w:pPr>
        <w:pStyle w:val="QuestionNumber"/>
        <w:keepNext/>
        <w:spacing w:before="140"/>
      </w:pPr>
      <w:r>
        <w:t xml:space="preserve">24. </w:t>
      </w:r>
      <w:r>
        <w:rPr>
          <w:b w:val="0"/>
          <w:color w:val="111111"/>
        </w:rPr>
        <w:t>A therapist stores all electronic records on one office computer without backups. The computer fails, and several years of client records become unrecoverable.</w:t>
        <w:br/>
        <w:t>Which retention responsibility was most clearly neglected?</w:t>
      </w:r>
    </w:p>
    <w:p>
      <w:pPr>
        <w:pStyle w:val="Option"/>
        <w:keepNext/>
        <w:ind w:left="317" w:hanging="317"/>
      </w:pPr>
      <w:r>
        <w:rPr>
          <w:b/>
        </w:rPr>
        <w:t xml:space="preserve">A. </w:t>
      </w:r>
      <w:r>
        <w:t>Professional language without further assessment of the governing facts.</w:t>
      </w:r>
    </w:p>
    <w:p>
      <w:pPr>
        <w:pStyle w:val="Option"/>
        <w:keepNext/>
        <w:ind w:left="317" w:hanging="317"/>
      </w:pPr>
      <w:r>
        <w:rPr>
          <w:b/>
        </w:rPr>
        <w:t xml:space="preserve">B. </w:t>
      </w:r>
      <w:r>
        <w:t>Client diagnosis without further assessment of the governing facts.</w:t>
      </w:r>
    </w:p>
    <w:p>
      <w:pPr>
        <w:pStyle w:val="Option"/>
        <w:keepNext/>
        <w:ind w:left="317" w:hanging="317"/>
      </w:pPr>
      <w:r>
        <w:rPr>
          <w:b/>
        </w:rPr>
        <w:t xml:space="preserve">C. </w:t>
      </w:r>
      <w:r>
        <w:t>Protection against record loss through reliable backup and recovery planning.</w:t>
      </w:r>
    </w:p>
    <w:p>
      <w:pPr>
        <w:pStyle w:val="Option"/>
        <w:keepNext w:val="0"/>
        <w:ind w:left="317" w:hanging="317"/>
      </w:pPr>
      <w:r>
        <w:rPr>
          <w:b/>
        </w:rPr>
        <w:t xml:space="preserve">D. </w:t>
      </w:r>
      <w:r>
        <w:t>Documentation of session interventions as though documentation alone resolves the underlying issue.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problem concerns preservation and recovery, not the tone of documentation.</w:t>
      </w:r>
    </w:p>
    <w:p>
      <w:pPr>
        <w:spacing w:after="40"/>
        <w:ind w:left="259" w:hanging="259"/>
      </w:pPr>
      <w:r>
        <w:rPr>
          <w:b/>
          <w:color w:val="18A6A1"/>
        </w:rPr>
        <w:t xml:space="preserve">B. </w:t>
      </w:r>
      <w:r>
        <w:t>Incorrect. The loss affects the entire record system, not one diagnostic entry.</w:t>
      </w:r>
    </w:p>
    <w:p>
      <w:pPr>
        <w:spacing w:after="40"/>
        <w:ind w:left="259" w:hanging="259"/>
      </w:pPr>
      <w:r>
        <w:rPr>
          <w:b/>
          <w:color w:val="18A6A1"/>
        </w:rPr>
        <w:t xml:space="preserve">C. </w:t>
      </w:r>
      <w:r>
        <w:t>Correct. Electronic retention requires planning for hardware failure, system failure, accidental deletion, disasters, and other foreseeable losses. Reliable backups and recovery procedures help ensure that records remain available and intact throughout the retention period. A record that cannot be recovered cannot support continuity, lawful access, or accountability.</w:t>
      </w:r>
    </w:p>
    <w:p>
      <w:pPr>
        <w:spacing w:after="40"/>
        <w:ind w:left="259" w:hanging="259"/>
      </w:pPr>
      <w:r>
        <w:rPr>
          <w:b/>
          <w:color w:val="18A6A1"/>
        </w:rPr>
        <w:t xml:space="preserve">D. </w:t>
      </w:r>
      <w:r>
        <w:t>Incorrect. The issue is not whether interventions were originally documented but whether the retained records remained available.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Electronic retention requires both:</w:t>
              <w:br/>
              <w:t>Primary storage + recovery plan</w:t>
            </w:r>
          </w:p>
        </w:tc>
      </w:tr>
    </w:tbl>
    <w:p>
      <w:pPr>
        <w:pStyle w:val="SmallNote"/>
        <w:spacing w:before="60"/>
      </w:pPr>
      <w:r>
        <w:rPr>
          <w:b/>
        </w:rPr>
        <w:t xml:space="preserve">Remediation: </w:t>
      </w:r>
      <w:r>
        <w:t>Workbook 9: Clinical Documentation, Record Management, and Technology — Chapter 3: Record Retention Requirements.</w:t>
      </w:r>
    </w:p>
    <w:p>
      <w:pPr>
        <w:pStyle w:val="SmallNote"/>
      </w:pPr>
      <w:r>
        <w:rPr>
          <w:b/>
        </w:rPr>
        <w:t xml:space="preserve">Internal control: </w:t>
      </w:r>
      <w:r>
        <w:t>MQB-0739 | WB9-C3-Q008 | Moderate | Scenario-Based</w:t>
      </w:r>
    </w:p>
    <w:p>
      <w:pPr>
        <w:spacing w:after="40"/>
        <w:pBdr>
          <w:bottom w:val="single" w:sz="4" w:space="2" w:color="C9D3DD"/>
        </w:pBdr>
      </w:pPr>
    </w:p>
    <w:p>
      <w:pPr>
        <w:pStyle w:val="QuestionNumber"/>
        <w:keepNext/>
        <w:spacing w:before="140"/>
      </w:pPr>
      <w:r>
        <w:t xml:space="preserve">25. </w:t>
      </w:r>
      <w:r>
        <w:rPr>
          <w:b w:val="0"/>
          <w:color w:val="111111"/>
        </w:rPr>
        <w:t>A therapist taking a prescribed medication develops unexpected sedation before an afternoon caseload and notices slowed thinking during the first session. What is the best immediate response?</w:t>
      </w:r>
    </w:p>
    <w:p>
      <w:pPr>
        <w:pStyle w:val="Option"/>
        <w:keepNext/>
        <w:ind w:left="317" w:hanging="317"/>
      </w:pPr>
      <w:r>
        <w:rPr>
          <w:b/>
        </w:rPr>
        <w:t xml:space="preserve">A. </w:t>
      </w:r>
      <w:r>
        <w:t>Continue because prescribed medication cannot create a professional impairment concern.</w:t>
      </w:r>
    </w:p>
    <w:p>
      <w:pPr>
        <w:pStyle w:val="Option"/>
        <w:keepNext/>
        <w:ind w:left="317" w:hanging="317"/>
      </w:pPr>
      <w:r>
        <w:rPr>
          <w:b/>
        </w:rPr>
        <w:t xml:space="preserve">B. </w:t>
      </w:r>
      <w:r>
        <w:t>Assess current fitness, protect the client, stop or transfer unsafe duties, and obtain appropriate medical and professional support.</w:t>
      </w:r>
    </w:p>
    <w:p>
      <w:pPr>
        <w:pStyle w:val="Option"/>
        <w:keepNext/>
        <w:ind w:left="317" w:hanging="317"/>
      </w:pPr>
      <w:r>
        <w:rPr>
          <w:b/>
        </w:rPr>
        <w:t xml:space="preserve">C. </w:t>
      </w:r>
      <w:r>
        <w:t>Ask each client whether the therapist appears impaired and follow the clients’ collective preference while treating that response as sufficient without further analysis.</w:t>
      </w:r>
    </w:p>
    <w:p>
      <w:pPr>
        <w:pStyle w:val="Option"/>
        <w:keepNext w:val="0"/>
        <w:ind w:left="317" w:hanging="317"/>
      </w:pPr>
      <w:r>
        <w:rPr>
          <w:b/>
        </w:rPr>
        <w:t xml:space="preserve">D. </w:t>
      </w:r>
      <w:r>
        <w:t>Conceal the symptoms until the prescribing clinician confirms that the medication caused them.</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Lawful prescription status does not eliminate the need to evaluate actual effects on safe practice.</w:t>
      </w:r>
    </w:p>
    <w:p>
      <w:pPr>
        <w:spacing w:after="40"/>
        <w:ind w:left="259" w:hanging="259"/>
      </w:pPr>
      <w:r>
        <w:rPr>
          <w:b/>
          <w:color w:val="18A6A1"/>
        </w:rPr>
        <w:t xml:space="preserve">B. </w:t>
      </w:r>
      <w:r>
        <w:t>Correct. The therapist should respond to current functional impairment by protecting clients, limiting affected work, arranging continuity, and obtaining appropriate assistance.</w:t>
      </w:r>
    </w:p>
    <w:p>
      <w:pPr>
        <w:spacing w:after="40"/>
        <w:ind w:left="259" w:hanging="259"/>
      </w:pPr>
      <w:r>
        <w:rPr>
          <w:b/>
          <w:color w:val="18A6A1"/>
        </w:rPr>
        <w:t xml:space="preserve">C. </w:t>
      </w:r>
      <w:r>
        <w:t>Incorrect. Clients cannot carry the professional’s responsibility for assessing fitness and safety.</w:t>
      </w:r>
    </w:p>
    <w:p>
      <w:pPr>
        <w:spacing w:after="40"/>
        <w:ind w:left="259" w:hanging="259"/>
      </w:pPr>
      <w:r>
        <w:rPr>
          <w:b/>
          <w:color w:val="18A6A1"/>
        </w:rPr>
        <w:t xml:space="preserve">D. </w:t>
      </w:r>
      <w:r>
        <w:t>Incorrect. Waiting and concealment may expose clients to preventable risk; action should be based on observed functioning, not delayed causal certainty.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The exam focuses on current performance and safety, not whether the substance was legal or prescribed.</w:t>
            </w:r>
          </w:p>
        </w:tc>
      </w:tr>
    </w:tbl>
    <w:p>
      <w:pPr>
        <w:pStyle w:val="SmallNote"/>
        <w:spacing w:before="60"/>
      </w:pPr>
      <w:r>
        <w:rPr>
          <w:b/>
        </w:rPr>
        <w:t xml:space="preserve">Remediation: </w:t>
      </w:r>
      <w:r>
        <w:t>Workbook 4: Professional Impairment — Chapter 2: Substance Use and Professional Impairment.</w:t>
      </w:r>
    </w:p>
    <w:p>
      <w:pPr>
        <w:pStyle w:val="SmallNote"/>
      </w:pPr>
      <w:r>
        <w:rPr>
          <w:b/>
        </w:rPr>
        <w:t xml:space="preserve">Internal control: </w:t>
      </w:r>
      <w:r>
        <w:t>MQB-0783 | CTA-CUM-WB4-002 | Moderate | Scenario-Based</w:t>
      </w:r>
    </w:p>
    <w:p>
      <w:pPr>
        <w:spacing w:after="40"/>
        <w:pBdr>
          <w:bottom w:val="single" w:sz="4" w:space="2" w:color="C9D3DD"/>
        </w:pBdr>
      </w:pPr>
    </w:p>
    <w:p>
      <w:pPr>
        <w:pStyle w:val="QuestionNumber"/>
        <w:keepNext/>
        <w:spacing w:before="140"/>
      </w:pPr>
      <w:r>
        <w:t xml:space="preserve">26. </w:t>
      </w:r>
      <w:r>
        <w:rPr>
          <w:b w:val="0"/>
          <w:color w:val="111111"/>
        </w:rPr>
        <w:t>A therapist and client regularly attend the same community events. The client worries that being greeted publicly could reveal the therapeutic relationship.</w:t>
        <w:br/>
        <w:t>What is the most appropriate response?</w:t>
      </w:r>
    </w:p>
    <w:p>
      <w:pPr>
        <w:pStyle w:val="Option"/>
        <w:keepNext/>
        <w:ind w:left="317" w:hanging="317"/>
      </w:pPr>
      <w:r>
        <w:rPr>
          <w:b/>
        </w:rPr>
        <w:t xml:space="preserve">A. </w:t>
      </w:r>
      <w:r>
        <w:t>Always greet the client so the clinician does not appear rude without further assessment of the governing facts.</w:t>
      </w:r>
    </w:p>
    <w:p>
      <w:pPr>
        <w:pStyle w:val="Option"/>
        <w:keepNext/>
        <w:ind w:left="317" w:hanging="317"/>
      </w:pPr>
      <w:r>
        <w:rPr>
          <w:b/>
        </w:rPr>
        <w:t xml:space="preserve">B. </w:t>
      </w:r>
      <w:r>
        <w:t>Never acknowledge the client under any circumstances without further assessment of the governing facts.</w:t>
      </w:r>
    </w:p>
    <w:p>
      <w:pPr>
        <w:pStyle w:val="Option"/>
        <w:keepNext/>
        <w:ind w:left="317" w:hanging="317"/>
      </w:pPr>
      <w:r>
        <w:rPr>
          <w:b/>
        </w:rPr>
        <w:t xml:space="preserve">C. </w:t>
      </w:r>
      <w:r>
        <w:t>Tell others that the client is a personal friend before confirming legal authority and the permitted scope.</w:t>
      </w:r>
    </w:p>
    <w:p>
      <w:pPr>
        <w:pStyle w:val="Option"/>
        <w:keepNext w:val="0"/>
        <w:ind w:left="317" w:hanging="317"/>
      </w:pPr>
      <w:r>
        <w:rPr>
          <w:b/>
        </w:rPr>
        <w:t xml:space="preserve">D. </w:t>
      </w:r>
      <w:r>
        <w:t>Discuss the client’s preferences, create a confidentiality-conscious plan for public encounters, and revisit the plan if circumstances change.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A therapist-initiated greeting may reveal the professional relationship without the client’s permission. Social politeness does not override confidentiality.</w:t>
      </w:r>
    </w:p>
    <w:p>
      <w:pPr>
        <w:spacing w:after="40"/>
        <w:ind w:left="259" w:hanging="259"/>
      </w:pPr>
      <w:r>
        <w:rPr>
          <w:b/>
          <w:color w:val="18A6A1"/>
        </w:rPr>
        <w:t xml:space="preserve">B. </w:t>
      </w:r>
      <w:r>
        <w:t>Incorrect. A rigid rule of never acknowledging the client may feel rejecting or unrealistic in a small community. The better response is individualized planning.</w:t>
      </w:r>
    </w:p>
    <w:p>
      <w:pPr>
        <w:spacing w:after="40"/>
        <w:ind w:left="259" w:hanging="259"/>
      </w:pPr>
      <w:r>
        <w:rPr>
          <w:b/>
          <w:color w:val="18A6A1"/>
        </w:rPr>
        <w:t xml:space="preserve">C. </w:t>
      </w:r>
      <w:r>
        <w:t>Incorrect. Misrepresenting the client as a personal friend is deceptive and may create additional role confusion rather than protect confidentiality appropriately.</w:t>
      </w:r>
    </w:p>
    <w:p>
      <w:pPr>
        <w:spacing w:after="40"/>
        <w:ind w:left="259" w:hanging="259"/>
      </w:pPr>
      <w:r>
        <w:rPr>
          <w:b/>
          <w:color w:val="18A6A1"/>
        </w:rPr>
        <w:t xml:space="preserve">D. </w:t>
      </w:r>
      <w:r>
        <w:t>Correct. Public encounters should be handled in a way that protects confidentiality while accounting for the client’s preferences and the realities of the community setting. A plan may address who will initiate contact, whether the therapist will greet the client, how companions or family members will be handled, and how unexpected interactions will be discussed afterward. Because circumstances can change, the plan should remain flexible and subject to reevaluation.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Identify the controlling rule, timing, and least disruptive response that adequately protects the client.</w:t>
            </w:r>
          </w:p>
        </w:tc>
      </w:tr>
    </w:tbl>
    <w:p>
      <w:pPr>
        <w:pStyle w:val="SmallNote"/>
        <w:spacing w:before="60"/>
      </w:pPr>
      <w:r>
        <w:rPr>
          <w:b/>
        </w:rPr>
        <w:t xml:space="preserve">Remediation: </w:t>
      </w:r>
      <w:r>
        <w:t>Workbook 6: Professional Boundaries — Chapter 3: Multiple and Dual Relationships.</w:t>
      </w:r>
    </w:p>
    <w:p>
      <w:pPr>
        <w:pStyle w:val="SmallNote"/>
      </w:pPr>
      <w:r>
        <w:rPr>
          <w:b/>
        </w:rPr>
        <w:t xml:space="preserve">Internal control: </w:t>
      </w:r>
      <w:r>
        <w:t>MQB-0532 | WB6-C3-Q005 | Moderate | Scenario-Based</w:t>
      </w:r>
    </w:p>
    <w:p>
      <w:pPr>
        <w:spacing w:after="40"/>
        <w:pBdr>
          <w:bottom w:val="single" w:sz="4" w:space="2" w:color="C9D3DD"/>
        </w:pBdr>
      </w:pPr>
    </w:p>
    <w:p>
      <w:pPr>
        <w:pStyle w:val="QuestionNumber"/>
        <w:keepNext/>
        <w:spacing w:before="140"/>
      </w:pPr>
      <w:r>
        <w:t xml:space="preserve">27. </w:t>
      </w:r>
      <w:r>
        <w:rPr>
          <w:b w:val="0"/>
          <w:color w:val="111111"/>
        </w:rPr>
        <w:t>A therapist must choose among clinically reasonable options while balancing likely benefit, possible harm, and the client’s informed preferences. How should beneficence generally relate to an informed client’s autonomy?</w:t>
      </w:r>
    </w:p>
    <w:p>
      <w:pPr>
        <w:pStyle w:val="Option"/>
        <w:keepNext/>
        <w:ind w:left="317" w:hanging="317"/>
      </w:pPr>
      <w:r>
        <w:rPr>
          <w:b/>
        </w:rPr>
        <w:t xml:space="preserve">A. </w:t>
      </w:r>
      <w:r>
        <w:t>Make every decision because professional training always overrides preference without further assessment of the governing facts.</w:t>
      </w:r>
    </w:p>
    <w:p>
      <w:pPr>
        <w:pStyle w:val="Option"/>
        <w:keepNext/>
        <w:ind w:left="317" w:hanging="317"/>
      </w:pPr>
      <w:r>
        <w:rPr>
          <w:b/>
        </w:rPr>
        <w:t xml:space="preserve">B. </w:t>
      </w:r>
      <w:r>
        <w:t>Offer reasoned recommendations and support informed client participation among appropriate options.</w:t>
      </w:r>
    </w:p>
    <w:p>
      <w:pPr>
        <w:pStyle w:val="Option"/>
        <w:keepNext/>
        <w:ind w:left="317" w:hanging="317"/>
      </w:pPr>
      <w:r>
        <w:rPr>
          <w:b/>
        </w:rPr>
        <w:t xml:space="preserve">C. </w:t>
      </w:r>
      <w:r>
        <w:t>Avoid making any professional recommendation without further assessment of the governing facts.</w:t>
      </w:r>
    </w:p>
    <w:p>
      <w:pPr>
        <w:pStyle w:val="Option"/>
        <w:keepNext w:val="0"/>
        <w:ind w:left="317" w:hanging="317"/>
      </w:pPr>
      <w:r>
        <w:rPr>
          <w:b/>
        </w:rPr>
        <w:t xml:space="preserve">D. </w:t>
      </w:r>
      <w:r>
        <w:t>The client must receive any requested service because the person's preference is treated as controlling.</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Expertise supports recommendation but does not automatically erase informed client choice.</w:t>
      </w:r>
    </w:p>
    <w:p>
      <w:pPr>
        <w:spacing w:after="40"/>
        <w:ind w:left="259" w:hanging="259"/>
      </w:pPr>
      <w:r>
        <w:rPr>
          <w:b/>
          <w:color w:val="18A6A1"/>
        </w:rPr>
        <w:t xml:space="preserve">B. </w:t>
      </w:r>
      <w:r>
        <w:t>Correct. This integrates professional judgment, understandable information, and meaningful participation.</w:t>
      </w:r>
    </w:p>
    <w:p>
      <w:pPr>
        <w:spacing w:after="40"/>
        <w:ind w:left="259" w:hanging="259"/>
      </w:pPr>
      <w:r>
        <w:rPr>
          <w:b/>
          <w:color w:val="18A6A1"/>
        </w:rPr>
        <w:t xml:space="preserve">C. </w:t>
      </w:r>
      <w:r>
        <w:t>Incorrect. Respect for autonomy does not require professional passivity or withholding clinically relevant guidance.</w:t>
      </w:r>
    </w:p>
    <w:p>
      <w:pPr>
        <w:spacing w:after="40"/>
        <w:ind w:left="259" w:hanging="259"/>
      </w:pPr>
      <w:r>
        <w:rPr>
          <w:b/>
          <w:color w:val="18A6A1"/>
        </w:rPr>
        <w:t xml:space="preserve">D. </w:t>
      </w:r>
      <w:r>
        <w:t>Incorrect. Autonomy does not require provision of services that are inappropriate, unlawful, or beyond competence.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Look for collaborative professional judgment—not control, passivity, or automatic compliance.</w:t>
            </w:r>
          </w:p>
        </w:tc>
      </w:tr>
    </w:tbl>
    <w:p>
      <w:pPr>
        <w:pStyle w:val="SmallNote"/>
        <w:spacing w:before="60"/>
      </w:pPr>
      <w:r>
        <w:rPr>
          <w:b/>
        </w:rPr>
        <w:t xml:space="preserve">Remediation: </w:t>
      </w:r>
      <w:r>
        <w:t>Workbook 5: Preventing Harm and Promoting Client Welfare — Chapter 3: Beneficence and Promoting Client Welfare.</w:t>
      </w:r>
    </w:p>
    <w:p>
      <w:pPr>
        <w:pStyle w:val="SmallNote"/>
      </w:pPr>
      <w:r>
        <w:rPr>
          <w:b/>
        </w:rPr>
        <w:t xml:space="preserve">Internal control: </w:t>
      </w:r>
      <w:r>
        <w:t>MQB-0446 | WB5-C3-Q004 | Easy | Scenario-Based</w:t>
      </w:r>
    </w:p>
    <w:p>
      <w:pPr>
        <w:spacing w:after="40"/>
        <w:pBdr>
          <w:bottom w:val="single" w:sz="4" w:space="2" w:color="C9D3DD"/>
        </w:pBdr>
      </w:pPr>
    </w:p>
    <w:p>
      <w:pPr>
        <w:pStyle w:val="QuestionNumber"/>
        <w:keepNext/>
        <w:spacing w:before="140"/>
      </w:pPr>
      <w:r>
        <w:t xml:space="preserve">28. </w:t>
      </w:r>
      <w:r>
        <w:rPr>
          <w:b w:val="0"/>
          <w:color w:val="111111"/>
        </w:rP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Option"/>
        <w:keepNext/>
        <w:ind w:left="317" w:hanging="317"/>
      </w:pPr>
      <w:r>
        <w:rPr>
          <w:b/>
        </w:rPr>
        <w:t xml:space="preserve">A. </w:t>
      </w:r>
      <w:r>
        <w:t>Obtain the signature because the remaining concerns can be addressed after treatment begins because the existing paperwork is treated as conclusive.</w:t>
      </w:r>
    </w:p>
    <w:p>
      <w:pPr>
        <w:pStyle w:val="Option"/>
        <w:keepNext/>
        <w:ind w:left="317" w:hanging="317"/>
      </w:pPr>
      <w:r>
        <w:rPr>
          <w:b/>
        </w:rPr>
        <w:t xml:space="preserve">B. </w:t>
      </w:r>
      <w:r>
        <w:t>Reopen the discussion, correct the inaccurate guarantee, explain the intervention accessibly, disclose material risks and financial information, discuss reasonable options, and invite questions.</w:t>
      </w:r>
    </w:p>
    <w:p>
      <w:pPr>
        <w:pStyle w:val="Option"/>
        <w:keepNext/>
        <w:ind w:left="317" w:hanging="317"/>
      </w:pPr>
      <w:r>
        <w:rPr>
          <w:b/>
        </w:rPr>
        <w:t xml:space="preserve">C. </w:t>
      </w:r>
      <w:r>
        <w:t>Provide only a written list of risks and require the client to decide without discussion because the person's preference is treated as controlling.</w:t>
      </w:r>
    </w:p>
    <w:p>
      <w:pPr>
        <w:pStyle w:val="Option"/>
        <w:keepNext w:val="0"/>
        <w:ind w:left="317" w:hanging="317"/>
      </w:pPr>
      <w:r>
        <w:rPr>
          <w:b/>
        </w:rPr>
        <w:t xml:space="preserve">D. </w:t>
      </w:r>
      <w:r>
        <w:t>Withdraw every treatment recommendation because the original discussion was incomplete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 signature does not cure inaccurate, incomplete, and inaccessible information.</w:t>
      </w:r>
    </w:p>
    <w:p>
      <w:pPr>
        <w:spacing w:after="40"/>
        <w:ind w:left="259" w:hanging="259"/>
      </w:pPr>
      <w:r>
        <w:rPr>
          <w:b/>
          <w:color w:val="18A6A1"/>
        </w:rPr>
        <w:t xml:space="preserve">B. </w:t>
      </w:r>
      <w:r>
        <w:t>Correct. This response restores balanced information, materiality, alternatives, financial transparency, understanding, questions, and voluntary choice.</w:t>
      </w:r>
    </w:p>
    <w:p>
      <w:pPr>
        <w:spacing w:after="40"/>
        <w:ind w:left="259" w:hanging="259"/>
      </w:pPr>
      <w:r>
        <w:rPr>
          <w:b/>
          <w:color w:val="18A6A1"/>
        </w:rPr>
        <w:t xml:space="preserve">C. </w:t>
      </w:r>
      <w:r>
        <w:t>Incorrect. A list without explanation or comprehension checks may repeat the same communication failure.</w:t>
      </w:r>
    </w:p>
    <w:p>
      <w:pPr>
        <w:spacing w:after="40"/>
        <w:ind w:left="259" w:hanging="259"/>
      </w:pPr>
      <w:r>
        <w:rPr>
          <w:b/>
          <w:color w:val="18A6A1"/>
        </w:rPr>
        <w:t xml:space="preserve">D. </w:t>
      </w:r>
      <w:r>
        <w:t>Incorrect. An inadequate initial discussion can usually be corrected without abandoning every clinically appropriate recommendation.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an integrated disclosure question, check nature, benefits, risks, alternatives, costs, understanding, questions, and voluntary choice.</w:t>
            </w:r>
          </w:p>
        </w:tc>
      </w:tr>
    </w:tbl>
    <w:p>
      <w:pPr>
        <w:pStyle w:val="SmallNote"/>
        <w:spacing w:before="60"/>
      </w:pPr>
      <w:r>
        <w:rPr>
          <w:b/>
        </w:rPr>
        <w:t xml:space="preserve">Remediation: </w:t>
      </w:r>
      <w:r>
        <w:t>Workbook 1: Informed Consent, Minors, and Family Involvement — Chapter 2: Information Required for Informed Decision-Making.</w:t>
      </w:r>
    </w:p>
    <w:p>
      <w:pPr>
        <w:pStyle w:val="SmallNote"/>
      </w:pPr>
      <w:r>
        <w:rPr>
          <w:b/>
        </w:rPr>
        <w:t xml:space="preserve">Internal control: </w:t>
      </w:r>
      <w:r>
        <w:t>MQB-0034 | WB1-C2-Q017 | Difficult | Integrated Challenge</w:t>
      </w:r>
    </w:p>
    <w:p>
      <w:pPr>
        <w:spacing w:after="40"/>
        <w:pBdr>
          <w:bottom w:val="single" w:sz="4" w:space="2" w:color="C9D3DD"/>
        </w:pBdr>
      </w:pPr>
    </w:p>
    <w:p>
      <w:pPr>
        <w:pStyle w:val="QuestionNumber"/>
        <w:keepNext/>
        <w:spacing w:before="140"/>
      </w:pPr>
      <w:r>
        <w:t xml:space="preserve">29. </w:t>
      </w:r>
      <w:r>
        <w:rPr>
          <w:b w:val="0"/>
          <w:color w:val="111111"/>
        </w:rPr>
        <w:t>A treating therapist is asked to provide a “neutral custody evaluation,” continue therapy, advise one parent’s attorney, and supervise a trainee on the same case. What is the best response?</w:t>
      </w:r>
    </w:p>
    <w:p>
      <w:pPr>
        <w:pStyle w:val="Option"/>
        <w:keepNext/>
        <w:ind w:left="317" w:hanging="317"/>
      </w:pPr>
      <w:r>
        <w:rPr>
          <w:b/>
        </w:rPr>
        <w:t xml:space="preserve">A. </w:t>
      </w:r>
      <w:r>
        <w:t>Accept every role if each participant signs a broad conflict waiver.</w:t>
      </w:r>
    </w:p>
    <w:p>
      <w:pPr>
        <w:pStyle w:val="Option"/>
        <w:keepNext/>
        <w:ind w:left="317" w:hanging="317"/>
      </w:pPr>
      <w:r>
        <w:rPr>
          <w:b/>
        </w:rPr>
        <w:t xml:space="preserve">B. </w:t>
      </w:r>
      <w:r>
        <w:t>Accept the evaluation and attorney-consultant roles but transfer supervision to another clinician.</w:t>
      </w:r>
    </w:p>
    <w:p>
      <w:pPr>
        <w:pStyle w:val="Option"/>
        <w:keepNext/>
        <w:ind w:left="317" w:hanging="317"/>
      </w:pPr>
      <w:r>
        <w:rPr>
          <w:b/>
        </w:rPr>
        <w:t xml:space="preserve">C. </w:t>
      </w:r>
      <w:r>
        <w:t>Continue therapy and provide a custody recommendation based only on treatment observations.</w:t>
      </w:r>
    </w:p>
    <w:p>
      <w:pPr>
        <w:pStyle w:val="Option"/>
        <w:keepNext w:val="0"/>
        <w:ind w:left="317" w:hanging="317"/>
      </w:pPr>
      <w:r>
        <w:rPr>
          <w:b/>
        </w:rPr>
        <w:t xml:space="preserve">D. </w:t>
      </w:r>
      <w:r>
        <w:t>Clarify the existing treatment role, decline incompatible roles, and refer evaluation or legal-consultation functions appropriately.</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Consent does not eliminate incompatible duties, impaired objectivity, or the limits of competence and role integrity.</w:t>
      </w:r>
    </w:p>
    <w:p>
      <w:pPr>
        <w:spacing w:after="40"/>
        <w:ind w:left="259" w:hanging="259"/>
      </w:pPr>
      <w:r>
        <w:rPr>
          <w:b/>
          <w:color w:val="18A6A1"/>
        </w:rPr>
        <w:t xml:space="preserve">B. </w:t>
      </w:r>
      <w:r>
        <w:t>Incorrect. The evaluation and advocacy roles remain incompatible with the treating role even if supervision is transferred.</w:t>
      </w:r>
    </w:p>
    <w:p>
      <w:pPr>
        <w:spacing w:after="40"/>
        <w:ind w:left="259" w:hanging="259"/>
      </w:pPr>
      <w:r>
        <w:rPr>
          <w:b/>
          <w:color w:val="18A6A1"/>
        </w:rPr>
        <w:t xml:space="preserve">C. </w:t>
      </w:r>
      <w:r>
        <w:t>Incorrect. Treatment observations do not convert a treating therapist into a neutral custody evaluator, and a recommendation may harm the treatment role.</w:t>
      </w:r>
    </w:p>
    <w:p>
      <w:pPr>
        <w:spacing w:after="40"/>
        <w:ind w:left="259" w:hanging="259"/>
      </w:pPr>
      <w:r>
        <w:rPr>
          <w:b/>
          <w:color w:val="18A6A1"/>
        </w:rPr>
        <w:t xml:space="preserve">D. </w:t>
      </w:r>
      <w:r>
        <w:t>Correct. The clinician should preserve role clarity, decline conflicting functions, and direct the parties to qualified independent resources.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one professional is asked to treat, evaluate, advocate, and supervise, protect the role already established.</w:t>
            </w:r>
          </w:p>
        </w:tc>
      </w:tr>
    </w:tbl>
    <w:p>
      <w:pPr>
        <w:pStyle w:val="SmallNote"/>
        <w:spacing w:before="60"/>
      </w:pPr>
      <w:r>
        <w:rPr>
          <w:b/>
        </w:rPr>
        <w:t xml:space="preserve">Remediation: </w:t>
      </w:r>
      <w:r>
        <w:t>Workbook 3: Professional Competence — Chapter 6: Professional Roles and Role Clarification.</w:t>
      </w:r>
    </w:p>
    <w:p>
      <w:pPr>
        <w:pStyle w:val="SmallNote"/>
      </w:pPr>
      <w:r>
        <w:rPr>
          <w:b/>
        </w:rPr>
        <w:t xml:space="preserve">Internal control: </w:t>
      </w:r>
      <w:r>
        <w:t>MQB-0780 | CTA-CUM-WB3-004 | Difficult | Scenario-Based</w:t>
      </w:r>
    </w:p>
    <w:p>
      <w:pPr>
        <w:spacing w:after="40"/>
        <w:pBdr>
          <w:bottom w:val="single" w:sz="4" w:space="2" w:color="C9D3DD"/>
        </w:pBdr>
      </w:pPr>
    </w:p>
    <w:p>
      <w:pPr>
        <w:pStyle w:val="QuestionNumber"/>
        <w:keepNext/>
        <w:spacing w:before="140"/>
      </w:pPr>
      <w:r>
        <w:t xml:space="preserve">30. </w:t>
      </w:r>
      <w:r>
        <w:rPr>
          <w:b w:val="0"/>
          <w:color w:val="111111"/>
        </w:rPr>
        <w:t>During supervision, a clinician reviews whether off-duty substance use has become professionally relevant to client care. When may substance use outside work hours become professionally relevant?</w:t>
      </w:r>
    </w:p>
    <w:p>
      <w:pPr>
        <w:pStyle w:val="Option"/>
        <w:keepNext/>
        <w:ind w:left="317" w:hanging="317"/>
      </w:pPr>
      <w:r>
        <w:rPr>
          <w:b/>
        </w:rPr>
        <w:t xml:space="preserve">A. </w:t>
      </w:r>
      <w:r>
        <w:t>When residual effects, withdrawal, disrupted sleep, or missed availability interfere with professional responsibilities.</w:t>
      </w:r>
    </w:p>
    <w:p>
      <w:pPr>
        <w:pStyle w:val="Option"/>
        <w:keepNext/>
        <w:ind w:left="317" w:hanging="317"/>
      </w:pPr>
      <w:r>
        <w:rPr>
          <w:b/>
        </w:rPr>
        <w:t xml:space="preserve">B. </w:t>
      </w:r>
      <w:r>
        <w:t>Whenever any colleague knows that use occurred without further assessment of the governing facts.</w:t>
      </w:r>
    </w:p>
    <w:p>
      <w:pPr>
        <w:pStyle w:val="Option"/>
        <w:keepNext/>
        <w:ind w:left="317" w:hanging="317"/>
      </w:pPr>
      <w:r>
        <w:rPr>
          <w:b/>
        </w:rPr>
        <w:t xml:space="preserve">C. </w:t>
      </w:r>
      <w:r>
        <w:t>Only after the Board files a disciplinary accusation without further assessment of the governing facts.</w:t>
      </w:r>
    </w:p>
    <w:p>
      <w:pPr>
        <w:pStyle w:val="Option"/>
        <w:keepNext w:val="0"/>
        <w:ind w:left="317" w:hanging="317"/>
      </w:pPr>
      <w:r>
        <w:rPr>
          <w:b/>
        </w:rPr>
        <w:t xml:space="preserve">D. </w:t>
      </w:r>
      <w:r>
        <w:t>Never, because off-duty conduct is always private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Off-duty conduct becomes professionally relevant when its effects carry into judgment, reliability, or client care.</w:t>
      </w:r>
    </w:p>
    <w:p>
      <w:pPr>
        <w:spacing w:after="40"/>
        <w:ind w:left="259" w:hanging="259"/>
      </w:pPr>
      <w:r>
        <w:rPr>
          <w:b/>
          <w:color w:val="18A6A1"/>
        </w:rPr>
        <w:t xml:space="preserve">B. </w:t>
      </w:r>
      <w:r>
        <w:t>Incorrect. A colleague’s knowledge does not itself establish functional impairment.</w:t>
      </w:r>
    </w:p>
    <w:p>
      <w:pPr>
        <w:spacing w:after="40"/>
        <w:ind w:left="259" w:hanging="259"/>
      </w:pPr>
      <w:r>
        <w:rPr>
          <w:b/>
          <w:color w:val="18A6A1"/>
        </w:rPr>
        <w:t xml:space="preserve">C. </w:t>
      </w:r>
      <w:r>
        <w:t>Incorrect. The ethical need to protect clients can arise before any formal Board proceeding.</w:t>
      </w:r>
    </w:p>
    <w:p>
      <w:pPr>
        <w:spacing w:after="40"/>
        <w:ind w:left="259" w:hanging="259"/>
      </w:pPr>
      <w:r>
        <w:rPr>
          <w:b/>
          <w:color w:val="18A6A1"/>
        </w:rPr>
        <w:t xml:space="preserve">D. </w:t>
      </w:r>
      <w:r>
        <w:t>Incorrect. Private conduct may become professionally relevant when it compromises assigned duties or client safety.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Focus on carryover into professional functioning, not simply the time or place of use.</w:t>
            </w:r>
          </w:p>
        </w:tc>
      </w:tr>
    </w:tbl>
    <w:p>
      <w:pPr>
        <w:pStyle w:val="SmallNote"/>
        <w:spacing w:before="60"/>
      </w:pPr>
      <w:r>
        <w:rPr>
          <w:b/>
        </w:rPr>
        <w:t xml:space="preserve">Remediation: </w:t>
      </w:r>
      <w:r>
        <w:t>Workbook 4: Professional Impairment — Chapter 2: Substance Use and Professional Impairment.</w:t>
      </w:r>
    </w:p>
    <w:p>
      <w:pPr>
        <w:pStyle w:val="SmallNote"/>
      </w:pPr>
      <w:r>
        <w:rPr>
          <w:b/>
        </w:rPr>
        <w:t xml:space="preserve">Internal control: </w:t>
      </w:r>
      <w:r>
        <w:t>MQB-0343 | WB4-C2-Q003 | Easy | Application</w:t>
      </w:r>
    </w:p>
    <w:p>
      <w:pPr>
        <w:spacing w:after="40"/>
        <w:pBdr>
          <w:bottom w:val="single" w:sz="4" w:space="2" w:color="C9D3DD"/>
        </w:pBdr>
      </w:pPr>
    </w:p>
    <w:p>
      <w:pPr>
        <w:pStyle w:val="QuestionNumber"/>
        <w:keepNext/>
        <w:spacing w:before="140"/>
      </w:pPr>
      <w:r>
        <w:t xml:space="preserve">31. </w:t>
      </w:r>
      <w:r>
        <w:rPr>
          <w:b w:val="0"/>
          <w:color w:val="111111"/>
        </w:rPr>
        <w:t>A therapist providing individual therapy proposes that the client’s spouse begin attending regularly and that the work transition into conjoint couple therapy. What should occur before the change?</w:t>
      </w:r>
    </w:p>
    <w:p>
      <w:pPr>
        <w:pStyle w:val="Option"/>
        <w:keepNext/>
        <w:ind w:left="317" w:hanging="317"/>
      </w:pPr>
      <w:r>
        <w:rPr>
          <w:b/>
        </w:rPr>
        <w:t xml:space="preserve">A. </w:t>
      </w:r>
      <w:r>
        <w:t>The spouse should begin attending because the original client already consented because the person's preference is treated as controlling.</w:t>
      </w:r>
    </w:p>
    <w:p>
      <w:pPr>
        <w:pStyle w:val="Option"/>
        <w:keepNext/>
        <w:ind w:left="317" w:hanging="317"/>
      </w:pPr>
      <w:r>
        <w:rPr>
          <w:b/>
        </w:rPr>
        <w:t xml:space="preserve">B. </w:t>
      </w:r>
      <w:r>
        <w:t>Clarify the new purpose, treatment roles, who will be considered a client, confidentiality expectations, and other information relevant to both individuals’ decisions.</w:t>
      </w:r>
    </w:p>
    <w:p>
      <w:pPr>
        <w:pStyle w:val="Option"/>
        <w:keepNext/>
        <w:ind w:left="317" w:hanging="317"/>
      </w:pPr>
      <w:r>
        <w:rPr>
          <w:b/>
        </w:rPr>
        <w:t xml:space="preserve">C. </w:t>
      </w:r>
      <w:r>
        <w:t>Tell the spouse that the original client controls all information in conjoint treatment before confirming legal authority and the permitted scope.</w:t>
      </w:r>
    </w:p>
    <w:p>
      <w:pPr>
        <w:pStyle w:val="Option"/>
        <w:keepNext w:val="0"/>
        <w:ind w:left="317" w:hanging="317"/>
      </w:pPr>
      <w:r>
        <w:rPr>
          <w:b/>
        </w:rPr>
        <w:t xml:space="preserve">D. </w:t>
      </w:r>
      <w:r>
        <w:t>Change the format without discussion to avoid discomfort because the existing paperwork is treated as conclusive.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Consent to individual treatment does not automatically establish informed agreement to conjoint treatment for either person.</w:t>
      </w:r>
    </w:p>
    <w:p>
      <w:pPr>
        <w:spacing w:after="40"/>
        <w:ind w:left="259" w:hanging="259"/>
      </w:pPr>
      <w:r>
        <w:rPr>
          <w:b/>
          <w:color w:val="18A6A1"/>
        </w:rPr>
        <w:t xml:space="preserve">B. </w:t>
      </w:r>
      <w:r>
        <w:t>Correct. The change may alter clients, roles, goals, confidentiality, records, and information handling.</w:t>
      </w:r>
    </w:p>
    <w:p>
      <w:pPr>
        <w:spacing w:after="40"/>
        <w:ind w:left="259" w:hanging="259"/>
      </w:pPr>
      <w:r>
        <w:rPr>
          <w:b/>
          <w:color w:val="18A6A1"/>
        </w:rPr>
        <w:t xml:space="preserve">C. </w:t>
      </w:r>
      <w:r>
        <w:t>Incorrect. An absolute statement about information control may be inaccurate without a clearly defined conjoint-treatment policy.</w:t>
      </w:r>
    </w:p>
    <w:p>
      <w:pPr>
        <w:spacing w:after="40"/>
        <w:ind w:left="259" w:hanging="259"/>
      </w:pPr>
      <w:r>
        <w:rPr>
          <w:b/>
          <w:color w:val="18A6A1"/>
        </w:rPr>
        <w:t xml:space="preserve">D. </w:t>
      </w:r>
      <w:r>
        <w:t>Incorrect. Silent conversion increases role and confidentiality confusion.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Individual to couple or family treatment should immediately trigger role, client, and confidentiality analysis.</w:t>
            </w:r>
          </w:p>
        </w:tc>
      </w:tr>
    </w:tbl>
    <w:p>
      <w:pPr>
        <w:pStyle w:val="SmallNote"/>
        <w:spacing w:before="60"/>
      </w:pPr>
      <w:r>
        <w:rPr>
          <w:b/>
        </w:rPr>
        <w:t xml:space="preserve">Remediation: </w:t>
      </w:r>
      <w:r>
        <w:t>Workbook 1: Informed Consent, Minors, and Family Involvement — Chapter 3: Ongoing Informed Consent.</w:t>
      </w:r>
    </w:p>
    <w:p>
      <w:pPr>
        <w:pStyle w:val="SmallNote"/>
      </w:pPr>
      <w:r>
        <w:rPr>
          <w:b/>
        </w:rPr>
        <w:t xml:space="preserve">Internal control: </w:t>
      </w:r>
      <w:r>
        <w:t>MQB-0041 | WB1-C3-Q007 | Moderate | Scenario-Based</w:t>
      </w:r>
    </w:p>
    <w:p>
      <w:pPr>
        <w:spacing w:after="40"/>
        <w:pBdr>
          <w:bottom w:val="single" w:sz="4" w:space="2" w:color="C9D3DD"/>
        </w:pBdr>
      </w:pPr>
    </w:p>
    <w:p>
      <w:pPr>
        <w:pStyle w:val="QuestionNumber"/>
        <w:keepNext/>
        <w:spacing w:before="140"/>
      </w:pPr>
      <w:r>
        <w:t xml:space="preserve">32. </w:t>
      </w:r>
      <w:r>
        <w:rPr>
          <w:b w:val="0"/>
          <w:color w:val="111111"/>
        </w:rPr>
        <w:t>A parent asks for the treatment record of a teenager who lawfully consented to the mental-health services independently. The parent says parental status alone requires the therapist to release everything.</w:t>
        <w:br/>
        <w:t>What should the therapist do first?</w:t>
      </w:r>
    </w:p>
    <w:p>
      <w:pPr>
        <w:pStyle w:val="Option"/>
        <w:keepNext/>
        <w:ind w:left="317" w:hanging="317"/>
      </w:pPr>
      <w:r>
        <w:rPr>
          <w:b/>
        </w:rPr>
        <w:t xml:space="preserve">A. </w:t>
      </w:r>
      <w:r>
        <w:t>Release the entire record because parents always control a minor’s health information before confirming legal authority and the permitted scope.</w:t>
      </w:r>
    </w:p>
    <w:p>
      <w:pPr>
        <w:pStyle w:val="Option"/>
        <w:keepNext/>
        <w:ind w:left="317" w:hanging="317"/>
      </w:pPr>
      <w:r>
        <w:rPr>
          <w:b/>
        </w:rPr>
        <w:t xml:space="preserve">B. </w:t>
      </w:r>
      <w:r>
        <w:t>Refuse every parental request whenever a teenager participated in consent because family status is treated as automatic authority.</w:t>
      </w:r>
    </w:p>
    <w:p>
      <w:pPr>
        <w:pStyle w:val="Option"/>
        <w:keepNext/>
        <w:ind w:left="317" w:hanging="317"/>
      </w:pPr>
      <w:r>
        <w:rPr>
          <w:b/>
        </w:rPr>
        <w:t xml:space="preserve">C. </w:t>
      </w:r>
      <w:r>
        <w:t>Determine who consented, what access rights follow from that consent, whether the parent is an authorized representative for these services, and whether any California limitation applies.</w:t>
      </w:r>
    </w:p>
    <w:p>
      <w:pPr>
        <w:pStyle w:val="Option"/>
        <w:keepNext w:val="0"/>
        <w:ind w:left="317" w:hanging="317"/>
      </w:pPr>
      <w:r>
        <w:rPr>
          <w:b/>
        </w:rPr>
        <w:t xml:space="preserve">D. </w:t>
      </w:r>
      <w:r>
        <w:t>Ask the parent who paid for treatment and use payment responsibility to decide access and rely on that response instead of professional judgment.</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Parents do not invariably control records for care to which a minor lawfully consented, and California law may restrict representative access.</w:t>
      </w:r>
    </w:p>
    <w:p>
      <w:pPr>
        <w:spacing w:after="40"/>
        <w:ind w:left="259" w:hanging="259"/>
      </w:pPr>
      <w:r>
        <w:rPr>
          <w:b/>
          <w:color w:val="18A6A1"/>
        </w:rPr>
        <w:t xml:space="preserve">B. </w:t>
      </w:r>
      <w:r>
        <w:t>Incorrect. Independent minor consent changes the analysis but does not justify a categorical refusal without applying the governing rules.</w:t>
      </w:r>
    </w:p>
    <w:p>
      <w:pPr>
        <w:spacing w:after="40"/>
        <w:ind w:left="259" w:hanging="259"/>
      </w:pPr>
      <w:r>
        <w:rPr>
          <w:b/>
          <w:color w:val="18A6A1"/>
        </w:rPr>
        <w:t xml:space="preserve">C. </w:t>
      </w:r>
      <w:r>
        <w:t>Correct. Minor-record access depends on the legal basis for consent, the type of service, representative authority, and applicable California restrictions. The therapist should identify those facts before releasing or refusing the record; parental status does not answer every minor-access question.</w:t>
      </w:r>
    </w:p>
    <w:p>
      <w:pPr>
        <w:spacing w:after="40"/>
        <w:ind w:left="259" w:hanging="259"/>
      </w:pPr>
      <w:r>
        <w:rPr>
          <w:b/>
          <w:color w:val="18A6A1"/>
        </w:rPr>
        <w:t xml:space="preserve">D. </w:t>
      </w:r>
      <w:r>
        <w:t>Incorrect. Payment responsibility does not determine who consented or who holds lawful access authority.</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Trigger phrase: “The minor independently consented.”</w:t>
              <w:br/>
              <w:t>Then analyze CONSENT → REPRESENTATIVE AUTHORITY → ACCESS LIMITS.</w:t>
            </w:r>
          </w:p>
        </w:tc>
      </w:tr>
    </w:tbl>
    <w:p>
      <w:pPr>
        <w:pStyle w:val="SmallNote"/>
        <w:spacing w:before="60"/>
      </w:pPr>
      <w:r>
        <w:rPr>
          <w:b/>
        </w:rPr>
        <w:t xml:space="preserve">Remediation: </w:t>
      </w:r>
      <w:r>
        <w:t>Workbook 8: Confidentiality, Privacy, and Information Sharing — Chapter 4: Client Access to Records and Responding to Record Requests.</w:t>
      </w:r>
    </w:p>
    <w:p>
      <w:pPr>
        <w:pStyle w:val="SmallNote"/>
      </w:pPr>
      <w:r>
        <w:rPr>
          <w:b/>
        </w:rPr>
        <w:t xml:space="preserve">Internal control: </w:t>
      </w:r>
      <w:r>
        <w:t>MQB-0686 | WB8-C4-Q006 | Moderate | Scenario-Based</w:t>
      </w:r>
    </w:p>
    <w:p>
      <w:pPr>
        <w:spacing w:after="40"/>
        <w:pBdr>
          <w:bottom w:val="single" w:sz="4" w:space="2" w:color="C9D3DD"/>
        </w:pBdr>
      </w:pPr>
    </w:p>
    <w:p>
      <w:pPr>
        <w:pStyle w:val="QuestionNumber"/>
        <w:keepNext/>
        <w:spacing w:before="140"/>
      </w:pPr>
      <w:r>
        <w:t xml:space="preserve">33. </w:t>
      </w:r>
      <w:r>
        <w:rPr>
          <w:b w:val="0"/>
          <w:color w:val="111111"/>
        </w:rPr>
        <w:t>A registered AMFT provides 12 direct clinical counseling hours in one setting during a week. The regular supervisor is unavailable. The registered AMFT has only a one-hour peer check-in, then learns that a client has active suicidal intent and had withheld that fact during intake. Which response best integrates the registered AMFT’s responsibilities?</w:t>
      </w:r>
    </w:p>
    <w:p>
      <w:pPr>
        <w:pStyle w:val="Option"/>
        <w:keepNext/>
        <w:ind w:left="317" w:hanging="317"/>
      </w:pPr>
      <w:r>
        <w:rPr>
          <w:b/>
        </w:rPr>
        <w:t xml:space="preserve">A. </w:t>
      </w:r>
      <w:r>
        <w:t>Count the peer check-in as the required two units and wait for the regular supervisor to return without further assessment of the governing facts while treating that single factor as controlling.</w:t>
      </w:r>
    </w:p>
    <w:p>
      <w:pPr>
        <w:pStyle w:val="Option"/>
        <w:keepNext/>
        <w:ind w:left="317" w:hanging="317"/>
      </w:pPr>
      <w:r>
        <w:rPr>
          <w:b/>
        </w:rPr>
        <w:t xml:space="preserve">B. </w:t>
      </w:r>
      <w:r>
        <w:t>Document that supervision occurred, avoid contacting anyone, and continue the same treatment plan as though documentation alone resolves the underlying issue.</w:t>
      </w:r>
    </w:p>
    <w:p>
      <w:pPr>
        <w:pStyle w:val="Option"/>
        <w:keepNext/>
        <w:ind w:left="317" w:hanging="317"/>
      </w:pPr>
      <w:r>
        <w:rPr>
          <w:b/>
        </w:rPr>
        <w:t xml:space="preserve">C. </w:t>
      </w:r>
      <w:r>
        <w:t>Terminate the client immediately and omit the risk information from the weekly log to protect the registered AMFT’s hours without first resolving the underlying legal or clinical issue.</w:t>
      </w:r>
    </w:p>
    <w:p>
      <w:pPr>
        <w:pStyle w:val="Option"/>
        <w:keepNext w:val="0"/>
        <w:ind w:left="317" w:hanging="317"/>
      </w:pPr>
      <w:r>
        <w:rPr>
          <w:b/>
        </w:rPr>
        <w:t xml:space="preserve">D. </w:t>
      </w:r>
      <w:r>
        <w:t>Address risk immediately, contact a qualified substitute or on-call supervisor, disclose material facts, do not count peer discussion as required supervision, and complete the required supervision records.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Peer discussion does not count as supervision, 12 direct hours trigger two units in that setting, and active suicidal intent cannot wait for the regular supervisor.</w:t>
      </w:r>
    </w:p>
    <w:p>
      <w:pPr>
        <w:spacing w:after="40"/>
        <w:ind w:left="259" w:hanging="259"/>
      </w:pPr>
      <w:r>
        <w:rPr>
          <w:b/>
          <w:color w:val="18A6A1"/>
        </w:rPr>
        <w:t xml:space="preserve">B. </w:t>
      </w:r>
      <w:r>
        <w:t>Incorrect. Falsifying or overstating supervision and withholding risk information defeat accountability and may place the client in danger.</w:t>
      </w:r>
    </w:p>
    <w:p>
      <w:pPr>
        <w:spacing w:after="40"/>
        <w:ind w:left="259" w:hanging="259"/>
      </w:pPr>
      <w:r>
        <w:rPr>
          <w:b/>
          <w:color w:val="18A6A1"/>
        </w:rPr>
        <w:t xml:space="preserve">C. </w:t>
      </w:r>
      <w:r>
        <w:t>Incorrect. Automatic termination may be unsafe, and concealment is unethical. The client needs risk assessment, protective action, and continuity planning.</w:t>
      </w:r>
    </w:p>
    <w:p>
      <w:pPr>
        <w:spacing w:after="40"/>
        <w:ind w:left="259" w:hanging="259"/>
      </w:pPr>
      <w:r>
        <w:rPr>
          <w:b/>
          <w:color w:val="18A6A1"/>
        </w:rPr>
        <w:t xml:space="preserve">D. </w:t>
      </w:r>
      <w:r>
        <w:t>Correct. This response integrates urgent client protection, the registered AMFT’s two-unit minimum, qualified substitute supervision, accurate disclosure, and the rule that peer discussion is not supervised experience.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Integrated questions require ordering: protect safety first, use a qualified supervisory pathway, tell the truth, then correct supervision-hour and documentation requirements.</w:t>
            </w:r>
          </w:p>
        </w:tc>
      </w:tr>
    </w:tbl>
    <w:p>
      <w:pPr>
        <w:pStyle w:val="SmallNote"/>
        <w:spacing w:before="60"/>
      </w:pPr>
      <w:r>
        <w:rPr>
          <w:b/>
        </w:rPr>
        <w:t xml:space="preserve">Remediation: </w:t>
      </w:r>
      <w:r>
        <w:t>Workbook 3: Professional Competence — Chapter 5: Clinical Supervision, Feedback, and Accountability.</w:t>
      </w:r>
    </w:p>
    <w:p>
      <w:pPr>
        <w:pStyle w:val="SmallNote"/>
      </w:pPr>
      <w:r>
        <w:rPr>
          <w:b/>
        </w:rPr>
        <w:t xml:space="preserve">Internal control: </w:t>
      </w:r>
      <w:r>
        <w:t>MQB-0306 | WB3-C5-Q017 | Difficult | Integrated Challenge</w:t>
      </w:r>
    </w:p>
    <w:p>
      <w:pPr>
        <w:spacing w:after="40"/>
        <w:pBdr>
          <w:bottom w:val="single" w:sz="4" w:space="2" w:color="C9D3DD"/>
        </w:pBdr>
      </w:pPr>
    </w:p>
    <w:p>
      <w:pPr>
        <w:pStyle w:val="QuestionNumber"/>
        <w:keepNext/>
        <w:spacing w:before="140"/>
      </w:pPr>
      <w:r>
        <w:t xml:space="preserve">34. </w:t>
      </w:r>
      <w:r>
        <w:rPr>
          <w:b w:val="0"/>
          <w:color w:val="111111"/>
        </w:rPr>
        <w:t>A therapist has a well-managed depressive disorder and consistently demonstrates sound judgment, reliable attendance, accurate documentation, and effective client care. Which conclusion is most accurate?</w:t>
      </w:r>
    </w:p>
    <w:p>
      <w:pPr>
        <w:pStyle w:val="Option"/>
        <w:keepNext/>
        <w:ind w:left="317" w:hanging="317"/>
      </w:pPr>
      <w:r>
        <w:rPr>
          <w:b/>
        </w:rPr>
        <w:t xml:space="preserve">A. </w:t>
      </w:r>
      <w:r>
        <w:t>The diagnosis automatically establishes professional impairment without further assessment of the governing facts.</w:t>
      </w:r>
    </w:p>
    <w:p>
      <w:pPr>
        <w:pStyle w:val="Option"/>
        <w:keepNext/>
        <w:ind w:left="317" w:hanging="317"/>
      </w:pPr>
      <w:r>
        <w:rPr>
          <w:b/>
        </w:rPr>
        <w:t xml:space="preserve">B. </w:t>
      </w:r>
      <w:r>
        <w:t>The diagnosis alone does not establish impairment because professional functioning remains effective.</w:t>
      </w:r>
    </w:p>
    <w:p>
      <w:pPr>
        <w:pStyle w:val="Option"/>
        <w:keepNext/>
        <w:ind w:left="317" w:hanging="317"/>
      </w:pPr>
      <w:r>
        <w:rPr>
          <w:b/>
        </w:rPr>
        <w:t xml:space="preserve">C. </w:t>
      </w:r>
      <w:r>
        <w:t>The clinician must permanently stop practicing without further assessment of the governing facts.</w:t>
      </w:r>
    </w:p>
    <w:p>
      <w:pPr>
        <w:pStyle w:val="Option"/>
        <w:keepNext w:val="0"/>
        <w:ind w:left="317" w:hanging="317"/>
      </w:pPr>
      <w:r>
        <w:rPr>
          <w:b/>
        </w:rPr>
        <w:t xml:space="preserve">D. </w:t>
      </w:r>
      <w:r>
        <w:t>The clinician must disclose the diagnosis to every client without further assessment of the governing facts.</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Professional impairment is not established by diagnosis alone.</w:t>
      </w:r>
    </w:p>
    <w:p>
      <w:pPr>
        <w:spacing w:after="40"/>
        <w:ind w:left="259" w:hanging="259"/>
      </w:pPr>
      <w:r>
        <w:rPr>
          <w:b/>
          <w:color w:val="18A6A1"/>
        </w:rPr>
        <w:t xml:space="preserve">B. </w:t>
      </w:r>
      <w:r>
        <w:t>Correct. The facts show effective professional functioning despite the diagnosis.</w:t>
      </w:r>
    </w:p>
    <w:p>
      <w:pPr>
        <w:spacing w:after="40"/>
        <w:ind w:left="259" w:hanging="259"/>
      </w:pPr>
      <w:r>
        <w:rPr>
          <w:b/>
          <w:color w:val="18A6A1"/>
        </w:rPr>
        <w:t xml:space="preserve">C. </w:t>
      </w:r>
      <w:r>
        <w:t>Incorrect. Permanent cessation is unsupported when safe functioning is intact.</w:t>
      </w:r>
    </w:p>
    <w:p>
      <w:pPr>
        <w:spacing w:after="40"/>
        <w:ind w:left="259" w:hanging="259"/>
      </w:pPr>
      <w:r>
        <w:rPr>
          <w:b/>
          <w:color w:val="18A6A1"/>
        </w:rPr>
        <w:t xml:space="preserve">D. </w:t>
      </w:r>
      <w:r>
        <w:t>Incorrect. There is no general rule requiring disclosure of a private diagnosis to every client merely because it exists.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stigmatize a diagnosis. Look for actual decline in judgment, performance, or client safety.</w:t>
            </w:r>
          </w:p>
        </w:tc>
      </w:tr>
    </w:tbl>
    <w:p>
      <w:pPr>
        <w:pStyle w:val="SmallNote"/>
        <w:spacing w:before="60"/>
      </w:pPr>
      <w:r>
        <w:rPr>
          <w:b/>
        </w:rPr>
        <w:t xml:space="preserve">Remediation: </w:t>
      </w:r>
      <w:r>
        <w:t>Workbook 4: Professional Impairment — Chapter 1: Recognizing Professional Impairment.</w:t>
      </w:r>
    </w:p>
    <w:p>
      <w:pPr>
        <w:pStyle w:val="SmallNote"/>
      </w:pPr>
      <w:r>
        <w:rPr>
          <w:b/>
        </w:rPr>
        <w:t xml:space="preserve">Internal control: </w:t>
      </w:r>
      <w:r>
        <w:t>MQB-0325 | WB4-C1-Q002 | Easy | Concept Distinction</w:t>
      </w:r>
    </w:p>
    <w:p>
      <w:pPr>
        <w:spacing w:after="40"/>
        <w:pBdr>
          <w:bottom w:val="single" w:sz="4" w:space="2" w:color="C9D3DD"/>
        </w:pBdr>
      </w:pPr>
    </w:p>
    <w:p>
      <w:pPr>
        <w:pStyle w:val="QuestionNumber"/>
        <w:keepNext/>
        <w:spacing w:before="140"/>
      </w:pPr>
      <w:r>
        <w:t xml:space="preserve">35. </w:t>
      </w:r>
      <w:r>
        <w:rPr>
          <w:b w:val="0"/>
          <w:color w:val="111111"/>
        </w:rP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Option"/>
        <w:keepNext/>
        <w:ind w:left="317" w:hanging="317"/>
      </w:pPr>
      <w:r>
        <w:rPr>
          <w:b/>
        </w:rPr>
        <w:t xml:space="preserve">A. </w:t>
      </w:r>
      <w:r>
        <w:t>The clinician may need additional culturally responsive preparation and should evaluate how the unfamiliar context affects assessment and treatment.</w:t>
      </w:r>
    </w:p>
    <w:p>
      <w:pPr>
        <w:pStyle w:val="Option"/>
        <w:keepNext/>
        <w:ind w:left="317" w:hanging="317"/>
      </w:pPr>
      <w:r>
        <w:rPr>
          <w:b/>
        </w:rPr>
        <w:t xml:space="preserve">B. </w:t>
      </w:r>
      <w:r>
        <w:t>Cultural and linguistic factors are unrelated to clinical competence without further assessment of the governing facts.</w:t>
      </w:r>
    </w:p>
    <w:p>
      <w:pPr>
        <w:pStyle w:val="Option"/>
        <w:keepNext/>
        <w:ind w:left="317" w:hanging="317"/>
      </w:pPr>
      <w:r>
        <w:rPr>
          <w:b/>
        </w:rPr>
        <w:t xml:space="preserve">C. </w:t>
      </w:r>
      <w:r>
        <w:t>Rely on stereotypes to fill gaps quickly without further assessment of the governing facts.</w:t>
      </w:r>
    </w:p>
    <w:p>
      <w:pPr>
        <w:pStyle w:val="Option"/>
        <w:keepNext w:val="0"/>
        <w:ind w:left="317" w:hanging="317"/>
      </w:pPr>
      <w:r>
        <w:rPr>
          <w:b/>
        </w:rPr>
        <w:t xml:space="preserve">D. </w:t>
      </w:r>
      <w:r>
        <w:t>Clinicians must become experts in every culture before accepting any client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Ongoing cultural humility includes recognizing knowledge limits and obtaining relevant preparation.</w:t>
      </w:r>
    </w:p>
    <w:p>
      <w:pPr>
        <w:spacing w:after="40"/>
        <w:ind w:left="259" w:hanging="259"/>
      </w:pPr>
      <w:r>
        <w:rPr>
          <w:b/>
          <w:color w:val="18A6A1"/>
        </w:rPr>
        <w:t xml:space="preserve">B. </w:t>
      </w:r>
      <w:r>
        <w:t>Incorrect. Language, culture, identity, and context may directly affect communication, diagnosis, treatment, and trust.</w:t>
      </w:r>
    </w:p>
    <w:p>
      <w:pPr>
        <w:spacing w:after="40"/>
        <w:ind w:left="259" w:hanging="259"/>
      </w:pPr>
      <w:r>
        <w:rPr>
          <w:b/>
          <w:color w:val="18A6A1"/>
        </w:rPr>
        <w:t xml:space="preserve">C. </w:t>
      </w:r>
      <w:r>
        <w:t>Incorrect. Stereotypes increase risk and do not replace individualized understanding.</w:t>
      </w:r>
    </w:p>
    <w:p>
      <w:pPr>
        <w:spacing w:after="40"/>
        <w:ind w:left="259" w:hanging="259"/>
      </w:pPr>
      <w:r>
        <w:rPr>
          <w:b/>
          <w:color w:val="18A6A1"/>
        </w:rPr>
        <w:t xml:space="preserve">D. </w:t>
      </w:r>
      <w:r>
        <w:t>Incorrect. No clinician can know every culture completely; the duty is to assess and address relevant limitations.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Cultural competence questions favor curiosity, individualized assessment, and appropriate learning—not stereotypes or impossible perfection.</w:t>
            </w:r>
          </w:p>
        </w:tc>
      </w:tr>
    </w:tbl>
    <w:p>
      <w:pPr>
        <w:pStyle w:val="SmallNote"/>
        <w:spacing w:before="60"/>
      </w:pPr>
      <w:r>
        <w:rPr>
          <w:b/>
        </w:rPr>
        <w:t xml:space="preserve">Remediation: </w:t>
      </w:r>
      <w:r>
        <w:t>Workbook 3: Professional Competence — Chapter 3: Maintaining Professional Competence.</w:t>
      </w:r>
    </w:p>
    <w:p>
      <w:pPr>
        <w:pStyle w:val="SmallNote"/>
      </w:pPr>
      <w:r>
        <w:rPr>
          <w:b/>
        </w:rPr>
        <w:t xml:space="preserve">Internal control: </w:t>
      </w:r>
      <w:r>
        <w:t>MQB-0266 | WB3-C3-Q011 | Moderate | Scenario-Based</w:t>
      </w:r>
    </w:p>
    <w:p>
      <w:pPr>
        <w:spacing w:after="40"/>
        <w:pBdr>
          <w:bottom w:val="single" w:sz="4" w:space="2" w:color="C9D3DD"/>
        </w:pBdr>
      </w:pPr>
    </w:p>
    <w:p>
      <w:pPr>
        <w:pStyle w:val="QuestionNumber"/>
        <w:keepNext/>
        <w:spacing w:before="140"/>
      </w:pPr>
      <w:r>
        <w:t xml:space="preserve">36. </w:t>
      </w:r>
      <w:r>
        <w:rPr>
          <w:b w:val="0"/>
          <w:color w:val="111111"/>
        </w:rP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Option"/>
        <w:keepNext/>
        <w:ind w:left="317" w:hanging="317"/>
      </w:pPr>
      <w:r>
        <w:rPr>
          <w:b/>
        </w:rPr>
        <w:t xml:space="preserve">A. </w:t>
      </w:r>
      <w:r>
        <w:t>Deny the request because only the parent with primary physical custody may ever access records because family status is treated as automatic authority while treating that single factor as controlling.</w:t>
      </w:r>
    </w:p>
    <w:p>
      <w:pPr>
        <w:pStyle w:val="Option"/>
        <w:keepNext/>
        <w:ind w:left="317" w:hanging="317"/>
      </w:pPr>
      <w:r>
        <w:rPr>
          <w:b/>
        </w:rPr>
        <w:t xml:space="preserve">B. </w:t>
      </w:r>
      <w:r>
        <w:t>Release the complete record immediately because every parent has an unconditional right to all records before confirming legal authority and the permitted scope.</w:t>
      </w:r>
    </w:p>
    <w:p>
      <w:pPr>
        <w:pStyle w:val="Option"/>
        <w:keepNext/>
        <w:ind w:left="317" w:hanging="317"/>
      </w:pPr>
      <w:r>
        <w:rPr>
          <w:b/>
        </w:rPr>
        <w:t xml:space="preserve">C. </w:t>
      </w:r>
      <w:r>
        <w:t>Do not deny access solely because the father is noncustodial, verify his identity and parental rights, review controlling orders, and apply the specific statutory restrictions governing minor records.</w:t>
      </w:r>
    </w:p>
    <w:p>
      <w:pPr>
        <w:pStyle w:val="Option"/>
        <w:keepNext w:val="0"/>
        <w:ind w:left="317" w:hanging="317"/>
      </w:pPr>
      <w:r>
        <w:rPr>
          <w:b/>
        </w:rPr>
        <w:t xml:space="preserve">D. </w:t>
      </w:r>
      <w:r>
        <w:t>Ask the child to decide whether the father is legally considered a parent and rely on that response instead of professional judgment.</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Physical-custody status does not, by itself, resolve record access.</w:t>
      </w:r>
    </w:p>
    <w:p>
      <w:pPr>
        <w:spacing w:after="40"/>
        <w:ind w:left="259" w:hanging="259"/>
      </w:pPr>
      <w:r>
        <w:rPr>
          <w:b/>
          <w:color w:val="18A6A1"/>
        </w:rPr>
        <w:t xml:space="preserve">B. </w:t>
      </w:r>
      <w:r>
        <w:t>Incorrect. Parental status does not create an unconditional right to every clinical note or record. Statutory exceptions must still be evaluated.</w:t>
      </w:r>
    </w:p>
    <w:p>
      <w:pPr>
        <w:spacing w:after="40"/>
        <w:ind w:left="259" w:hanging="259"/>
      </w:pPr>
      <w:r>
        <w:rPr>
          <w:b/>
          <w:color w:val="18A6A1"/>
        </w:rPr>
        <w:t xml:space="preserve">C. </w:t>
      </w:r>
      <w:r>
        <w:t>Correct. California Family Code section 3025 provides that access to a minor child’s medical and other records may not be denied to a parent because that parent is not the custodial parent. Noncustodial status alone is therefore insufficient grounds for denial. That does not mean the therapist should release every record automatically. The therapist should still determine: Whether the requester retains parental rights Whether a court order limits access Whether the records relate to services the minor independently authorized Whether access would detrimentally affect the therapeutic relationship, physical safety, or psychological well-being Whether another confidentiality restriction applies Health and Safety Code section 123115 specifically identifies circumstances in which a minor’s representative is not entitled to inspect or copy the records. A. Physical-custody status does not, by itself, resolve record access. B. Parental status does not create an unconditional right to every clinical note or record. Statutory exceptions must still be evaluated. D. The child may express concerns, but the child does not determine the father’s legal parental status.</w:t>
      </w:r>
    </w:p>
    <w:p>
      <w:pPr>
        <w:spacing w:after="40"/>
        <w:ind w:left="259" w:hanging="259"/>
      </w:pPr>
      <w:r>
        <w:rPr>
          <w:b/>
          <w:color w:val="18A6A1"/>
        </w:rPr>
        <w:t xml:space="preserve">D. </w:t>
      </w:r>
      <w:r>
        <w:t>Incorrect. The child may express concerns, but the child does not determine the father’s legal parental status.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assume: Noncustodial parent = no access Also do not assume: Parent = automatic access to everything Verify authority and then apply the record-specific exceptions.</w:t>
            </w:r>
          </w:p>
        </w:tc>
      </w:tr>
    </w:tbl>
    <w:p>
      <w:pPr>
        <w:pStyle w:val="SmallNote"/>
        <w:spacing w:before="60"/>
      </w:pPr>
      <w:r>
        <w:rPr>
          <w:b/>
        </w:rPr>
        <w:t xml:space="preserve">Remediation: </w:t>
      </w:r>
      <w:r>
        <w:t>Workbook 1: Informed Consent, Minors, and Family Involvement — Chapter 7: Working with Parents and Families.</w:t>
      </w:r>
    </w:p>
    <w:p>
      <w:pPr>
        <w:pStyle w:val="SmallNote"/>
      </w:pPr>
      <w:r>
        <w:rPr>
          <w:b/>
        </w:rPr>
        <w:t xml:space="preserve">Internal control: </w:t>
      </w:r>
      <w:r>
        <w:t>MQB-0106 | WB1-C7-Q004 | Moderate | Scenario-Based</w:t>
      </w:r>
    </w:p>
    <w:p>
      <w:pPr>
        <w:spacing w:after="40"/>
        <w:pBdr>
          <w:bottom w:val="single" w:sz="4" w:space="2" w:color="C9D3DD"/>
        </w:pBdr>
      </w:pPr>
    </w:p>
    <w:p>
      <w:pPr>
        <w:pStyle w:val="QuestionNumber"/>
        <w:keepNext/>
        <w:spacing w:before="140"/>
      </w:pPr>
      <w:r>
        <w:t xml:space="preserve">37. </w:t>
      </w:r>
      <w:r>
        <w:rPr>
          <w:b w:val="0"/>
          <w:color w:val="111111"/>
        </w:rPr>
        <w:t>A client joins a telehealth session from a crowded coffee shop and begins discussing highly sensitive trauma. What should the therapist do first?</w:t>
      </w:r>
    </w:p>
    <w:p>
      <w:pPr>
        <w:pStyle w:val="Option"/>
        <w:keepNext/>
        <w:ind w:left="317" w:hanging="317"/>
      </w:pPr>
      <w:r>
        <w:rPr>
          <w:b/>
        </w:rPr>
        <w:t xml:space="preserve">A. </w:t>
      </w:r>
      <w:r>
        <w:t>Continue because privacy in the client’s location is solely the client’s responsibility.</w:t>
      </w:r>
    </w:p>
    <w:p>
      <w:pPr>
        <w:pStyle w:val="Option"/>
        <w:keepNext/>
        <w:ind w:left="317" w:hanging="317"/>
      </w:pPr>
      <w:r>
        <w:rPr>
          <w:b/>
        </w:rPr>
        <w:t xml:space="preserve">B. </w:t>
      </w:r>
      <w:r>
        <w:t>Require the client to sign a waiver accepting every environmental privacy risk.</w:t>
      </w:r>
    </w:p>
    <w:p>
      <w:pPr>
        <w:pStyle w:val="Option"/>
        <w:keepNext/>
        <w:ind w:left="317" w:hanging="317"/>
      </w:pPr>
      <w:r>
        <w:rPr>
          <w:b/>
        </w:rPr>
        <w:t xml:space="preserve">C. </w:t>
      </w:r>
      <w:r>
        <w:t>Assess the environment, address foreseeable privacy limits, and collaboratively improve conditions before continuing.</w:t>
      </w:r>
    </w:p>
    <w:p>
      <w:pPr>
        <w:pStyle w:val="Option"/>
        <w:keepNext w:val="0"/>
        <w:ind w:left="317" w:hanging="317"/>
      </w:pPr>
      <w:r>
        <w:rPr>
          <w:b/>
        </w:rPr>
        <w:t xml:space="preserve">D. </w:t>
      </w:r>
      <w:r>
        <w:t>Terminate telehealth permanently whenever another person might be within hearing distance.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The client’s choice of location does not eliminate the therapist’s duty to assess confidentiality and telehealth appropriateness.</w:t>
      </w:r>
    </w:p>
    <w:p>
      <w:pPr>
        <w:spacing w:after="40"/>
        <w:ind w:left="259" w:hanging="259"/>
      </w:pPr>
      <w:r>
        <w:rPr>
          <w:b/>
          <w:color w:val="18A6A1"/>
        </w:rPr>
        <w:t xml:space="preserve">B. </w:t>
      </w:r>
      <w:r>
        <w:t>Incorrect. A waiver does not cure an active and foreseeable privacy exposure.</w:t>
      </w:r>
    </w:p>
    <w:p>
      <w:pPr>
        <w:spacing w:after="40"/>
        <w:ind w:left="259" w:hanging="259"/>
      </w:pPr>
      <w:r>
        <w:rPr>
          <w:b/>
          <w:color w:val="18A6A1"/>
        </w:rPr>
        <w:t xml:space="preserve">C. </w:t>
      </w:r>
      <w:r>
        <w:t>Correct. The therapist should pause, assess who can hear, discuss the privacy limits, and collaboratively restore reasonable privacy or modify the session before continuing sensitive treatment.</w:t>
      </w:r>
    </w:p>
    <w:p>
      <w:pPr>
        <w:spacing w:after="40"/>
        <w:ind w:left="259" w:hanging="259"/>
      </w:pPr>
      <w:r>
        <w:rPr>
          <w:b/>
          <w:color w:val="18A6A1"/>
        </w:rPr>
        <w:t xml:space="preserve">D. </w:t>
      </w:r>
      <w:r>
        <w:t>Incorrect. Permanent termination is disproportionate when privacy may be restored through a safer location, headphones, rescheduling, or another reasonable adjustment.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Pause, assess, and restore privacy before continuing sensitive telehealth content.</w:t>
            </w:r>
          </w:p>
        </w:tc>
      </w:tr>
    </w:tbl>
    <w:p>
      <w:pPr>
        <w:pStyle w:val="SmallNote"/>
        <w:spacing w:before="60"/>
      </w:pPr>
      <w:r>
        <w:rPr>
          <w:b/>
        </w:rPr>
        <w:t xml:space="preserve">Remediation: </w:t>
      </w:r>
      <w:r>
        <w:t>Workbook 2: Telehealth Law &amp; Ethics — Chapter 3: Telehealth Privacy and Security.</w:t>
      </w:r>
    </w:p>
    <w:p>
      <w:pPr>
        <w:pStyle w:val="SmallNote"/>
      </w:pPr>
      <w:r>
        <w:rPr>
          <w:b/>
        </w:rPr>
        <w:t xml:space="preserve">Internal control: </w:t>
      </w:r>
      <w:r>
        <w:t>MQB-0158 | WB2-C3-Q005 | Easy | Scenario-Based</w:t>
      </w:r>
    </w:p>
    <w:p>
      <w:pPr>
        <w:spacing w:after="40"/>
        <w:pBdr>
          <w:bottom w:val="single" w:sz="4" w:space="2" w:color="C9D3DD"/>
        </w:pBdr>
      </w:pPr>
    </w:p>
    <w:p>
      <w:pPr>
        <w:pStyle w:val="QuestionNumber"/>
        <w:keepNext/>
        <w:spacing w:before="140"/>
      </w:pPr>
      <w:r>
        <w:t xml:space="preserve">38. </w:t>
      </w:r>
      <w:r>
        <w:rPr>
          <w:b w:val="0"/>
          <w:color w:val="111111"/>
        </w:rPr>
        <w:t>A therapist recognizes a possible impairment concern and must choose a proportionate response that protects clients and preserves continuity of care. Which impairment-related documentation is most appropriate?</w:t>
      </w:r>
    </w:p>
    <w:p>
      <w:pPr>
        <w:pStyle w:val="Option"/>
        <w:keepNext/>
        <w:ind w:left="317" w:hanging="317"/>
      </w:pPr>
      <w:r>
        <w:rPr>
          <w:b/>
        </w:rPr>
        <w:t xml:space="preserve">A. </w:t>
      </w:r>
      <w:r>
        <w:t>Record observable functional concerns, client-risk analysis, consultation, duty changes, continuity steps, and follow-up without unnecessary diagnostic speculation.</w:t>
      </w:r>
    </w:p>
    <w:p>
      <w:pPr>
        <w:pStyle w:val="Option"/>
        <w:keepNext/>
        <w:ind w:left="317" w:hanging="317"/>
      </w:pPr>
      <w:r>
        <w:rPr>
          <w:b/>
        </w:rPr>
        <w:t xml:space="preserve">B. </w:t>
      </w:r>
      <w:r>
        <w:t>Document only that “the clinician is impaired” without facts or a plan as though documentation alone resolves the underlying issue.</w:t>
      </w:r>
    </w:p>
    <w:p>
      <w:pPr>
        <w:pStyle w:val="Option"/>
        <w:keepNext/>
        <w:ind w:left="317" w:hanging="317"/>
      </w:pPr>
      <w:r>
        <w:rPr>
          <w:b/>
        </w:rPr>
        <w:t xml:space="preserve">C. </w:t>
      </w:r>
      <w:r>
        <w:t>Include every private health detail so the record appears comprehensive without further assessment of the governing facts.</w:t>
      </w:r>
    </w:p>
    <w:p>
      <w:pPr>
        <w:pStyle w:val="Option"/>
        <w:keepNext w:val="0"/>
        <w:ind w:left="317" w:hanging="317"/>
      </w:pPr>
      <w:r>
        <w:rPr>
          <w:b/>
        </w:rPr>
        <w:t xml:space="preserve">D. </w:t>
      </w:r>
      <w:r>
        <w:t>Avoid documentation because impairment is always a personal matter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Neutral, behavior-based documentation should show the professional concern, reasoning, action, and follow-up.</w:t>
      </w:r>
    </w:p>
    <w:p>
      <w:pPr>
        <w:spacing w:after="40"/>
        <w:ind w:left="259" w:hanging="259"/>
      </w:pPr>
      <w:r>
        <w:rPr>
          <w:b/>
          <w:color w:val="18A6A1"/>
        </w:rPr>
        <w:t xml:space="preserve">B. </w:t>
      </w:r>
      <w:r>
        <w:t>Incorrect. A conclusory label without supporting facts or action is inadequate.</w:t>
      </w:r>
    </w:p>
    <w:p>
      <w:pPr>
        <w:spacing w:after="40"/>
        <w:ind w:left="259" w:hanging="259"/>
      </w:pPr>
      <w:r>
        <w:rPr>
          <w:b/>
          <w:color w:val="18A6A1"/>
        </w:rPr>
        <w:t xml:space="preserve">C. </w:t>
      </w:r>
      <w:r>
        <w:t>Incorrect. Unnecessary private information should not be included merely for completeness.</w:t>
      </w:r>
    </w:p>
    <w:p>
      <w:pPr>
        <w:spacing w:after="40"/>
        <w:ind w:left="259" w:hanging="259"/>
      </w:pPr>
      <w:r>
        <w:rPr>
          <w:b/>
          <w:color w:val="18A6A1"/>
        </w:rPr>
        <w:t xml:space="preserve">D. </w:t>
      </w:r>
      <w:r>
        <w:t>Incorrect. When impairment affects professional decisions and client care, relevant documentation is important.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Document function and professional action—not gossip, unsupported diagnosis, or excessive private detail.</w:t>
            </w:r>
          </w:p>
        </w:tc>
      </w:tr>
    </w:tbl>
    <w:p>
      <w:pPr>
        <w:pStyle w:val="SmallNote"/>
        <w:spacing w:before="60"/>
      </w:pPr>
      <w:r>
        <w:rPr>
          <w:b/>
        </w:rPr>
        <w:t xml:space="preserve">Remediation: </w:t>
      </w:r>
      <w:r>
        <w:t>Workbook 4: Professional Impairment — Chapter 5: Responding Ethically to Professional Impairment.</w:t>
      </w:r>
    </w:p>
    <w:p>
      <w:pPr>
        <w:pStyle w:val="SmallNote"/>
      </w:pPr>
      <w:r>
        <w:rPr>
          <w:b/>
        </w:rPr>
        <w:t xml:space="preserve">Internal control: </w:t>
      </w:r>
      <w:r>
        <w:t>MQB-0401 | WB4-C5-Q010 | Moderate | Application</w:t>
      </w:r>
    </w:p>
    <w:p>
      <w:pPr>
        <w:spacing w:after="40"/>
        <w:pBdr>
          <w:bottom w:val="single" w:sz="4" w:space="2" w:color="C9D3DD"/>
        </w:pBdr>
      </w:pPr>
    </w:p>
    <w:p>
      <w:pPr>
        <w:pStyle w:val="QuestionNumber"/>
        <w:keepNext/>
        <w:spacing w:before="140"/>
      </w:pPr>
      <w:r>
        <w:t xml:space="preserve">39. </w:t>
      </w:r>
      <w:r>
        <w:rPr>
          <w:b w:val="0"/>
          <w:color w:val="111111"/>
        </w:rPr>
        <w:t>A financially struggling client offers the therapist an expensive watch and says, “You have done so much for me. I need you to accept this.”</w:t>
        <w:br/>
        <w:t>What is the most appropriate response?</w:t>
      </w:r>
    </w:p>
    <w:p>
      <w:pPr>
        <w:pStyle w:val="Option"/>
        <w:keepNext/>
        <w:ind w:left="317" w:hanging="317"/>
      </w:pPr>
      <w:r>
        <w:rPr>
          <w:b/>
        </w:rPr>
        <w:t xml:space="preserve">A. </w:t>
      </w:r>
      <w:r>
        <w:t>Accept the watch because declining it may hurt the client’s feelings without further assessment of the governing facts.</w:t>
      </w:r>
    </w:p>
    <w:p>
      <w:pPr>
        <w:pStyle w:val="Option"/>
        <w:keepNext/>
        <w:ind w:left="317" w:hanging="317"/>
      </w:pPr>
      <w:r>
        <w:rPr>
          <w:b/>
        </w:rPr>
        <w:t xml:space="preserve">B. </w:t>
      </w:r>
      <w:r>
        <w:t>Explore the gift’s meaning and decline it sensitively because its value, the client’s finances, and the possibility of obligation create substantial concern.</w:t>
      </w:r>
    </w:p>
    <w:p>
      <w:pPr>
        <w:pStyle w:val="Option"/>
        <w:keepNext/>
        <w:ind w:left="317" w:hanging="317"/>
      </w:pPr>
      <w:r>
        <w:rPr>
          <w:b/>
        </w:rPr>
        <w:t xml:space="preserve">C. </w:t>
      </w:r>
      <w:r>
        <w:t>Accept the watch and reduce the client’s next therapy bill without further assessment of the governing facts.</w:t>
      </w:r>
    </w:p>
    <w:p>
      <w:pPr>
        <w:pStyle w:val="Option"/>
        <w:keepNext w:val="0"/>
        <w:ind w:left="317" w:hanging="317"/>
      </w:pPr>
      <w:r>
        <w:rPr>
          <w:b/>
        </w:rPr>
        <w:t xml:space="preserve">D. </w:t>
      </w:r>
      <w:r>
        <w:t>Ask the client to exchange it for a less expensive gift selected by the clinician and rely on that response instead of professional judgment.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Avoiding short-term disappointment does not justify accepting a gift that may financially burden the client or complicate treatment. The therapist can respond warmly without taking possession of the watch.</w:t>
      </w:r>
    </w:p>
    <w:p>
      <w:pPr>
        <w:spacing w:after="40"/>
        <w:ind w:left="259" w:hanging="259"/>
      </w:pPr>
      <w:r>
        <w:rPr>
          <w:b/>
          <w:color w:val="18A6A1"/>
        </w:rPr>
        <w:t xml:space="preserve">B. </w:t>
      </w:r>
      <w:r>
        <w:t>Correct. The gift’s high value, the client’s financial hardship, and the emotionally urgent language all increase concern. Acceptance could reinforce dependency, create a sense of obligation, affect treatment expectations, or allow the therapist to benefit materially from the client’s vulnerability. The therapist should explore what the gift represents, acknowledge the client’s gratitude, and decline it without shaming or rejecting the client. The meaning of the gift can still be addressed therapeutically even when the item is not accepted.</w:t>
      </w:r>
    </w:p>
    <w:p>
      <w:pPr>
        <w:spacing w:after="40"/>
        <w:ind w:left="259" w:hanging="259"/>
      </w:pPr>
      <w:r>
        <w:rPr>
          <w:b/>
          <w:color w:val="18A6A1"/>
        </w:rPr>
        <w:t xml:space="preserve">C. </w:t>
      </w:r>
      <w:r>
        <w:t>Incorrect. Reducing the bill would transform the gift into an unclear financial exchange. This could create confusion about value, payment, reciprocity, and future expectations.</w:t>
      </w:r>
    </w:p>
    <w:p>
      <w:pPr>
        <w:spacing w:after="40"/>
        <w:ind w:left="259" w:hanging="259"/>
      </w:pPr>
      <w:r>
        <w:rPr>
          <w:b/>
          <w:color w:val="18A6A1"/>
        </w:rPr>
        <w:t xml:space="preserve">D. </w:t>
      </w:r>
      <w:r>
        <w:t>Incorrect. Asking for a different gift continues to center the therapist’s receipt of something from the client. The appropriate focus is the client’s meaning and welfare, not selecting a more acceptable personal benefit.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evaluate a gift by price alone—but when the gift is both expensive and financially burdensome, sensitive refusal is usually the stronger response.</w:t>
            </w:r>
          </w:p>
        </w:tc>
      </w:tr>
    </w:tbl>
    <w:p>
      <w:pPr>
        <w:pStyle w:val="SmallNote"/>
        <w:spacing w:before="60"/>
      </w:pPr>
      <w:r>
        <w:rPr>
          <w:b/>
        </w:rPr>
        <w:t xml:space="preserve">Remediation: </w:t>
      </w:r>
      <w:r>
        <w:t>Workbook 6: Professional Boundaries — Chapter 4: Gifts, Bartering, and Financial Relationships.</w:t>
      </w:r>
    </w:p>
    <w:p>
      <w:pPr>
        <w:pStyle w:val="SmallNote"/>
      </w:pPr>
      <w:r>
        <w:rPr>
          <w:b/>
        </w:rPr>
        <w:t xml:space="preserve">Internal control: </w:t>
      </w:r>
      <w:r>
        <w:t>MQB-0548 | WB6-C4-Q004 | Moderate | Application</w:t>
      </w:r>
    </w:p>
    <w:p>
      <w:pPr>
        <w:spacing w:after="40"/>
        <w:pBdr>
          <w:bottom w:val="single" w:sz="4" w:space="2" w:color="C9D3DD"/>
        </w:pBdr>
      </w:pPr>
    </w:p>
    <w:p>
      <w:pPr>
        <w:pStyle w:val="QuestionNumber"/>
        <w:keepNext/>
        <w:spacing w:before="140"/>
      </w:pPr>
      <w:r>
        <w:t xml:space="preserve">40. </w:t>
      </w:r>
      <w:r>
        <w:rPr>
          <w:b w:val="0"/>
          <w:color w:val="111111"/>
        </w:rPr>
        <w:t>A client with a physical disability speaks conversational English but appears confused by complex treatment information. The client has missed appointments because of transportation problems and asks to include a trusted family member in selected discussions. The therapist concludes that the client lacks capacity, is unmotivated, and should be discharged.</w:t>
        <w:br/>
        <w:t>What is the most appropriate response?</w:t>
      </w:r>
    </w:p>
    <w:p>
      <w:pPr>
        <w:pStyle w:val="Option"/>
        <w:keepNext/>
        <w:ind w:left="317" w:hanging="317"/>
      </w:pPr>
      <w:r>
        <w:rPr>
          <w:b/>
        </w:rPr>
        <w:t xml:space="preserve">A. </w:t>
      </w:r>
      <w:r>
        <w:t>Reassess each issue individually by evaluating actual decision-making ability, confirming language comprehension, exploring transportation barriers, clarifying the requested family role, arranging appropriate supports, and reconsidering discharge.</w:t>
      </w:r>
    </w:p>
    <w:p>
      <w:pPr>
        <w:pStyle w:val="Option"/>
        <w:keepNext/>
        <w:ind w:left="317" w:hanging="317"/>
      </w:pPr>
      <w:r>
        <w:rPr>
          <w:b/>
        </w:rPr>
        <w:t xml:space="preserve">B. </w:t>
      </w:r>
      <w:r>
        <w:t>Discharge the client because several difficulties indicate that outpatient treatment is unsuitable without further assessment of the governing facts.</w:t>
      </w:r>
    </w:p>
    <w:p>
      <w:pPr>
        <w:pStyle w:val="Option"/>
        <w:keepNext/>
        <w:ind w:left="317" w:hanging="317"/>
      </w:pPr>
      <w:r>
        <w:rPr>
          <w:b/>
        </w:rPr>
        <w:t xml:space="preserve">C. </w:t>
      </w:r>
      <w:r>
        <w:t>Give the family member full authority over treatment because the client has a disability because family status is treated as automatic authority while treating that single factor as controlling.</w:t>
      </w:r>
    </w:p>
    <w:p>
      <w:pPr>
        <w:pStyle w:val="Option"/>
        <w:keepNext w:val="0"/>
        <w:ind w:left="317" w:hanging="317"/>
      </w:pPr>
      <w:r>
        <w:rPr>
          <w:b/>
        </w:rPr>
        <w:t xml:space="preserve">D. </w:t>
      </w:r>
      <w:r>
        <w:t>Continue unchanged because adapting treatment would lower professional standards without additional assessment or consultation.</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therapist has combined several different concerns into unsupported conclusions. Each issue requires its own assessment: Disability: Does not automatically establish incapacity. Conversational English: Does not prove understanding of complex information. Missed appointments: May reflect transportation barriers rather than poor motivation. Family involvement: Should be clarified through the client’s wishes, permission, role limits, and confidentiality. Access needs: May be addressed through communication support, scheduling changes, transportation resources, accessible materials, or other reasonable adaptations. The therapist should determine whether effective and competent treatment can continue after appropriate supports are established. Referral or transfer becomes appropriate only if the client’s needs cannot be met safely and competently.</w:t>
      </w:r>
    </w:p>
    <w:p>
      <w:pPr>
        <w:spacing w:after="40"/>
        <w:ind w:left="259" w:hanging="259"/>
      </w:pPr>
      <w:r>
        <w:rPr>
          <w:b/>
          <w:color w:val="18A6A1"/>
        </w:rPr>
        <w:t xml:space="preserve">B. </w:t>
      </w:r>
      <w:r>
        <w:t>Incorrect. The conclusion is premature because the therapist has not adequately assessed or addressed the underlying barriers.</w:t>
      </w:r>
    </w:p>
    <w:p>
      <w:pPr>
        <w:spacing w:after="40"/>
        <w:ind w:left="259" w:hanging="259"/>
      </w:pPr>
      <w:r>
        <w:rPr>
          <w:b/>
          <w:color w:val="18A6A1"/>
        </w:rPr>
        <w:t xml:space="preserve">C. </w:t>
      </w:r>
      <w:r>
        <w:t>Incorrect. Disability and communication difficulty do not automatically remove the client’s decision-making authority. Family involvement should not exceed what the client authorizes or actually needs.</w:t>
      </w:r>
    </w:p>
    <w:p>
      <w:pPr>
        <w:spacing w:after="40"/>
        <w:ind w:left="259" w:hanging="259"/>
      </w:pPr>
      <w:r>
        <w:rPr>
          <w:b/>
          <w:color w:val="18A6A1"/>
        </w:rPr>
        <w:t xml:space="preserve">D. </w:t>
      </w:r>
      <w:r>
        <w:t>Incorrect. Responsibly adapting communication and access does not lower professional standards. It may be necessary to provide meaningful and equitable care.</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complex diversity questions, separate the issues rather than applying one label to the client:</w:t>
              <w:br/>
              <w:t>INDIVIDUAL → ASSUMPTION → ACCESS → COMPETENCE → RESPONSE</w:t>
            </w:r>
          </w:p>
        </w:tc>
      </w:tr>
    </w:tbl>
    <w:p>
      <w:pPr>
        <w:pStyle w:val="SmallNote"/>
        <w:spacing w:before="60"/>
      </w:pPr>
      <w:r>
        <w:rPr>
          <w:b/>
        </w:rPr>
        <w:t xml:space="preserve">Remediation: </w:t>
      </w:r>
      <w:r>
        <w:t>Workbook 7: Cultural Humility — Chapter 3: Working With Diverse Populations.</w:t>
      </w:r>
    </w:p>
    <w:p>
      <w:pPr>
        <w:pStyle w:val="SmallNote"/>
      </w:pPr>
      <w:r>
        <w:rPr>
          <w:b/>
        </w:rPr>
        <w:t xml:space="preserve">Internal control: </w:t>
      </w:r>
      <w:r>
        <w:t>MQB-0629 | WB7-C3-Q017 | Difficult | Integrated Challenge Question</w:t>
      </w:r>
    </w:p>
    <w:p>
      <w:pPr>
        <w:spacing w:after="40"/>
        <w:pBdr>
          <w:bottom w:val="single" w:sz="4" w:space="2" w:color="C9D3DD"/>
        </w:pBdr>
      </w:pPr>
    </w:p>
    <w:p>
      <w:pPr>
        <w:pStyle w:val="QuestionNumber"/>
        <w:keepNext/>
        <w:spacing w:before="140"/>
      </w:pPr>
      <w:r>
        <w:t xml:space="preserve">41. </w:t>
      </w:r>
      <w:r>
        <w:rPr>
          <w:b w:val="0"/>
          <w:color w:val="111111"/>
        </w:rPr>
        <w:t>A client communicates a serious threat of physical violence against a reasonably identifiable victim. The therapist is uncertain about one detail of the law. What is the best response?</w:t>
      </w:r>
    </w:p>
    <w:p>
      <w:pPr>
        <w:pStyle w:val="Option"/>
        <w:keepNext/>
        <w:ind w:left="317" w:hanging="317"/>
      </w:pPr>
      <w:r>
        <w:rPr>
          <w:b/>
        </w:rPr>
        <w:t xml:space="preserve">A. </w:t>
      </w:r>
      <w:r>
        <w:t>Wait for a routine consultation appointment next week before assessing or acting until a complaint, injury, or clearer problem occurs.</w:t>
      </w:r>
    </w:p>
    <w:p>
      <w:pPr>
        <w:pStyle w:val="Option"/>
        <w:keepNext/>
        <w:ind w:left="317" w:hanging="317"/>
      </w:pPr>
      <w:r>
        <w:rPr>
          <w:b/>
        </w:rPr>
        <w:t xml:space="preserve">B. </w:t>
      </w:r>
      <w:r>
        <w:t>Assess and take prompt protective action required by the circumstances while obtaining immediate qualified guidance without delaying protection.</w:t>
      </w:r>
    </w:p>
    <w:p>
      <w:pPr>
        <w:pStyle w:val="Option"/>
        <w:keepNext/>
        <w:ind w:left="317" w:hanging="317"/>
      </w:pPr>
      <w:r>
        <w:rPr>
          <w:b/>
        </w:rPr>
        <w:t xml:space="preserve">C. </w:t>
      </w:r>
      <w:r>
        <w:t>Disregard the threat because legal uncertainty eliminates responsibility without further assessment of the governing facts.</w:t>
      </w:r>
    </w:p>
    <w:p>
      <w:pPr>
        <w:pStyle w:val="Option"/>
        <w:keepNext w:val="0"/>
        <w:ind w:left="317" w:hanging="317"/>
      </w:pPr>
      <w:r>
        <w:rPr>
          <w:b/>
        </w:rPr>
        <w:t xml:space="preserve">D. </w:t>
      </w:r>
      <w:r>
        <w:t>Transfer the decision entirely to a colleague who has never evaluated the client before considering a less disruptive protective response.</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Routine delay may expose the victim and client to foreseeable harm and is inconsistent with a time-sensitive risk response.</w:t>
      </w:r>
    </w:p>
    <w:p>
      <w:pPr>
        <w:spacing w:after="40"/>
        <w:ind w:left="259" w:hanging="259"/>
      </w:pPr>
      <w:r>
        <w:rPr>
          <w:b/>
          <w:color w:val="18A6A1"/>
        </w:rPr>
        <w:t xml:space="preserve">B. </w:t>
      </w:r>
      <w:r>
        <w:t>Correct. California Civil Code section 43.92 requires a duty-to-protect analysis under specified facts; consultation may occur promptly but cannot postpone necessary protection.</w:t>
      </w:r>
    </w:p>
    <w:p>
      <w:pPr>
        <w:spacing w:after="40"/>
        <w:ind w:left="259" w:hanging="259"/>
      </w:pPr>
      <w:r>
        <w:rPr>
          <w:b/>
          <w:color w:val="18A6A1"/>
        </w:rPr>
        <w:t xml:space="preserve">C. </w:t>
      </w:r>
      <w:r>
        <w:t>Incorrect. Uncertainty calls for rapid clarification, not inaction. The therapist must still assess the facts and applicable duties.</w:t>
      </w:r>
    </w:p>
    <w:p>
      <w:pPr>
        <w:spacing w:after="40"/>
        <w:ind w:left="259" w:hanging="259"/>
      </w:pPr>
      <w:r>
        <w:rPr>
          <w:b/>
          <w:color w:val="18A6A1"/>
        </w:rPr>
        <w:t xml:space="preserve">D. </w:t>
      </w:r>
      <w:r>
        <w:t>Incorrect. A colleague can assist, but the treating therapist cannot transfer the assessment or legal duty through an informal conversation.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In urgent scenarios, reject answers that make routine consultation a reason to wait.</w:t>
            </w:r>
          </w:p>
        </w:tc>
      </w:tr>
    </w:tbl>
    <w:p>
      <w:pPr>
        <w:pStyle w:val="SmallNote"/>
        <w:spacing w:before="60"/>
      </w:pPr>
      <w:r>
        <w:rPr>
          <w:b/>
        </w:rPr>
        <w:t xml:space="preserve">Remediation: </w:t>
      </w:r>
      <w:r>
        <w:t>Workbook 3: Professional Competence — Chapter 4: Consultation and Seeking Professional Assistance.</w:t>
      </w:r>
    </w:p>
    <w:p>
      <w:pPr>
        <w:pStyle w:val="SmallNote"/>
      </w:pPr>
      <w:r>
        <w:rPr>
          <w:b/>
        </w:rPr>
        <w:t xml:space="preserve">Internal control: </w:t>
      </w:r>
      <w:r>
        <w:t>MQB-0282 | WB3-C4-Q010 | Moderate | Scenario-Based</w:t>
      </w:r>
    </w:p>
    <w:p>
      <w:pPr>
        <w:spacing w:after="40"/>
        <w:pBdr>
          <w:bottom w:val="single" w:sz="4" w:space="2" w:color="C9D3DD"/>
        </w:pBdr>
      </w:pPr>
    </w:p>
    <w:p>
      <w:pPr>
        <w:pStyle w:val="QuestionNumber"/>
        <w:keepNext/>
        <w:spacing w:before="140"/>
      </w:pPr>
      <w:r>
        <w:t xml:space="preserve">42. </w:t>
      </w:r>
      <w:r>
        <w:rPr>
          <w:b w:val="0"/>
          <w:color w:val="111111"/>
        </w:rPr>
        <w:t>A client makes a serious threat toward another person. The therapist assesses intent, access to weapons, identifying information about the potential victim, protective factors, and immediate safety needs. The therapist obtains consultation, takes protective action, and schedules follow-up.</w:t>
        <w:br/>
        <w:t>The progress note states only:</w:t>
        <w:br/>
        <w:t>“Client was angry. Safety addressed.”</w:t>
        <w:br/>
        <w:t>What is the most significant documentation concern?</w:t>
      </w:r>
    </w:p>
    <w:p>
      <w:pPr>
        <w:pStyle w:val="Option"/>
        <w:keepNext/>
        <w:ind w:left="317" w:hanging="317"/>
      </w:pPr>
      <w:r>
        <w:rPr>
          <w:b/>
        </w:rPr>
        <w:t xml:space="preserve">A. </w:t>
      </w:r>
      <w:r>
        <w:t>The note omits the assessment, clinical reasoning, consultation, protective action, and follow-up needed to explain the clinician’s response.</w:t>
      </w:r>
    </w:p>
    <w:p>
      <w:pPr>
        <w:pStyle w:val="Option"/>
        <w:keepNext/>
        <w:ind w:left="317" w:hanging="317"/>
      </w:pPr>
      <w:r>
        <w:rPr>
          <w:b/>
        </w:rPr>
        <w:t xml:space="preserve">B. </w:t>
      </w:r>
      <w:r>
        <w:t>The note contains too much identifying information about the potential victim without further assessment of the governing facts.</w:t>
      </w:r>
    </w:p>
    <w:p>
      <w:pPr>
        <w:pStyle w:val="Option"/>
        <w:keepNext/>
        <w:ind w:left="317" w:hanging="317"/>
      </w:pPr>
      <w:r>
        <w:rPr>
          <w:b/>
        </w:rPr>
        <w:t xml:space="preserve">C. </w:t>
      </w:r>
      <w:r>
        <w:t>The note should include a complete transcript of everything the client said without further assessment of the governing facts.</w:t>
      </w:r>
    </w:p>
    <w:p>
      <w:pPr>
        <w:pStyle w:val="Option"/>
        <w:keepNext w:val="0"/>
        <w:ind w:left="317" w:hanging="317"/>
      </w:pPr>
      <w:r>
        <w:rPr>
          <w:b/>
        </w:rPr>
        <w:t xml:space="preserve">D. </w:t>
      </w:r>
      <w:r>
        <w:t>The note is sufficient because it establishes that safety was discussed without further assessment of the governing facts.</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High-risk situations generally require documentation sufficient to show what information was obtained, how the concern was assessed, what decisions were made, what consultation occurred, what protective actions were taken, and what follow-up was planned. The statement “safety addressed” does not allow another professional to understand the nature of the risk or the basis for the therapist’s response.</w:t>
      </w:r>
    </w:p>
    <w:p>
      <w:pPr>
        <w:spacing w:after="40"/>
        <w:ind w:left="259" w:hanging="259"/>
      </w:pPr>
      <w:r>
        <w:rPr>
          <w:b/>
          <w:color w:val="18A6A1"/>
        </w:rPr>
        <w:t xml:space="preserve">B. </w:t>
      </w:r>
      <w:r>
        <w:t>Incorrect. The note as written does not contain excessive identifying information. Its central problem is the absence of clinically important assessment and intervention details.</w:t>
      </w:r>
    </w:p>
    <w:p>
      <w:pPr>
        <w:spacing w:after="40"/>
        <w:ind w:left="259" w:hanging="259"/>
      </w:pPr>
      <w:r>
        <w:rPr>
          <w:b/>
          <w:color w:val="18A6A1"/>
        </w:rPr>
        <w:t xml:space="preserve">C. </w:t>
      </w:r>
      <w:r>
        <w:t>Incorrect. A word-for-word transcript is not required. The record should contain relevant information, not every statement made during the session.</w:t>
      </w:r>
    </w:p>
    <w:p>
      <w:pPr>
        <w:spacing w:after="40"/>
        <w:ind w:left="259" w:hanging="259"/>
      </w:pPr>
      <w:r>
        <w:rPr>
          <w:b/>
          <w:color w:val="18A6A1"/>
        </w:rPr>
        <w:t xml:space="preserve">D. </w:t>
      </w:r>
      <w:r>
        <w:t>Incorrect. Merely stating that safety was addressed does not demonstrate the assessment process, reasoning, intervention, consultation, or continuity plan.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For high-risk situations, look for documentation of:</w:t>
              <w:br/>
              <w:t>Risk information → Assessment → Decision → Action → Consultation → Follow-up</w:t>
            </w:r>
          </w:p>
        </w:tc>
      </w:tr>
    </w:tbl>
    <w:p>
      <w:pPr>
        <w:pStyle w:val="SmallNote"/>
        <w:spacing w:before="60"/>
      </w:pPr>
      <w:r>
        <w:rPr>
          <w:b/>
        </w:rPr>
        <w:t xml:space="preserve">Remediation: </w:t>
      </w:r>
      <w:r>
        <w:t>Workbook 9: Clinical Documentation, Record Management, and Technology — Chapter 2: Documentation Errors, Risk Management, and High-Risk Situations.</w:t>
      </w:r>
    </w:p>
    <w:p>
      <w:pPr>
        <w:pStyle w:val="SmallNote"/>
      </w:pPr>
      <w:r>
        <w:rPr>
          <w:b/>
        </w:rPr>
        <w:t xml:space="preserve">Internal control: </w:t>
      </w:r>
      <w:r>
        <w:t>MQB-0717 | WB9-C2-Q003 | Moderate | Scenario-Based</w:t>
      </w:r>
    </w:p>
    <w:p>
      <w:pPr>
        <w:spacing w:after="40"/>
        <w:pBdr>
          <w:bottom w:val="single" w:sz="4" w:space="2" w:color="C9D3DD"/>
        </w:pBdr>
      </w:pPr>
    </w:p>
    <w:p>
      <w:pPr>
        <w:pStyle w:val="QuestionNumber"/>
        <w:keepNext/>
        <w:spacing w:before="140"/>
      </w:pPr>
      <w:r>
        <w:t xml:space="preserve">43. </w:t>
      </w:r>
      <w:r>
        <w:rPr>
          <w:b w:val="0"/>
          <w:color w:val="111111"/>
        </w:rPr>
        <w:t>A client initiates email communication with a therapist about scheduling. Which conclusion is most accurate?</w:t>
      </w:r>
    </w:p>
    <w:p>
      <w:pPr>
        <w:pStyle w:val="Option"/>
        <w:keepNext/>
        <w:ind w:left="317" w:hanging="317"/>
      </w:pPr>
      <w:r>
        <w:rPr>
          <w:b/>
        </w:rPr>
        <w:t xml:space="preserve">A. </w:t>
      </w:r>
      <w:r>
        <w:t>The client has waived confidentiality for all future email communication without further assessment of the governing facts.</w:t>
      </w:r>
    </w:p>
    <w:p>
      <w:pPr>
        <w:pStyle w:val="Option"/>
        <w:keepNext/>
        <w:ind w:left="317" w:hanging="317"/>
      </w:pPr>
      <w:r>
        <w:rPr>
          <w:b/>
        </w:rPr>
        <w:t xml:space="preserve">B. </w:t>
      </w:r>
      <w:r>
        <w:t>The clinician may send unlimited clinical detail because the client emailed first without further assessment of the governing facts while treating that single factor as controlling.</w:t>
      </w:r>
    </w:p>
    <w:p>
      <w:pPr>
        <w:pStyle w:val="Option"/>
        <w:keepNext/>
        <w:ind w:left="317" w:hanging="317"/>
      </w:pPr>
      <w:r>
        <w:rPr>
          <w:b/>
        </w:rPr>
        <w:t xml:space="preserve">C. </w:t>
      </w:r>
      <w:r>
        <w:t>The clinician must refuse to use email under all circumstances without further assessment of the governing facts.</w:t>
      </w:r>
    </w:p>
    <w:p>
      <w:pPr>
        <w:pStyle w:val="Option"/>
        <w:keepNext w:val="0"/>
        <w:ind w:left="317" w:hanging="317"/>
      </w:pPr>
      <w:r>
        <w:rPr>
          <w:b/>
        </w:rPr>
        <w:t xml:space="preserve">D. </w:t>
      </w:r>
      <w:r>
        <w:t>The client’s initiation may indicate that email is acceptable for that communication, but the clinician still must use professional judgment and reasonable safeguards.</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Initiating email is not a broad waiver of confidentiality.</w:t>
      </w:r>
    </w:p>
    <w:p>
      <w:pPr>
        <w:spacing w:after="40"/>
        <w:ind w:left="259" w:hanging="259"/>
      </w:pPr>
      <w:r>
        <w:rPr>
          <w:b/>
          <w:color w:val="18A6A1"/>
        </w:rPr>
        <w:t xml:space="preserve">B. </w:t>
      </w:r>
      <w:r>
        <w:t>Incorrect. Acceptability of the channel does not authorize unlimited or unnecessarily sensitive content.</w:t>
      </w:r>
    </w:p>
    <w:p>
      <w:pPr>
        <w:spacing w:after="40"/>
        <w:ind w:left="259" w:hanging="259"/>
      </w:pPr>
      <w:r>
        <w:rPr>
          <w:b/>
          <w:color w:val="18A6A1"/>
        </w:rPr>
        <w:t xml:space="preserve">C. </w:t>
      </w:r>
      <w:r>
        <w:t>Incorrect. Email is not categorically prohibited.</w:t>
      </w:r>
    </w:p>
    <w:p>
      <w:pPr>
        <w:spacing w:after="40"/>
        <w:ind w:left="259" w:hanging="259"/>
      </w:pPr>
      <w:r>
        <w:rPr>
          <w:b/>
          <w:color w:val="18A6A1"/>
        </w:rPr>
        <w:t xml:space="preserve">D. </w:t>
      </w:r>
      <w:r>
        <w:t>Correct. HHS guidance permits a limited inference of acceptability while preserving the provider’s responsibility to address risks and safeguards.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Client choice informs the analysis but does not transfer professional responsibility.</w:t>
            </w:r>
          </w:p>
        </w:tc>
      </w:tr>
    </w:tbl>
    <w:p>
      <w:pPr>
        <w:pStyle w:val="SmallNote"/>
        <w:spacing w:before="60"/>
      </w:pPr>
      <w:r>
        <w:rPr>
          <w:b/>
        </w:rPr>
        <w:t xml:space="preserve">Remediation: </w:t>
      </w:r>
      <w:r>
        <w:t>Workbook 2: Telehealth Law &amp; Ethics — Chapter 4: Technology, Electronic Communication, and Professional Responsibilities.</w:t>
      </w:r>
    </w:p>
    <w:p>
      <w:pPr>
        <w:pStyle w:val="SmallNote"/>
      </w:pPr>
      <w:r>
        <w:rPr>
          <w:b/>
        </w:rPr>
        <w:t xml:space="preserve">Internal control: </w:t>
      </w:r>
      <w:r>
        <w:t>MQB-0175 | WB2-C4-Q005 | Easy | Scenario-Based</w:t>
      </w:r>
    </w:p>
    <w:p>
      <w:pPr>
        <w:spacing w:after="40"/>
        <w:pBdr>
          <w:bottom w:val="single" w:sz="4" w:space="2" w:color="C9D3DD"/>
        </w:pBdr>
      </w:pPr>
    </w:p>
    <w:p>
      <w:pPr>
        <w:pStyle w:val="QuestionNumber"/>
        <w:keepNext/>
        <w:spacing w:before="140"/>
      </w:pPr>
      <w:r>
        <w:t xml:space="preserve">44. </w:t>
      </w:r>
      <w:r>
        <w:rPr>
          <w:b w:val="0"/>
          <w:color w:val="111111"/>
        </w:rPr>
        <w:t>A clinician experiences grief after a family death, uses personal support, and continues meeting professional responsibilities with sound judgment and effective client care. Which analysis is strongest?</w:t>
      </w:r>
    </w:p>
    <w:p>
      <w:pPr>
        <w:pStyle w:val="Option"/>
        <w:keepNext/>
        <w:ind w:left="317" w:hanging="317"/>
      </w:pPr>
      <w:r>
        <w:rPr>
          <w:b/>
        </w:rPr>
        <w:t xml:space="preserve">A. </w:t>
      </w:r>
      <w:r>
        <w:t>Grief automatically constitutes professional impairment without further assessment of the governing facts.</w:t>
      </w:r>
    </w:p>
    <w:p>
      <w:pPr>
        <w:pStyle w:val="Option"/>
        <w:keepNext/>
        <w:ind w:left="317" w:hanging="317"/>
      </w:pPr>
      <w:r>
        <w:rPr>
          <w:b/>
        </w:rPr>
        <w:t xml:space="preserve">B. </w:t>
      </w:r>
      <w:r>
        <w:t>The clinician must disclose the loss to all clients without further assessment of the governing facts.</w:t>
      </w:r>
    </w:p>
    <w:p>
      <w:pPr>
        <w:pStyle w:val="Option"/>
        <w:keepNext/>
        <w:ind w:left="317" w:hanging="317"/>
      </w:pPr>
      <w:r>
        <w:rPr>
          <w:b/>
        </w:rPr>
        <w:t xml:space="preserve">C. </w:t>
      </w:r>
      <w:r>
        <w:t>The clinician is engaging in misconduct by continuing to work without further assessment of the governing facts.</w:t>
      </w:r>
    </w:p>
    <w:p>
      <w:pPr>
        <w:pStyle w:val="Option"/>
        <w:keepNext w:val="0"/>
        <w:ind w:left="317" w:hanging="317"/>
      </w:pPr>
      <w:r>
        <w:rPr>
          <w:b/>
        </w:rPr>
        <w:t xml:space="preserve">D. </w:t>
      </w:r>
      <w:r>
        <w:t>Grief warrants monitoring, but the facts do not establish impairment because professional functioning remains effective.</w:t>
      </w:r>
    </w:p>
    <w:p>
      <w:pPr>
        <w:keepNext/>
        <w:spacing w:before="60"/>
      </w:pPr>
      <w:r>
        <w:rPr>
          <w:rFonts w:ascii="Montserrat" w:hAnsi="Montserrat"/>
          <w:b/>
          <w:color w:val="17345B"/>
          <w:sz w:val="19"/>
        </w:rPr>
        <w:t>Correct Answer: D</w:t>
      </w:r>
    </w:p>
    <w:p>
      <w:pPr>
        <w:pStyle w:val="RationaleLabel"/>
        <w:keepNext/>
      </w:pPr>
      <w:r>
        <w:t>Option-by-Option Rationales</w:t>
      </w:r>
    </w:p>
    <w:p>
      <w:pPr>
        <w:spacing w:after="40"/>
        <w:ind w:left="259" w:hanging="259"/>
      </w:pPr>
      <w:r>
        <w:rPr>
          <w:b/>
          <w:color w:val="18A6A1"/>
        </w:rPr>
        <w:t xml:space="preserve">A. </w:t>
      </w:r>
      <w:r>
        <w:t>Incorrect. Grief is a human experience and does not automatically establish impairment.</w:t>
      </w:r>
    </w:p>
    <w:p>
      <w:pPr>
        <w:spacing w:after="40"/>
        <w:ind w:left="259" w:hanging="259"/>
      </w:pPr>
      <w:r>
        <w:rPr>
          <w:b/>
          <w:color w:val="18A6A1"/>
        </w:rPr>
        <w:t xml:space="preserve">B. </w:t>
      </w:r>
      <w:r>
        <w:t>Incorrect. Universal client disclosure is not required by the facts and may be clinically unnecessary.</w:t>
      </w:r>
    </w:p>
    <w:p>
      <w:pPr>
        <w:spacing w:after="40"/>
        <w:ind w:left="259" w:hanging="259"/>
      </w:pPr>
      <w:r>
        <w:rPr>
          <w:b/>
          <w:color w:val="18A6A1"/>
        </w:rPr>
        <w:t xml:space="preserve">C. </w:t>
      </w:r>
      <w:r>
        <w:t>Incorrect. No misconduct or unsafe functioning is described.</w:t>
      </w:r>
    </w:p>
    <w:p>
      <w:pPr>
        <w:spacing w:after="40"/>
        <w:ind w:left="259" w:hanging="259"/>
      </w:pPr>
      <w:r>
        <w:rPr>
          <w:b/>
          <w:color w:val="18A6A1"/>
        </w:rPr>
        <w:t xml:space="preserve">D. </w:t>
      </w:r>
      <w:r>
        <w:t>Correct. Monitoring is appropriate, but the functional evidence remains intact.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Do not confuse the presence of emotional distress with professional impairment.</w:t>
            </w:r>
          </w:p>
        </w:tc>
      </w:tr>
    </w:tbl>
    <w:p>
      <w:pPr>
        <w:pStyle w:val="SmallNote"/>
        <w:spacing w:before="60"/>
      </w:pPr>
      <w:r>
        <w:rPr>
          <w:b/>
        </w:rPr>
        <w:t xml:space="preserve">Remediation: </w:t>
      </w:r>
      <w:r>
        <w:t>Workbook 4: Professional Impairment — Chapter 3: Mental Health, Burnout, and Compassion Fatigue.</w:t>
      </w:r>
    </w:p>
    <w:p>
      <w:pPr>
        <w:pStyle w:val="SmallNote"/>
      </w:pPr>
      <w:r>
        <w:rPr>
          <w:b/>
        </w:rPr>
        <w:t xml:space="preserve">Internal control: </w:t>
      </w:r>
      <w:r>
        <w:t>MQB-0363 | WB4-C3-Q006 | Moderate | Scenario-Based</w:t>
      </w:r>
    </w:p>
    <w:p>
      <w:pPr>
        <w:spacing w:after="40"/>
        <w:pBdr>
          <w:bottom w:val="single" w:sz="4" w:space="2" w:color="C9D3DD"/>
        </w:pBdr>
      </w:pPr>
    </w:p>
    <w:p>
      <w:pPr>
        <w:pStyle w:val="QuestionNumber"/>
        <w:keepNext/>
        <w:spacing w:before="140"/>
      </w:pPr>
      <w:r>
        <w:t xml:space="preserve">45. </w:t>
      </w:r>
      <w:r>
        <w:rPr>
          <w:b w:val="0"/>
          <w:color w:val="111111"/>
        </w:rPr>
        <w:t>A therapist obtains a signature on a standard treatment form that never mentions telehealth. The therapist then begins video sessions without discussing risks or limitations. What is the primary concern?</w:t>
      </w:r>
    </w:p>
    <w:p>
      <w:pPr>
        <w:pStyle w:val="Option"/>
        <w:keepNext/>
        <w:ind w:left="317" w:hanging="317"/>
      </w:pPr>
      <w:r>
        <w:rPr>
          <w:b/>
        </w:rPr>
        <w:t xml:space="preserve">A. </w:t>
      </w:r>
      <w:r>
        <w:t>Have obtained a notarized signature because the existing paperwork is treated as conclusive.</w:t>
      </w:r>
    </w:p>
    <w:p>
      <w:pPr>
        <w:pStyle w:val="Option"/>
        <w:keepNext/>
        <w:ind w:left="317" w:hanging="317"/>
      </w:pPr>
      <w:r>
        <w:rPr>
          <w:b/>
        </w:rPr>
        <w:t xml:space="preserve">B. </w:t>
      </w:r>
      <w:r>
        <w:t>The clinician needed the client to sign at every video session because the existing paperwork is treated as conclusive.</w:t>
      </w:r>
    </w:p>
    <w:p>
      <w:pPr>
        <w:pStyle w:val="Option"/>
        <w:keepNext/>
        <w:ind w:left="317" w:hanging="317"/>
      </w:pPr>
      <w:r>
        <w:rPr>
          <w:b/>
        </w:rPr>
        <w:t xml:space="preserve">C. </w:t>
      </w:r>
      <w:r>
        <w:t>The signature does not demonstrate that the client was informed about telehealth or that the required telehealth process occurred.</w:t>
      </w:r>
    </w:p>
    <w:p>
      <w:pPr>
        <w:pStyle w:val="Option"/>
        <w:keepNext w:val="0"/>
        <w:ind w:left="317" w:hanging="317"/>
      </w:pPr>
      <w:r>
        <w:rPr>
          <w:b/>
        </w:rPr>
        <w:t xml:space="preserve">D. </w:t>
      </w:r>
      <w:r>
        <w:t>The clinician could avoid the problem by documenting only the platform name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Notarization is not required.</w:t>
      </w:r>
    </w:p>
    <w:p>
      <w:pPr>
        <w:spacing w:after="40"/>
        <w:ind w:left="259" w:hanging="259"/>
      </w:pPr>
      <w:r>
        <w:rPr>
          <w:b/>
          <w:color w:val="18A6A1"/>
        </w:rPr>
        <w:t xml:space="preserve">B. </w:t>
      </w:r>
      <w:r>
        <w:t>Incorrect. The law does not require a new signature every session.</w:t>
      </w:r>
    </w:p>
    <w:p>
      <w:pPr>
        <w:spacing w:after="40"/>
        <w:ind w:left="259" w:hanging="259"/>
      </w:pPr>
      <w:r>
        <w:rPr>
          <w:b/>
          <w:color w:val="18A6A1"/>
        </w:rPr>
        <w:t xml:space="preserve">C. </w:t>
      </w:r>
      <w:r>
        <w:t>Correct. A generic signature cannot substitute for informing the client, obtaining telehealth consent, documenting it, and providing the BBS-required information.</w:t>
      </w:r>
    </w:p>
    <w:p>
      <w:pPr>
        <w:spacing w:after="40"/>
        <w:ind w:left="259" w:hanging="259"/>
      </w:pPr>
      <w:r>
        <w:rPr>
          <w:b/>
          <w:color w:val="18A6A1"/>
        </w:rPr>
        <w:t xml:space="preserve">D. </w:t>
      </w:r>
      <w:r>
        <w:t>Incorrect. A platform name does not establish informed consent or the initiation disclosures.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signature is evidence only of what the document and surrounding process actually covered.</w:t>
            </w:r>
          </w:p>
        </w:tc>
      </w:tr>
    </w:tbl>
    <w:p>
      <w:pPr>
        <w:pStyle w:val="SmallNote"/>
        <w:spacing w:before="60"/>
      </w:pPr>
      <w:r>
        <w:rPr>
          <w:b/>
        </w:rPr>
        <w:t xml:space="preserve">Remediation: </w:t>
      </w:r>
      <w:r>
        <w:t>Workbook 2: Telehealth Law &amp; Ethics — Chapter 2: Telehealth Informed Consent.</w:t>
      </w:r>
    </w:p>
    <w:p>
      <w:pPr>
        <w:pStyle w:val="SmallNote"/>
      </w:pPr>
      <w:r>
        <w:rPr>
          <w:b/>
        </w:rPr>
        <w:t xml:space="preserve">Internal control: </w:t>
      </w:r>
      <w:r>
        <w:t>MQB-0144 | WB2-C2-Q008 | Moderate | Scenario-Based</w:t>
      </w:r>
    </w:p>
    <w:p>
      <w:pPr>
        <w:spacing w:after="40"/>
        <w:pBdr>
          <w:bottom w:val="single" w:sz="4" w:space="2" w:color="C9D3DD"/>
        </w:pBdr>
      </w:pPr>
    </w:p>
    <w:p>
      <w:pPr>
        <w:pStyle w:val="QuestionNumber"/>
        <w:keepNext/>
        <w:spacing w:before="140"/>
      </w:pPr>
      <w:r>
        <w:t xml:space="preserve">46. </w:t>
      </w:r>
      <w:r>
        <w:rPr>
          <w:b w:val="0"/>
          <w:color w:val="111111"/>
        </w:rPr>
        <w:t>A therapist conducts couple therapy with both partners identified as joint clients. During informed consent, the therapist explains a limited-secrets policy allowing temporary private communication while clinically appropriate disclosure is addressed.</w:t>
        <w:br/>
        <w:t>One partner later reveals a hidden relationship and asks the therapist to conceal it indefinitely. The information directly affects the couple’s treatment goals. Before the issue is resolved, the other partner requests the complete record for a legal consultation.</w:t>
        <w:br/>
        <w:t>What is the most appropriate response?</w:t>
      </w:r>
    </w:p>
    <w:p>
      <w:pPr>
        <w:pStyle w:val="Option"/>
        <w:keepNext/>
        <w:ind w:left="317" w:hanging="317"/>
      </w:pPr>
      <w:r>
        <w:rPr>
          <w:b/>
        </w:rPr>
        <w:t xml:space="preserve">A. </w:t>
      </w:r>
      <w:r>
        <w:t>Review the established secrets policy, address how continued concealment affects treatment, separately evaluate the record request by examining authorization, access rights, and the other partner’s protected information.</w:t>
      </w:r>
    </w:p>
    <w:p>
      <w:pPr>
        <w:pStyle w:val="Option"/>
        <w:keepNext/>
        <w:ind w:left="317" w:hanging="317"/>
      </w:pPr>
      <w:r>
        <w:rPr>
          <w:b/>
        </w:rPr>
        <w:t xml:space="preserve">B. </w:t>
      </w:r>
      <w:r>
        <w:t>Disclose the hidden relationship immediately because the other partner requested the record because the person's preference is treated as controlling.</w:t>
      </w:r>
    </w:p>
    <w:p>
      <w:pPr>
        <w:pStyle w:val="Option"/>
        <w:keepNext/>
        <w:ind w:left="317" w:hanging="317"/>
      </w:pPr>
      <w:r>
        <w:rPr>
          <w:b/>
        </w:rPr>
        <w:t xml:space="preserve">C. </w:t>
      </w:r>
      <w:r>
        <w:t>Promise permanent secrecy and omit all reference to the communication from the clinical record without further assessment of the governing facts while treating that single factor as controlling.</w:t>
      </w:r>
    </w:p>
    <w:p>
      <w:pPr>
        <w:pStyle w:val="Option"/>
        <w:keepNext w:val="0"/>
        <w:ind w:left="317" w:hanging="317"/>
      </w:pPr>
      <w:r>
        <w:rPr>
          <w:b/>
        </w:rPr>
        <w:t xml:space="preserve">D. </w:t>
      </w:r>
      <w:r>
        <w:t>Release the complete file because both partners were joint clients before confirming legal authority and the permitted scope.</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The scenario presents two related but distinct confidentiality problems. First, the therapist must apply the limited-secrets policy to the private disclosure. The therapist should explain why indefinite concealment may undermine joint treatment, encourage appropriate disclosure, and consider whether treatment can continue if the issue remains unresolved. Second, the record request requires its own analysis. The therapist must determine: Whether the requester seeks direct access or third-party disclosure What authorization or legal authority exists How the joint record was maintained Whether the file contains separate communications Whether releasing the entire record would expose the other partner’s protected information Whether a narrower or separated response is legally appropriate The request for records does not automatically resolve the secret, and the secret does not automatically eliminate applicable access rights.</w:t>
      </w:r>
    </w:p>
    <w:p>
      <w:pPr>
        <w:spacing w:after="40"/>
        <w:ind w:left="259" w:hanging="259"/>
      </w:pPr>
      <w:r>
        <w:rPr>
          <w:b/>
          <w:color w:val="18A6A1"/>
        </w:rPr>
        <w:t xml:space="preserve">B. </w:t>
      </w:r>
      <w:r>
        <w:t>Incorrect. A record request does not automatically authorize the therapist to disclose a private communication directly to the other client. The therapist must apply the treatment agreement and applicable confidentiality rules.</w:t>
      </w:r>
    </w:p>
    <w:p>
      <w:pPr>
        <w:spacing w:after="40"/>
        <w:ind w:left="259" w:hanging="259"/>
      </w:pPr>
      <w:r>
        <w:rPr>
          <w:b/>
          <w:color w:val="18A6A1"/>
        </w:rPr>
        <w:t xml:space="preserve">C. </w:t>
      </w:r>
      <w:r>
        <w:t>Incorrect. The therapist should not promise permanent secrecy when the established policy permits only temporary confidentiality. Omitting clinically significant information solely to conceal the problem may also compromise documentation integrity.</w:t>
      </w:r>
    </w:p>
    <w:p>
      <w:pPr>
        <w:spacing w:after="40"/>
        <w:ind w:left="259" w:hanging="259"/>
      </w:pPr>
      <w:r>
        <w:rPr>
          <w:b/>
          <w:color w:val="18A6A1"/>
        </w:rPr>
        <w:t xml:space="preserve">D. </w:t>
      </w:r>
      <w:r>
        <w:t>Incorrect. Joint-client status does not automatically mean either partner may receive every separate communication or the complete joint file without further analysis.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When a question contains both a secret and a record request, separate the issues:</w:t>
              <w:br/>
              <w:t>Secret: Apply the treatment agreement and assess whether joint treatment remains workable.</w:t>
              <w:br/>
              <w:t>Record request: Identify access or disclosure rights, authority, scope, and other protected information.</w:t>
            </w:r>
          </w:p>
        </w:tc>
      </w:tr>
    </w:tbl>
    <w:p>
      <w:pPr>
        <w:pStyle w:val="SmallNote"/>
        <w:spacing w:before="60"/>
      </w:pPr>
      <w:r>
        <w:rPr>
          <w:b/>
        </w:rPr>
        <w:t xml:space="preserve">Remediation: </w:t>
      </w:r>
      <w:r>
        <w:t>Workbook 8: Confidentiality, Privacy, and Information Sharing — Chapter 1: Confidentiality in Individual, Couple, Family, and Group Treatment.</w:t>
      </w:r>
    </w:p>
    <w:p>
      <w:pPr>
        <w:pStyle w:val="SmallNote"/>
      </w:pPr>
      <w:r>
        <w:rPr>
          <w:b/>
        </w:rPr>
        <w:t xml:space="preserve">Internal control: </w:t>
      </w:r>
      <w:r>
        <w:t>MQB-0646 | WB8-C1-Q017 | Difficult | Integrated Challenge</w:t>
      </w:r>
    </w:p>
    <w:p>
      <w:pPr>
        <w:spacing w:after="40"/>
        <w:pBdr>
          <w:bottom w:val="single" w:sz="4" w:space="2" w:color="C9D3DD"/>
        </w:pBdr>
      </w:pPr>
    </w:p>
    <w:p>
      <w:pPr>
        <w:pStyle w:val="QuestionNumber"/>
        <w:keepNext/>
        <w:spacing w:before="140"/>
      </w:pPr>
      <w:r>
        <w:t xml:space="preserve">47. </w:t>
      </w:r>
      <w:r>
        <w:rPr>
          <w:b w:val="0"/>
          <w:color w:val="111111"/>
        </w:rP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Option"/>
        <w:keepNext/>
        <w:ind w:left="317" w:hanging="317"/>
      </w:pPr>
      <w:r>
        <w:rPr>
          <w:b/>
        </w:rPr>
        <w:t xml:space="preserve">A. </w:t>
      </w:r>
      <w:r>
        <w:t>Accept the father’s consent because regular parenting time includes healthcare authority because family status is treated as automatic authority.</w:t>
      </w:r>
    </w:p>
    <w:p>
      <w:pPr>
        <w:pStyle w:val="Option"/>
        <w:keepNext/>
        <w:ind w:left="317" w:hanging="317"/>
      </w:pPr>
      <w:r>
        <w:rPr>
          <w:b/>
        </w:rPr>
        <w:t xml:space="preserve">B. </w:t>
      </w:r>
      <w:r>
        <w:t>Determine whether the mother or another legally authorized person has consented before beginning treatment.</w:t>
      </w:r>
    </w:p>
    <w:p>
      <w:pPr>
        <w:pStyle w:val="Option"/>
        <w:keepNext/>
        <w:ind w:left="317" w:hanging="317"/>
      </w:pPr>
      <w:r>
        <w:rPr>
          <w:b/>
        </w:rPr>
        <w:t xml:space="preserve">C. </w:t>
      </w:r>
      <w:r>
        <w:t>Accept the father’s consent because either biological parent may authorize treatment because family status is treated as automatic authority.</w:t>
      </w:r>
    </w:p>
    <w:p>
      <w:pPr>
        <w:pStyle w:val="Option"/>
        <w:keepNext w:val="0"/>
        <w:ind w:left="317" w:hanging="317"/>
      </w:pPr>
      <w:r>
        <w:rPr>
          <w:b/>
        </w:rPr>
        <w:t xml:space="preserve">D. </w:t>
      </w:r>
      <w:r>
        <w:t>Ask the child to select which parent should make the decision and rely on that response instead of professional judgment.</w:t>
      </w:r>
    </w:p>
    <w:p>
      <w:pPr>
        <w:keepNext/>
        <w:spacing w:before="60"/>
      </w:pPr>
      <w:r>
        <w:rPr>
          <w:rFonts w:ascii="Montserrat" w:hAnsi="Montserrat"/>
          <w:b/>
          <w:color w:val="17345B"/>
          <w:sz w:val="19"/>
        </w:rPr>
        <w:t>Correct Answer: B</w:t>
      </w:r>
    </w:p>
    <w:p>
      <w:pPr>
        <w:pStyle w:val="RationaleLabel"/>
        <w:keepNext/>
      </w:pPr>
      <w:r>
        <w:t>Option-by-Option Rationales</w:t>
      </w:r>
    </w:p>
    <w:p>
      <w:pPr>
        <w:spacing w:after="40"/>
        <w:ind w:left="259" w:hanging="259"/>
      </w:pPr>
      <w:r>
        <w:rPr>
          <w:b/>
          <w:color w:val="18A6A1"/>
        </w:rPr>
        <w:t xml:space="preserve">A. </w:t>
      </w:r>
      <w:r>
        <w:t>Incorrect. Parenting time concerns the child’s physical care and contact. It does not automatically grant healthcare decision-making authority when another parent has sole legal custody.</w:t>
      </w:r>
    </w:p>
    <w:p>
      <w:pPr>
        <w:spacing w:after="40"/>
        <w:ind w:left="259" w:hanging="259"/>
      </w:pPr>
      <w:r>
        <w:rPr>
          <w:b/>
          <w:color w:val="18A6A1"/>
        </w:rPr>
        <w:t xml:space="preserve">B. </w:t>
      </w:r>
      <w:r>
        <w:t>Correct. Sole legal custody gives one parent the right and responsibility to make decisions concerning the child’s health, education, and welfare. Parenting time or physical custody does not automatically transfer that legal decision-making authority to the other parent. The therapist should determine whether the mother has authorized treatment or whether another lawful basis permits services before beginning nonemergency care.</w:t>
      </w:r>
    </w:p>
    <w:p>
      <w:pPr>
        <w:spacing w:after="40"/>
        <w:ind w:left="259" w:hanging="259"/>
      </w:pPr>
      <w:r>
        <w:rPr>
          <w:b/>
          <w:color w:val="18A6A1"/>
        </w:rPr>
        <w:t xml:space="preserve">C. </w:t>
      </w:r>
      <w:r>
        <w:t>Incorrect. Biological parenthood alone does not override a current custody order assigning sole legal authority to one parent.</w:t>
      </w:r>
    </w:p>
    <w:p>
      <w:pPr>
        <w:spacing w:after="40"/>
        <w:ind w:left="259" w:hanging="259"/>
      </w:pPr>
      <w:r>
        <w:rPr>
          <w:b/>
          <w:color w:val="18A6A1"/>
        </w:rPr>
        <w:t xml:space="preserve">D. </w:t>
      </w:r>
      <w:r>
        <w:t>Incorrect. The child may express preferences, but the child cannot ordinarily reassign legal custody authority between the parents.</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Keep these concepts separate:</w:t>
              <w:br/>
              <w:t>Physical custody = where and with whom the child lives</w:t>
              <w:br/>
              <w:t>Legal custody = who makes health, education, and welfare decisions</w:t>
            </w:r>
          </w:p>
        </w:tc>
      </w:tr>
    </w:tbl>
    <w:p>
      <w:pPr>
        <w:pStyle w:val="SmallNote"/>
        <w:spacing w:before="60"/>
      </w:pPr>
      <w:r>
        <w:rPr>
          <w:b/>
        </w:rPr>
        <w:t xml:space="preserve">Remediation: </w:t>
      </w:r>
      <w:r>
        <w:t>Workbook 1: Informed Consent, Minors, and Family Involvement — Chapter 5: General Consent Requirements for Minors.</w:t>
      </w:r>
    </w:p>
    <w:p>
      <w:pPr>
        <w:pStyle w:val="SmallNote"/>
      </w:pPr>
      <w:r>
        <w:rPr>
          <w:b/>
        </w:rPr>
        <w:t xml:space="preserve">Internal control: </w:t>
      </w:r>
      <w:r>
        <w:t>MQB-0072 | WB1-C5-Q004 | Moderate | Application</w:t>
      </w:r>
    </w:p>
    <w:p>
      <w:pPr>
        <w:spacing w:after="40"/>
        <w:pBdr>
          <w:bottom w:val="single" w:sz="4" w:space="2" w:color="C9D3DD"/>
        </w:pBdr>
      </w:pPr>
    </w:p>
    <w:p>
      <w:pPr>
        <w:pStyle w:val="QuestionNumber"/>
        <w:keepNext/>
        <w:spacing w:before="140"/>
      </w:pPr>
      <w:r>
        <w:t xml:space="preserve">48. </w:t>
      </w:r>
      <w:r>
        <w:rPr>
          <w:b w:val="0"/>
          <w:color w:val="111111"/>
        </w:rPr>
        <w:t>A therapist is deciding what information from a routine session belongs in the progress note.</w:t>
        <w:br/>
        <w:t>Which information is most appropriate to include?</w:t>
      </w:r>
    </w:p>
    <w:p>
      <w:pPr>
        <w:pStyle w:val="Option"/>
        <w:keepNext/>
        <w:ind w:left="317" w:hanging="317"/>
      </w:pPr>
      <w:r>
        <w:rPr>
          <w:b/>
        </w:rPr>
        <w:t xml:space="preserve">A. </w:t>
      </w:r>
      <w:r>
        <w:t>Unverified rumors about the client’s coworkers without further assessment of the governing facts.</w:t>
      </w:r>
    </w:p>
    <w:p>
      <w:pPr>
        <w:pStyle w:val="Option"/>
        <w:keepNext/>
        <w:ind w:left="317" w:hanging="317"/>
      </w:pPr>
      <w:r>
        <w:rPr>
          <w:b/>
        </w:rPr>
        <w:t xml:space="preserve">B. </w:t>
      </w:r>
      <w:r>
        <w:t>The clinician’s personal opinion about the client’s clothing without further assessment of the governing facts.</w:t>
      </w:r>
    </w:p>
    <w:p>
      <w:pPr>
        <w:pStyle w:val="Option"/>
        <w:keepNext/>
        <w:ind w:left="317" w:hanging="317"/>
      </w:pPr>
      <w:r>
        <w:rPr>
          <w:b/>
        </w:rPr>
        <w:t xml:space="preserve">C. </w:t>
      </w:r>
      <w:r>
        <w:t>The concern addressed, intervention used, client response, and relevant follow-up plan.</w:t>
      </w:r>
    </w:p>
    <w:p>
      <w:pPr>
        <w:pStyle w:val="Option"/>
        <w:keepNext w:val="0"/>
        <w:ind w:left="317" w:hanging="317"/>
      </w:pPr>
      <w:r>
        <w:rPr>
          <w:b/>
        </w:rPr>
        <w:t xml:space="preserve">D. </w:t>
      </w:r>
      <w:r>
        <w:t>Every statement made during the session without further assessment of the governing facts.</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Unverified rumors that are unrelated to treatment may be inaccurate, irrelevant, and potentially harmful.</w:t>
      </w:r>
    </w:p>
    <w:p>
      <w:pPr>
        <w:spacing w:after="40"/>
        <w:ind w:left="259" w:hanging="259"/>
      </w:pPr>
      <w:r>
        <w:rPr>
          <w:b/>
          <w:color w:val="18A6A1"/>
        </w:rPr>
        <w:t xml:space="preserve">B. </w:t>
      </w:r>
      <w:r>
        <w:t>Incorrect. Personal opinions about appearance generally do not belong in the record unless a specific observation is clinically relevant and documented objectively.</w:t>
      </w:r>
    </w:p>
    <w:p>
      <w:pPr>
        <w:spacing w:after="40"/>
        <w:ind w:left="259" w:hanging="259"/>
      </w:pPr>
      <w:r>
        <w:rPr>
          <w:b/>
          <w:color w:val="18A6A1"/>
        </w:rPr>
        <w:t xml:space="preserve">C. </w:t>
      </w:r>
      <w:r>
        <w:t>Correct. A useful progress note identifies the clinically relevant issue, the services or intervention provided, the client’s response, significant decisions, and the next step in treatment. This level of information supports continuity of care without turning the note into a verbatim transcript.</w:t>
      </w:r>
    </w:p>
    <w:p>
      <w:pPr>
        <w:spacing w:after="40"/>
        <w:ind w:left="259" w:hanging="259"/>
      </w:pPr>
      <w:r>
        <w:rPr>
          <w:b/>
          <w:color w:val="18A6A1"/>
        </w:rPr>
        <w:t xml:space="preserve">D. </w:t>
      </w:r>
      <w:r>
        <w:t>Incorrect. Progress notes do not require every word spoken during a session. Excessive detail may reduce clarity and obscure important information.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strong progress note generally answers:</w:t>
              <w:br/>
              <w:t>What was addressed? What was done? How did the client respond? What happens next?</w:t>
            </w:r>
          </w:p>
        </w:tc>
      </w:tr>
    </w:tbl>
    <w:p>
      <w:pPr>
        <w:pStyle w:val="SmallNote"/>
        <w:spacing w:before="60"/>
      </w:pPr>
      <w:r>
        <w:rPr>
          <w:b/>
        </w:rPr>
        <w:t xml:space="preserve">Remediation: </w:t>
      </w:r>
      <w:r>
        <w:t>Workbook 9: Clinical Documentation, Record Management, and Technology — Chapter 1: Clinical Documentation Standards.</w:t>
      </w:r>
    </w:p>
    <w:p>
      <w:pPr>
        <w:pStyle w:val="SmallNote"/>
      </w:pPr>
      <w:r>
        <w:rPr>
          <w:b/>
        </w:rPr>
        <w:t xml:space="preserve">Internal control: </w:t>
      </w:r>
      <w:r>
        <w:t>MQB-0709 | WB9-C1-Q012 | Easy | Scenario-Based</w:t>
      </w:r>
    </w:p>
    <w:p>
      <w:pPr>
        <w:spacing w:after="40"/>
        <w:pBdr>
          <w:bottom w:val="single" w:sz="4" w:space="2" w:color="C9D3DD"/>
        </w:pBdr>
      </w:pPr>
    </w:p>
    <w:p>
      <w:pPr>
        <w:pStyle w:val="QuestionNumber"/>
        <w:keepNext/>
        <w:spacing w:before="140"/>
      </w:pPr>
      <w:r>
        <w:t xml:space="preserve">49. </w:t>
      </w:r>
      <w:r>
        <w:rPr>
          <w:b w:val="0"/>
          <w:color w:val="111111"/>
        </w:rPr>
        <w:t>A client signed intake documents one month ago and now asks a new question about the treatment approach. What is the therapist’s best response?</w:t>
      </w:r>
    </w:p>
    <w:p>
      <w:pPr>
        <w:pStyle w:val="Option"/>
        <w:keepNext/>
        <w:ind w:left="317" w:hanging="317"/>
      </w:pPr>
      <w:r>
        <w:rPr>
          <w:b/>
        </w:rPr>
        <w:t xml:space="preserve">A. </w:t>
      </w:r>
      <w:r>
        <w:t>Answer the question, clarify the client’s understanding, and assess continued willingness to participate.</w:t>
      </w:r>
    </w:p>
    <w:p>
      <w:pPr>
        <w:pStyle w:val="Option"/>
        <w:keepNext/>
        <w:ind w:left="317" w:hanging="317"/>
      </w:pPr>
      <w:r>
        <w:rPr>
          <w:b/>
        </w:rPr>
        <w:t xml:space="preserve">B. </w:t>
      </w:r>
      <w:r>
        <w:t>Refer the client to the original form without discussion because the existing paperwork is treated as conclusive.</w:t>
      </w:r>
    </w:p>
    <w:p>
      <w:pPr>
        <w:pStyle w:val="Option"/>
        <w:keepNext/>
        <w:ind w:left="317" w:hanging="317"/>
      </w:pPr>
      <w:r>
        <w:rPr>
          <w:b/>
        </w:rPr>
        <w:t xml:space="preserve">C. </w:t>
      </w:r>
      <w:r>
        <w:t>Terminate treatment because the client appears uncertain before considering a less disruptive protective response.</w:t>
      </w:r>
    </w:p>
    <w:p>
      <w:pPr>
        <w:pStyle w:val="Option"/>
        <w:keepNext w:val="0"/>
        <w:ind w:left="317" w:hanging="317"/>
      </w:pPr>
      <w:r>
        <w:rPr>
          <w:b/>
        </w:rPr>
        <w:t xml:space="preserve">D. </w:t>
      </w:r>
      <w:r>
        <w:t>Explain that questions had to be asked before the documents were signed.</w:t>
      </w:r>
    </w:p>
    <w:p>
      <w:pPr>
        <w:keepNext/>
        <w:spacing w:before="60"/>
      </w:pPr>
      <w:r>
        <w:rPr>
          <w:rFonts w:ascii="Montserrat" w:hAnsi="Montserrat"/>
          <w:b/>
          <w:color w:val="17345B"/>
          <w:sz w:val="19"/>
        </w:rPr>
        <w:t>Correct Answer: A</w:t>
      </w:r>
    </w:p>
    <w:p>
      <w:pPr>
        <w:pStyle w:val="RationaleLabel"/>
        <w:keepNext/>
      </w:pPr>
      <w:r>
        <w:t>Option-by-Option Rationales</w:t>
      </w:r>
    </w:p>
    <w:p>
      <w:pPr>
        <w:spacing w:after="40"/>
        <w:ind w:left="259" w:hanging="259"/>
      </w:pPr>
      <w:r>
        <w:rPr>
          <w:b/>
          <w:color w:val="18A6A1"/>
        </w:rPr>
        <w:t xml:space="preserve">A. </w:t>
      </w:r>
      <w:r>
        <w:t>Correct. Later questions are part of the ongoing decision-making process and should be addressed directly.</w:t>
      </w:r>
    </w:p>
    <w:p>
      <w:pPr>
        <w:spacing w:after="40"/>
        <w:ind w:left="259" w:hanging="259"/>
      </w:pPr>
      <w:r>
        <w:rPr>
          <w:b/>
          <w:color w:val="18A6A1"/>
        </w:rPr>
        <w:t xml:space="preserve">B. </w:t>
      </w:r>
      <w:r>
        <w:t>Incorrect. Written material may help, but it does not replace a meaningful response to the current question.</w:t>
      </w:r>
    </w:p>
    <w:p>
      <w:pPr>
        <w:spacing w:after="40"/>
        <w:ind w:left="259" w:hanging="259"/>
      </w:pPr>
      <w:r>
        <w:rPr>
          <w:b/>
          <w:color w:val="18A6A1"/>
        </w:rPr>
        <w:t xml:space="preserve">C. </w:t>
      </w:r>
      <w:r>
        <w:t>Incorrect. A request for clarification does not establish that termination is necessary.</w:t>
      </w:r>
    </w:p>
    <w:p>
      <w:pPr>
        <w:spacing w:after="40"/>
        <w:ind w:left="259" w:hanging="259"/>
      </w:pPr>
      <w:r>
        <w:rPr>
          <w:b/>
          <w:color w:val="18A6A1"/>
        </w:rPr>
        <w:t xml:space="preserve">D. </w:t>
      </w:r>
      <w:r>
        <w:t>Incorrect. Client questions are not limited to the intake appointment.</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A prior signature never makes a later, reasonable treatment question irrelevant.</w:t>
            </w:r>
          </w:p>
        </w:tc>
      </w:tr>
    </w:tbl>
    <w:p>
      <w:pPr>
        <w:pStyle w:val="SmallNote"/>
        <w:spacing w:before="60"/>
      </w:pPr>
      <w:r>
        <w:rPr>
          <w:b/>
        </w:rPr>
        <w:t xml:space="preserve">Remediation: </w:t>
      </w:r>
      <w:r>
        <w:t>Workbook 1: Informed Consent, Minors, and Family Involvement — Chapter 1: Foundations of Informed Consent.</w:t>
      </w:r>
    </w:p>
    <w:p>
      <w:pPr>
        <w:pStyle w:val="SmallNote"/>
      </w:pPr>
      <w:r>
        <w:rPr>
          <w:b/>
        </w:rPr>
        <w:t xml:space="preserve">Internal control: </w:t>
      </w:r>
      <w:r>
        <w:t>MQB-0005 | WB1-C1-Q005 | Easy | Scenario-Based</w:t>
      </w:r>
    </w:p>
    <w:p>
      <w:pPr>
        <w:spacing w:after="40"/>
        <w:pBdr>
          <w:bottom w:val="single" w:sz="4" w:space="2" w:color="C9D3DD"/>
        </w:pBdr>
      </w:pPr>
    </w:p>
    <w:p>
      <w:pPr>
        <w:pStyle w:val="QuestionNumber"/>
        <w:keepNext/>
        <w:spacing w:before="140"/>
      </w:pPr>
      <w:r>
        <w:t xml:space="preserve">50. </w:t>
      </w:r>
      <w:r>
        <w:rPr>
          <w:b w:val="0"/>
          <w:color w:val="111111"/>
        </w:rPr>
        <w:t>During supervision, a registered AMFT’s confidence and years of experience are being treated as sufficient evidence of competence for a complex case. Which statement best reflects how competence may change over time?</w:t>
      </w:r>
    </w:p>
    <w:p>
      <w:pPr>
        <w:pStyle w:val="Option"/>
        <w:keepNext/>
        <w:ind w:left="317" w:hanging="317"/>
      </w:pPr>
      <w:r>
        <w:rPr>
          <w:b/>
        </w:rPr>
        <w:t xml:space="preserve">A. </w:t>
      </w:r>
      <w:r>
        <w:t>Once established, competence remains permanent unless the clinician’s license expires because legal authorization is treated as proof of competence.</w:t>
      </w:r>
    </w:p>
    <w:p>
      <w:pPr>
        <w:pStyle w:val="Option"/>
        <w:keepNext/>
        <w:ind w:left="317" w:hanging="317"/>
      </w:pPr>
      <w:r>
        <w:rPr>
          <w:b/>
        </w:rPr>
        <w:t xml:space="preserve">B. </w:t>
      </w:r>
      <w:r>
        <w:t>Competence is determined only by the clinician’s graduate education without further assessment of the governing facts.</w:t>
      </w:r>
    </w:p>
    <w:p>
      <w:pPr>
        <w:pStyle w:val="Option"/>
        <w:keepNext/>
        <w:ind w:left="317" w:hanging="317"/>
      </w:pPr>
      <w:r>
        <w:rPr>
          <w:b/>
        </w:rPr>
        <w:t xml:space="preserve">C. </w:t>
      </w:r>
      <w:r>
        <w:t>Competence may expand, become outdated, or be temporarily limited as knowledge, case demands, standards, and clinician functioning change.</w:t>
      </w:r>
    </w:p>
    <w:p>
      <w:pPr>
        <w:pStyle w:val="Option"/>
        <w:keepNext w:val="0"/>
        <w:ind w:left="317" w:hanging="317"/>
      </w:pPr>
      <w:r>
        <w:rPr>
          <w:b/>
        </w:rPr>
        <w:t xml:space="preserve">D. </w:t>
      </w:r>
      <w:r>
        <w:t>Competence changes only when a formal complaint is filed because the existing paperwork is treated as conclusive.</w:t>
      </w:r>
    </w:p>
    <w:p>
      <w:pPr>
        <w:keepNext/>
        <w:spacing w:before="60"/>
      </w:pPr>
      <w:r>
        <w:rPr>
          <w:rFonts w:ascii="Montserrat" w:hAnsi="Montserrat"/>
          <w:b/>
          <w:color w:val="17345B"/>
          <w:sz w:val="19"/>
        </w:rPr>
        <w:t>Correct Answer: C</w:t>
      </w:r>
    </w:p>
    <w:p>
      <w:pPr>
        <w:pStyle w:val="RationaleLabel"/>
        <w:keepNext/>
      </w:pPr>
      <w:r>
        <w:t>Option-by-Option Rationales</w:t>
      </w:r>
    </w:p>
    <w:p>
      <w:pPr>
        <w:spacing w:after="40"/>
        <w:ind w:left="259" w:hanging="259"/>
      </w:pPr>
      <w:r>
        <w:rPr>
          <w:b/>
          <w:color w:val="18A6A1"/>
        </w:rPr>
        <w:t xml:space="preserve">A. </w:t>
      </w:r>
      <w:r>
        <w:t>Incorrect. Competence requires ongoing monitoring and is not permanently guaranteed by licensure.</w:t>
      </w:r>
    </w:p>
    <w:p>
      <w:pPr>
        <w:spacing w:after="40"/>
        <w:ind w:left="259" w:hanging="259"/>
      </w:pPr>
      <w:r>
        <w:rPr>
          <w:b/>
          <w:color w:val="18A6A1"/>
        </w:rPr>
        <w:t xml:space="preserve">B. </w:t>
      </w:r>
      <w:r>
        <w:t>Incorrect. Graduate education is foundational, but later training, experience, current knowledge, and functioning also matter.</w:t>
      </w:r>
    </w:p>
    <w:p>
      <w:pPr>
        <w:spacing w:after="40"/>
        <w:ind w:left="259" w:hanging="259"/>
      </w:pPr>
      <w:r>
        <w:rPr>
          <w:b/>
          <w:color w:val="18A6A1"/>
        </w:rPr>
        <w:t xml:space="preserve">C. </w:t>
      </w:r>
      <w:r>
        <w:t>Correct. This accurately reflects the dynamic and context-specific nature of professional competence.</w:t>
      </w:r>
    </w:p>
    <w:p>
      <w:pPr>
        <w:spacing w:after="40"/>
        <w:ind w:left="259" w:hanging="259"/>
      </w:pPr>
      <w:r>
        <w:rPr>
          <w:b/>
          <w:color w:val="18A6A1"/>
        </w:rPr>
        <w:t xml:space="preserve">D. </w:t>
      </w:r>
      <w:r>
        <w:t>Incorrect. A complaint is not required for competence to change or for a clinician to recognize a limitation.</w:t>
      </w:r>
    </w:p>
    <w:tbl>
      <w:tblPr>
        <w:tblW w:type="auto" w:w="0"/>
        <w:jc w:val="center"/>
        <w:tblLayout w:type="fixed"/>
        <w:tblLook w:firstColumn="1" w:firstRow="1" w:lastColumn="0" w:lastRow="0" w:noHBand="0" w:noVBand="1" w:val="04A0"/>
      </w:tblPr>
      <w:tblGrid>
        <w:gridCol w:w="9288"/>
      </w:tblGrid>
      <w:tr>
        <w:tc>
          <w:tcPr>
            <w:tcW w:type="dxa" w:w="10340"/>
            <w:shd w:fill="FFF6DE"/>
            <w:tcMar>
              <w:top w:w="90" w:type="dxa"/>
              <w:start w:w="120" w:type="dxa"/>
              <w:bottom w:w="90" w:type="dxa"/>
              <w:end w:w="120" w:type="dxa"/>
            </w:tcMar>
          </w:tcPr>
          <w:p>
            <w:r/>
            <w:r>
              <w:rPr>
                <w:rFonts w:ascii="Montserrat" w:hAnsi="Montserrat"/>
                <w:b/>
                <w:color w:val="C89B32"/>
                <w:sz w:val="17"/>
              </w:rPr>
              <w:t xml:space="preserve">CTA EXAM STRATEGY: </w:t>
            </w:r>
            <w:r>
              <w:rPr>
                <w:rFonts w:ascii="Montserrat" w:hAnsi="Montserrat"/>
                <w:sz w:val="17"/>
              </w:rPr>
              <w:t>Competence is current and contextual—not a permanent status earned at one point in a career.</w:t>
            </w:r>
          </w:p>
        </w:tc>
      </w:tr>
    </w:tbl>
    <w:p>
      <w:pPr>
        <w:pStyle w:val="SmallNote"/>
        <w:spacing w:before="60"/>
      </w:pPr>
      <w:r>
        <w:rPr>
          <w:b/>
        </w:rPr>
        <w:t xml:space="preserve">Remediation: </w:t>
      </w:r>
      <w:r>
        <w:t>Workbook 3: Professional Competence — Chapter 1: Professional Competence Foundations.</w:t>
      </w:r>
    </w:p>
    <w:p>
      <w:pPr>
        <w:pStyle w:val="SmallNote"/>
      </w:pPr>
      <w:r>
        <w:rPr>
          <w:b/>
        </w:rPr>
        <w:t xml:space="preserve">Internal control: </w:t>
      </w:r>
      <w:r>
        <w:t>MQB-0232 | WB3-C1-Q011 | Moderate | Concept Application</w:t>
      </w:r>
    </w:p>
    <w:p>
      <w:pPr>
        <w:spacing w:after="40"/>
        <w:pBdr>
          <w:bottom w:val="single" w:sz="4" w:space="2" w:color="C9D3DD"/>
        </w:pBdr>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93"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ontserrat" w:hAnsi="Montserrat"/>
        <w:color w:val="666666"/>
        <w:sz w:val="15"/>
      </w:rPr>
      <w:t xml:space="preserve">© 2026 Clinical Training &amp; Supervision Academy  |  </w:t>
    </w:r>
    <w:r>
      <w:rPr>
        <w:rFonts w:ascii="Montserrat" w:hAnsi="Montserrat"/>
        <w:color w:val="666666"/>
        <w:sz w:val="15"/>
      </w:rPr>
      <w:t xml:space="preserve">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18A6A1"/>
      </w:pBdr>
    </w:pPr>
    <w:r/>
    <w:r>
      <w:rPr>
        <w:rFonts w:ascii="Montserrat" w:hAnsi="Montserrat"/>
        <w:b/>
        <w:color w:val="17345B"/>
        <w:sz w:val="15"/>
      </w:rPr>
      <w:t>CTA LMFT CALIFORNIA LAW &amp; ETHICS EXAM PREPARATION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Montserrat" w:hAnsi="Montserrat"/>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Montserrat" w:hAnsi="Montserrat"/>
      <w:b/>
      <w:bCs/>
      <w:color w:val="1734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Montserrat" w:hAnsi="Montserrat"/>
      <w:b/>
      <w:bCs/>
      <w:color w:val="18A6A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ontserrat" w:hAnsi="Montserrat"/>
      <w:b/>
      <w:bCs/>
      <w:color w:val="1734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Montserrat" w:hAnsi="Montserrat"/>
      <w:b/>
      <w:color w:val="17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Montserrat" w:hAnsi="Montserrat"/>
      <w:b w:val="0"/>
      <w:i/>
      <w:iCs/>
      <w:color w:val="18A6A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Number">
    <w:name w:val="Question Number"/>
    <w:pPr>
      <w:spacing w:after="60"/>
    </w:pPr>
    <w:rPr>
      <w:rFonts w:ascii="Montserrat" w:hAnsi="Montserrat"/>
      <w:b/>
      <w:color w:val="17345B"/>
      <w:sz w:val="22"/>
    </w:rPr>
  </w:style>
  <w:style w:type="paragraph" w:customStyle="1" w:styleId="Option">
    <w:name w:val="Option"/>
    <w:pPr>
      <w:spacing w:after="60"/>
    </w:pPr>
    <w:rPr>
      <w:rFonts w:ascii="Montserrat" w:hAnsi="Montserrat"/>
      <w:b w:val="0"/>
      <w:color w:val="111111"/>
      <w:sz w:val="19"/>
    </w:rPr>
  </w:style>
  <w:style w:type="paragraph" w:customStyle="1" w:styleId="SmallNote">
    <w:name w:val="Small Note"/>
    <w:pPr>
      <w:spacing w:after="60"/>
    </w:pPr>
    <w:rPr>
      <w:rFonts w:ascii="Montserrat" w:hAnsi="Montserrat"/>
      <w:b w:val="0"/>
      <w:color w:val="666666"/>
      <w:sz w:val="16"/>
    </w:rPr>
  </w:style>
  <w:style w:type="paragraph" w:customStyle="1" w:styleId="Controlled">
    <w:name w:val="Controlled"/>
    <w:pPr>
      <w:spacing w:after="60"/>
    </w:pPr>
    <w:rPr>
      <w:rFonts w:ascii="Montserrat" w:hAnsi="Montserrat"/>
      <w:b/>
      <w:color w:val="9D2B2B"/>
      <w:sz w:val="18"/>
    </w:rPr>
  </w:style>
  <w:style w:type="paragraph" w:customStyle="1" w:styleId="RationaleLabel">
    <w:name w:val="Rationale Label"/>
    <w:pPr>
      <w:spacing w:after="60"/>
    </w:pPr>
    <w:rPr>
      <w:rFonts w:ascii="Montserrat" w:hAnsi="Montserrat"/>
      <w:b/>
      <w:color w:val="18A6A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EP Practice Examination A Controlled Answer Key and Detailed Rationales v1.0</dc:title>
  <dc:subject>CTA LMFT California Law and Ethics Exam Preparation Program cumulative assessment</dc:subject>
  <dc:creator>python-docx</dc:creator>
  <cp:keywords>CTA, LMFT, California Law and Ethics, exam preparation, CTA-EP-001</cp:keywords>
  <dc:description>LMFT-only release. Candidate materials must remain separated from controlled answer keys and detailed rationales.</dc:description>
  <cp:lastModifiedBy/>
  <cp:revision>1</cp:revision>
  <dcterms:created xsi:type="dcterms:W3CDTF">2013-12-23T23:15:00Z</dcterms:created>
  <dcterms:modified xsi:type="dcterms:W3CDTF">2013-12-23T23:15:00Z</dcterms:modified>
  <cp:category/>
</cp:coreProperties>
</file>