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Practice Examination A</w:t>
      </w:r>
    </w:p>
    <w:p>
      <w:pPr>
        <w:jc w:val="center"/>
      </w:pPr>
      <w:r>
        <w:rPr>
          <w:rFonts w:ascii="Montserrat" w:hAnsi="Montserrat"/>
          <w:color w:val="18A6A1"/>
          <w:sz w:val="28"/>
        </w:rPr>
        <w:t>Learner Examination Booklet</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50 one-best-answer questions</w:t>
      </w:r>
    </w:p>
    <w:tbl>
      <w:tblPr>
        <w:tblW w:type="auto" w:w="0"/>
        <w:jc w:val="center"/>
        <w:tblLayout w:type="fixed"/>
        <w:tblLook w:firstColumn="1" w:firstRow="1" w:lastColumn="0" w:lastRow="0" w:noHBand="0" w:noVBand="1" w:val="04A0"/>
      </w:tblPr>
      <w:tblGrid>
        <w:gridCol w:w="8784"/>
      </w:tblGrid>
      <w:tr>
        <w:tc>
          <w:tcPr>
            <w:tcW w:type="dxa" w:w="10340"/>
            <w:shd w:fill="E7F7F6"/>
            <w:tcMar>
              <w:top w:w="80" w:type="dxa"/>
              <w:start w:w="90" w:type="dxa"/>
              <w:bottom w:w="80" w:type="dxa"/>
              <w:end w:w="90" w:type="dxa"/>
            </w:tcMar>
            <w:vAlign w:val="center"/>
          </w:tcPr>
          <w:p>
            <w:pPr>
              <w:spacing w:after="0" w:before="0"/>
              <w:jc w:val="center"/>
            </w:pPr>
            <w:r/>
            <w:r>
              <w:rPr>
                <w:rFonts w:ascii="Montserrat" w:hAnsi="Montserrat"/>
                <w:b/>
                <w:color w:val="17345B"/>
                <w:sz w:val="19"/>
              </w:rPr>
              <w:t>ANSWER-HIDDEN LEARNER VERSION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EDF3F8"/>
            <w:tcMar>
              <w:top w:w="130" w:type="dxa"/>
              <w:start w:w="160" w:type="dxa"/>
              <w:bottom w:w="130" w:type="dxa"/>
              <w:end w:w="160" w:type="dxa"/>
            </w:tcMar>
          </w:tcPr>
          <w:p>
            <w:r/>
            <w:r>
              <w:rPr>
                <w:rFonts w:ascii="Montserrat" w:hAnsi="Montserrat"/>
                <w:b/>
                <w:color w:val="17345B"/>
                <w:sz w:val="22"/>
              </w:rPr>
              <w:t>Instructions</w:t>
            </w:r>
          </w:p>
          <w:p>
            <w:pPr>
              <w:spacing w:after="40"/>
              <w:ind w:left="144" w:hanging="144"/>
            </w:pPr>
            <w:r>
              <w:rPr>
                <w:rFonts w:ascii="Montserrat" w:hAnsi="Montserrat"/>
                <w:sz w:val="19"/>
              </w:rPr>
              <w:t>• Complete the examination before reviewing any answer key, rationale booklet, or remediation map.</w:t>
            </w:r>
          </w:p>
          <w:p>
            <w:pPr>
              <w:spacing w:after="40"/>
              <w:ind w:left="144" w:hanging="144"/>
            </w:pPr>
            <w:r>
              <w:rPr>
                <w:rFonts w:ascii="Montserrat" w:hAnsi="Montserrat"/>
                <w:sz w:val="19"/>
              </w:rPr>
              <w:t>• Select the single best response for each question. Mark answers on the detachable answer sheet at the end of this booklet.</w:t>
            </w:r>
          </w:p>
          <w:p>
            <w:pPr>
              <w:spacing w:after="40"/>
              <w:ind w:left="144" w:hanging="144"/>
            </w:pPr>
            <w:r>
              <w:rPr>
                <w:rFonts w:ascii="Montserrat" w:hAnsi="Montserrat"/>
                <w:sz w:val="19"/>
              </w:rPr>
              <w:t>• Read qualifiers such as FIRST, NEXT, BEST, MOST, INITIAL, and PRIMARY carefully.</w:t>
            </w:r>
          </w:p>
          <w:p>
            <w:pPr>
              <w:spacing w:after="40"/>
              <w:ind w:left="144" w:hanging="144"/>
            </w:pPr>
            <w:r>
              <w:rPr>
                <w:rFonts w:ascii="Montserrat" w:hAnsi="Montserrat"/>
                <w:sz w:val="19"/>
              </w:rPr>
              <w:t>• Answer every question. When uncertain, identify the controlling legal, ethical, clinical, or professional issue and eliminate weaker responses.</w:t>
            </w:r>
          </w:p>
          <w:p>
            <w:pPr>
              <w:spacing w:after="40"/>
              <w:ind w:left="144" w:hanging="144"/>
            </w:pPr>
            <w:r>
              <w:rPr>
                <w:rFonts w:ascii="Montserrat" w:hAnsi="Montserrat"/>
                <w:sz w:val="19"/>
              </w:rPr>
              <w:t>• This CTA practice examination is an independent educational resource and is not an official BBS or Pearson VUE examination.</w:t>
            </w:r>
          </w:p>
          <w:p>
            <w:pPr>
              <w:spacing w:after="40"/>
              <w:ind w:left="144" w:hanging="144"/>
            </w:pPr>
            <w:r>
              <w:rPr>
                <w:rFonts w:ascii="Montserrat" w:hAnsi="Montserrat"/>
                <w:sz w:val="19"/>
              </w:rPr>
              <w:t>• Participation does not guarantee passage or determine examination eligibility.</w:t>
            </w:r>
          </w:p>
        </w:tc>
      </w:tr>
    </w:tbl>
    <w:p/>
    <w:p>
      <w:pPr>
        <w:pStyle w:val="Heading1"/>
      </w:pPr>
      <w:r>
        <w:t>Questions</w:t>
      </w:r>
    </w:p>
    <w:p>
      <w:pPr>
        <w:pStyle w:val="QuestionNumber"/>
        <w:keepNext/>
        <w:spacing w:before="140"/>
      </w:pPr>
      <w:r>
        <w:t xml:space="preserve">1. </w:t>
      </w:r>
      <w:r>
        <w:rPr>
          <w:b w:val="0"/>
          <w:color w:val="111111"/>
        </w:rPr>
        <w:t>A therapist notices feeling frustrated and unusually protective toward a client.</w:t>
        <w:br/>
        <w:t>Which statement is most accurate?</w:t>
      </w:r>
    </w:p>
    <w:p>
      <w:pPr>
        <w:pStyle w:val="Option"/>
        <w:keepNext/>
        <w:ind w:left="317" w:hanging="317"/>
      </w:pPr>
      <w:r>
        <w:rPr>
          <w:b/>
        </w:rPr>
        <w:t xml:space="preserve">A. </w:t>
      </w:r>
      <w:r>
        <w:t>The feelings themselves do not establish misconduct, but they should be recognized and managed if they may influence professional judgment.</w:t>
      </w:r>
    </w:p>
    <w:p>
      <w:pPr>
        <w:pStyle w:val="Option"/>
        <w:keepNext/>
        <w:ind w:left="317" w:hanging="317"/>
      </w:pPr>
      <w:r>
        <w:rPr>
          <w:b/>
        </w:rPr>
        <w:t xml:space="preserve">B. </w:t>
      </w:r>
      <w:r>
        <w:t>The clinician has already committed a boundary violation by experiencing the feelings without further assessment of the governing facts.</w:t>
      </w:r>
    </w:p>
    <w:p>
      <w:pPr>
        <w:pStyle w:val="Option"/>
        <w:keepNext/>
        <w:ind w:left="317" w:hanging="317"/>
      </w:pPr>
      <w:r>
        <w:rPr>
          <w:b/>
        </w:rPr>
        <w:t xml:space="preserve">C. </w:t>
      </w:r>
      <w:r>
        <w:t>Disclose every emotional reaction to the client before confirming legal authority and the permitted scope.</w:t>
      </w:r>
    </w:p>
    <w:p>
      <w:pPr>
        <w:pStyle w:val="Option"/>
        <w:keepNext w:val="0"/>
        <w:ind w:left="317" w:hanging="317"/>
      </w:pPr>
      <w:r>
        <w:rPr>
          <w:b/>
        </w:rPr>
        <w:t xml:space="preserve">D. </w:t>
      </w:r>
      <w:r>
        <w:t>Emotional reactions are irrelevant to boundary decisions without further assessment of the governing facts.</w:t>
      </w:r>
    </w:p>
    <w:p>
      <w:pPr>
        <w:pStyle w:val="QuestionNumber"/>
        <w:keepNext/>
        <w:spacing w:before="140"/>
      </w:pPr>
      <w:r>
        <w:t xml:space="preserve">2. </w:t>
      </w:r>
      <w:r>
        <w:rPr>
          <w:b w:val="0"/>
          <w:color w:val="111111"/>
        </w:rPr>
        <w:t>A treating therapist receives an attorney’s request to “perform a custody evaluation,” a subpoena for the full record, and a message from the client stating that all therapy information must remain private. The therapist has no custody-evaluation training. Which response best integrates the therapist’s responsibilities?</w:t>
      </w:r>
    </w:p>
    <w:p>
      <w:pPr>
        <w:pStyle w:val="Option"/>
        <w:keepNext/>
        <w:ind w:left="317" w:hanging="317"/>
      </w:pPr>
      <w:r>
        <w:rPr>
          <w:b/>
        </w:rPr>
        <w:t xml:space="preserve">A. </w:t>
      </w:r>
      <w:r>
        <w:t>Conduct the custody evaluation, release the entire record, and explain that the subpoena eliminates every confidentiality duty without further assessment of the governing facts while treating that single factor as controlling.</w:t>
      </w:r>
    </w:p>
    <w:p>
      <w:pPr>
        <w:pStyle w:val="Option"/>
        <w:keepNext/>
        <w:ind w:left="317" w:hanging="317"/>
      </w:pPr>
      <w:r>
        <w:rPr>
          <w:b/>
        </w:rPr>
        <w:t xml:space="preserve">B. </w:t>
      </w:r>
      <w:r>
        <w:t>Ignore the attorney and subpoena because treatment information can never be disclosed until a complaint, injury, or clearer problem occurs.</w:t>
      </w:r>
    </w:p>
    <w:p>
      <w:pPr>
        <w:pStyle w:val="Option"/>
        <w:keepNext/>
        <w:ind w:left="317" w:hanging="317"/>
      </w:pPr>
      <w:r>
        <w:rPr>
          <w:b/>
        </w:rPr>
        <w:t xml:space="preserve">C. </w:t>
      </w:r>
      <w:r>
        <w:t>Terminate treatment immediately and give a custody recommendation based on the existing record before considering a less disruptive protective response.</w:t>
      </w:r>
    </w:p>
    <w:p>
      <w:pPr>
        <w:pStyle w:val="Option"/>
        <w:keepNext w:val="0"/>
        <w:ind w:left="317" w:hanging="317"/>
      </w:pPr>
      <w:r>
        <w:rPr>
          <w:b/>
        </w:rPr>
        <w:t xml:space="preserve">D. </w:t>
      </w:r>
      <w:r>
        <w:t>Clarify and preserve the treatment role, decline the unqualified and conflicting custody-evaluator role, analyze the subpoena and privilege through lawful procedures, communicate accurately with the client, and disclose only information lawfully authorized or required.</w:t>
      </w:r>
    </w:p>
    <w:p>
      <w:pPr>
        <w:pStyle w:val="QuestionNumber"/>
        <w:keepNext/>
        <w:spacing w:before="140"/>
      </w:pPr>
      <w:r>
        <w:t xml:space="preserve">3. </w:t>
      </w:r>
      <w:r>
        <w:rPr>
          <w:b w:val="0"/>
          <w:color w:val="111111"/>
        </w:rPr>
        <w:t>A therapist receives credible but incomplete information that a colleague may be practicing while impaired. No immediate client danger is established. What should the therapist do FIRST?</w:t>
      </w:r>
    </w:p>
    <w:p>
      <w:pPr>
        <w:pStyle w:val="Option"/>
        <w:keepNext/>
        <w:ind w:left="317" w:hanging="317"/>
      </w:pPr>
      <w:r>
        <w:rPr>
          <w:b/>
        </w:rPr>
        <w:t xml:space="preserve">A. </w:t>
      </w:r>
      <w:r>
        <w:t>Publicly accuse the colleague to warn everyone without further assessment of the governing facts.</w:t>
      </w:r>
    </w:p>
    <w:p>
      <w:pPr>
        <w:pStyle w:val="Option"/>
        <w:keepNext/>
        <w:ind w:left="317" w:hanging="317"/>
      </w:pPr>
      <w:r>
        <w:rPr>
          <w:b/>
        </w:rPr>
        <w:t xml:space="preserve">B. </w:t>
      </w:r>
      <w:r>
        <w:t>Clarify facts within role, assess client risk and applicable duties, and obtain timely ethical, supervisory, legal, or organizational consultation before choosing the proper channel.</w:t>
      </w:r>
    </w:p>
    <w:p>
      <w:pPr>
        <w:pStyle w:val="Option"/>
        <w:keepNext/>
        <w:ind w:left="317" w:hanging="317"/>
      </w:pPr>
      <w:r>
        <w:rPr>
          <w:b/>
        </w:rPr>
        <w:t xml:space="preserve">C. </w:t>
      </w:r>
      <w:r>
        <w:t>Ignore the information because only clients may raise concerns until a complaint, injury, or clearer problem occurs while treating that single factor as controlling.</w:t>
      </w:r>
    </w:p>
    <w:p>
      <w:pPr>
        <w:pStyle w:val="Option"/>
        <w:keepNext w:val="0"/>
        <w:ind w:left="317" w:hanging="317"/>
      </w:pPr>
      <w:r>
        <w:rPr>
          <w:b/>
        </w:rPr>
        <w:t xml:space="preserve">D. </w:t>
      </w:r>
      <w:r>
        <w:t>Automatically file complaints with every possible agency without further assessment of the governing facts.</w:t>
      </w:r>
    </w:p>
    <w:p>
      <w:pPr>
        <w:pStyle w:val="QuestionNumber"/>
        <w:keepNext/>
        <w:spacing w:before="140"/>
      </w:pPr>
      <w:r>
        <w:t xml:space="preserve">4. </w:t>
      </w:r>
      <w:r>
        <w:rPr>
          <w:b w:val="0"/>
          <w:color w:val="111111"/>
        </w:rPr>
        <w:t>An AMFT’s professional profile states only, “Jordan Lee, Therapist - accepting private clients,” and gives a registration number. Which concern is most significant under the 2026 BBS advertising rules?</w:t>
      </w:r>
    </w:p>
    <w:p>
      <w:pPr>
        <w:pStyle w:val="Option"/>
        <w:keepNext/>
        <w:ind w:left="317" w:hanging="317"/>
      </w:pPr>
      <w:r>
        <w:rPr>
          <w:b/>
        </w:rPr>
        <w:t xml:space="preserve">A. </w:t>
      </w:r>
      <w:r>
        <w:t>The profile may imply licensed independent practice and omits the complete registration title, employer or volunteer entity, and statement of supervision by a licensed person.</w:t>
      </w:r>
    </w:p>
    <w:p>
      <w:pPr>
        <w:pStyle w:val="Option"/>
        <w:keepNext/>
        <w:ind w:left="317" w:hanging="317"/>
      </w:pPr>
      <w:r>
        <w:rPr>
          <w:b/>
        </w:rPr>
        <w:t xml:space="preserve">B. </w:t>
      </w:r>
      <w:r>
        <w:t>Registered AMFTs are prohibited from using any social-media advertising without further assessment of the governing facts.</w:t>
      </w:r>
    </w:p>
    <w:p>
      <w:pPr>
        <w:pStyle w:val="Option"/>
        <w:keepNext/>
        <w:ind w:left="317" w:hanging="317"/>
      </w:pPr>
      <w:r>
        <w:rPr>
          <w:b/>
        </w:rPr>
        <w:t xml:space="preserve">C. </w:t>
      </w:r>
      <w:r>
        <w:t>The only missing item is the supervisor’s home address without further assessment of the governing facts while treating that single factor as controlling.</w:t>
      </w:r>
    </w:p>
    <w:p>
      <w:pPr>
        <w:pStyle w:val="Option"/>
        <w:keepNext w:val="0"/>
        <w:ind w:left="317" w:hanging="317"/>
      </w:pPr>
      <w:r>
        <w:rPr>
          <w:b/>
        </w:rPr>
        <w:t xml:space="preserve">D. </w:t>
      </w:r>
      <w:r>
        <w:t>The profile is compliant because a registration number appears without further assessment of the governing facts.</w:t>
      </w:r>
    </w:p>
    <w:p>
      <w:pPr>
        <w:pStyle w:val="QuestionNumber"/>
        <w:keepNext/>
        <w:spacing w:before="140"/>
      </w:pPr>
      <w:r>
        <w:t xml:space="preserve">5. </w:t>
      </w:r>
      <w:r>
        <w:rPr>
          <w:b w:val="0"/>
          <w:color w:val="111111"/>
        </w:rPr>
        <w:t>A therapist concludes that a client’s spiritual experiences are symptoms of a psychotic disorder. The therapist has not asked what the experiences mean to the client, assessed whether they are accepted within the client’s community, evaluated distress or impairment, or considered alternative explanations. When the client objects, the therapist becomes defensive.</w:t>
        <w:br/>
        <w:t>What is the most appropriate response?</w:t>
      </w:r>
    </w:p>
    <w:p>
      <w:pPr>
        <w:pStyle w:val="Option"/>
        <w:keepNext/>
        <w:ind w:left="317" w:hanging="317"/>
      </w:pPr>
      <w:r>
        <w:rPr>
          <w:b/>
        </w:rPr>
        <w:t xml:space="preserve">A. </w:t>
      </w:r>
      <w:r>
        <w:t>Retain the diagnosis because changing it would undermine the clinician’s authority without further assessment of the governing facts.</w:t>
      </w:r>
    </w:p>
    <w:p>
      <w:pPr>
        <w:pStyle w:val="Option"/>
        <w:keepNext/>
        <w:ind w:left="317" w:hanging="317"/>
      </w:pPr>
      <w:r>
        <w:rPr>
          <w:b/>
        </w:rPr>
        <w:t xml:space="preserve">B. </w:t>
      </w:r>
      <w:r>
        <w:t>Refer immediately because the clinician and client hold different spiritual beliefs before considering a less disruptive protective response.</w:t>
      </w:r>
    </w:p>
    <w:p>
      <w:pPr>
        <w:pStyle w:val="Option"/>
        <w:keepNext/>
        <w:ind w:left="317" w:hanging="317"/>
      </w:pPr>
      <w:r>
        <w:rPr>
          <w:b/>
        </w:rPr>
        <w:t xml:space="preserve">C. </w:t>
      </w:r>
      <w:r>
        <w:t>Ask the client’s spiritual leader to determine the psychiatric diagnosis and rely on that response instead of professional judgment while treating that single factor as controlling.</w:t>
      </w:r>
    </w:p>
    <w:p>
      <w:pPr>
        <w:pStyle w:val="Option"/>
        <w:keepNext w:val="0"/>
        <w:ind w:left="317" w:hanging="317"/>
      </w:pPr>
      <w:r>
        <w:rPr>
          <w:b/>
        </w:rPr>
        <w:t xml:space="preserve">D. </w:t>
      </w:r>
      <w:r>
        <w:t>Pause the unsupported conclusion, listen to the client, assess meaning and clinical impact, consider alternative explanations, obtain consultation or education, and correct inaccurate records as needed.</w:t>
      </w:r>
    </w:p>
    <w:p>
      <w:pPr>
        <w:pStyle w:val="QuestionNumber"/>
        <w:keepNext/>
        <w:spacing w:before="140"/>
      </w:pPr>
      <w:r>
        <w:t xml:space="preserve">6. </w:t>
      </w:r>
      <w:r>
        <w:rPr>
          <w:b w:val="0"/>
          <w:color w:val="111111"/>
        </w:rPr>
        <w:t>An LMFT concludes that a client is resistant and notices only facts supporting that view while discounting evidence that the intervention is ineffective. What should the LMFT address?</w:t>
      </w:r>
    </w:p>
    <w:p>
      <w:pPr>
        <w:pStyle w:val="Option"/>
        <w:keepNext/>
        <w:ind w:left="317" w:hanging="317"/>
      </w:pPr>
      <w:r>
        <w:rPr>
          <w:b/>
        </w:rPr>
        <w:t xml:space="preserve">A. </w:t>
      </w:r>
      <w:r>
        <w:t>Confirmation bias and the need to reassess the formulation and treatment response.</w:t>
      </w:r>
    </w:p>
    <w:p>
      <w:pPr>
        <w:pStyle w:val="Option"/>
        <w:keepNext/>
        <w:ind w:left="317" w:hanging="317"/>
      </w:pPr>
      <w:r>
        <w:rPr>
          <w:b/>
        </w:rPr>
        <w:t xml:space="preserve">B. </w:t>
      </w:r>
      <w:r>
        <w:t>A legal requirement to terminate immediately without further assessment of the governing facts.</w:t>
      </w:r>
    </w:p>
    <w:p>
      <w:pPr>
        <w:pStyle w:val="Option"/>
        <w:keepNext/>
        <w:ind w:left="317" w:hanging="317"/>
      </w:pPr>
      <w:r>
        <w:rPr>
          <w:b/>
        </w:rPr>
        <w:t xml:space="preserve">C. </w:t>
      </w:r>
      <w:r>
        <w:t>Proof that the client lacks capacity without further assessment of the governing facts.</w:t>
      </w:r>
    </w:p>
    <w:p>
      <w:pPr>
        <w:pStyle w:val="Option"/>
        <w:keepNext w:val="0"/>
        <w:ind w:left="317" w:hanging="317"/>
      </w:pPr>
      <w:r>
        <w:rPr>
          <w:b/>
        </w:rPr>
        <w:t xml:space="preserve">D. </w:t>
      </w:r>
      <w:r>
        <w:t>The need to hide the lack of progress without further assessment of the governing facts.</w:t>
      </w:r>
    </w:p>
    <w:p>
      <w:pPr>
        <w:pStyle w:val="QuestionNumber"/>
        <w:keepNext/>
        <w:spacing w:before="140"/>
      </w:pPr>
      <w:r>
        <w:t xml:space="preserve">7. </w:t>
      </w:r>
      <w:r>
        <w:rPr>
          <w:b w:val="0"/>
          <w:color w:val="111111"/>
        </w:rPr>
        <w:t>A record has reached the ordinary minimum retention period, but the practice receives notice of a client complaint and a preservation request. What should the clinician do next?</w:t>
      </w:r>
    </w:p>
    <w:p>
      <w:pPr>
        <w:pStyle w:val="Option"/>
        <w:keepNext/>
        <w:ind w:left="317" w:hanging="317"/>
      </w:pPr>
      <w:r>
        <w:rPr>
          <w:b/>
        </w:rPr>
        <w:t xml:space="preserve">A. </w:t>
      </w:r>
      <w:r>
        <w:t>Destroy the record on schedule because the statutory minimum period has ended.</w:t>
      </w:r>
    </w:p>
    <w:p>
      <w:pPr>
        <w:pStyle w:val="Option"/>
        <w:keepNext/>
        <w:ind w:left="317" w:hanging="317"/>
      </w:pPr>
      <w:r>
        <w:rPr>
          <w:b/>
        </w:rPr>
        <w:t xml:space="preserve">B. </w:t>
      </w:r>
      <w:r>
        <w:t>Keep only the final progress note because the complaint does not require the complete file.</w:t>
      </w:r>
    </w:p>
    <w:p>
      <w:pPr>
        <w:pStyle w:val="Option"/>
        <w:keepNext/>
        <w:ind w:left="317" w:hanging="317"/>
      </w:pPr>
      <w:r>
        <w:rPr>
          <w:b/>
        </w:rPr>
        <w:t xml:space="preserve">C. </w:t>
      </w:r>
      <w:r>
        <w:t>Suspend destruction and preserve the relevant record while the complaint or legal-hold duty remains active.</w:t>
      </w:r>
    </w:p>
    <w:p>
      <w:pPr>
        <w:pStyle w:val="Option"/>
        <w:keepNext w:val="0"/>
        <w:ind w:left="317" w:hanging="317"/>
      </w:pPr>
      <w:r>
        <w:rPr>
          <w:b/>
        </w:rPr>
        <w:t xml:space="preserve">D. </w:t>
      </w:r>
      <w:r>
        <w:t>Transfer the record to the client and delete every practice copy immediately.</w:t>
      </w:r>
    </w:p>
    <w:p>
      <w:pPr>
        <w:pStyle w:val="QuestionNumber"/>
        <w:keepNext/>
        <w:spacing w:before="140"/>
      </w:pPr>
      <w:r>
        <w:t xml:space="preserve">8. </w:t>
      </w:r>
      <w:r>
        <w:rPr>
          <w:b w:val="0"/>
          <w:color w:val="111111"/>
        </w:rPr>
        <w:t>A therapist concludes during the first session that a client is irresponsible and unlikely to improve. The therapist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Option"/>
        <w:keepNext/>
        <w:ind w:left="317" w:hanging="317"/>
      </w:pPr>
      <w:r>
        <w:rPr>
          <w:b/>
        </w:rPr>
        <w:t xml:space="preserve">A. </w:t>
      </w:r>
      <w:r>
        <w:t>Discharge the client because several pieces of information support the clinician’s first impression without further assessment of the governing facts.</w:t>
      </w:r>
    </w:p>
    <w:p>
      <w:pPr>
        <w:pStyle w:val="Option"/>
        <w:keepNext/>
        <w:ind w:left="317" w:hanging="317"/>
      </w:pPr>
      <w:r>
        <w:rPr>
          <w:b/>
        </w:rPr>
        <w:t xml:space="preserve">B. </w:t>
      </w:r>
      <w:r>
        <w:t>Retain the conclusion but soften the language used with the client without further assessment of the governing facts.</w:t>
      </w:r>
    </w:p>
    <w:p>
      <w:pPr>
        <w:pStyle w:val="Option"/>
        <w:keepNext/>
        <w:ind w:left="317" w:hanging="317"/>
      </w:pPr>
      <w:r>
        <w:rPr>
          <w:b/>
        </w:rPr>
        <w:t xml:space="preserve">C. </w:t>
      </w:r>
      <w:r>
        <w:t>Separate facts from interpretations, examine contradictory evidence, explore barriers with the client, obtain objective consultation, correct inaccurate documentation, and reconsider the discharge recommendation.</w:t>
      </w:r>
    </w:p>
    <w:p>
      <w:pPr>
        <w:pStyle w:val="Option"/>
        <w:keepNext w:val="0"/>
        <w:ind w:left="317" w:hanging="317"/>
      </w:pPr>
      <w:r>
        <w:rPr>
          <w:b/>
        </w:rPr>
        <w:t xml:space="preserve">D. </w:t>
      </w:r>
      <w:r>
        <w:t>Transfer the client immediately because the clinician’s first impression cannot be changed before considering a less disruptive protective response.</w:t>
      </w:r>
    </w:p>
    <w:p>
      <w:pPr>
        <w:pStyle w:val="QuestionNumber"/>
        <w:keepNext/>
        <w:spacing w:before="140"/>
      </w:pPr>
      <w:r>
        <w:t xml:space="preserve">9. </w:t>
      </w:r>
      <w:r>
        <w:rPr>
          <w:b w:val="0"/>
          <w:color w:val="111111"/>
        </w:rP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Option"/>
        <w:keepNext/>
        <w:ind w:left="317" w:hanging="317"/>
      </w:pPr>
      <w:r>
        <w:rPr>
          <w:b/>
        </w:rPr>
        <w:t xml:space="preserve">A. </w:t>
      </w:r>
      <w:r>
        <w:t>The conduct occurred outside the clinician’s office without further assessment of the governing facts.</w:t>
      </w:r>
    </w:p>
    <w:p>
      <w:pPr>
        <w:pStyle w:val="Option"/>
        <w:keepNext/>
        <w:ind w:left="317" w:hanging="317"/>
      </w:pPr>
      <w:r>
        <w:rPr>
          <w:b/>
        </w:rPr>
        <w:t xml:space="preserve">B. </w:t>
      </w:r>
      <w:r>
        <w:t>The conduct misused professional power, created significant risk, or primarily served the clinician’s personal interests.</w:t>
      </w:r>
    </w:p>
    <w:p>
      <w:pPr>
        <w:pStyle w:val="Option"/>
        <w:keepNext/>
        <w:ind w:left="317" w:hanging="317"/>
      </w:pPr>
      <w:r>
        <w:rPr>
          <w:b/>
        </w:rPr>
        <w:t xml:space="preserve">C. </w:t>
      </w:r>
      <w:r>
        <w:t>The conduct was unusual without further assessment of the governing facts.</w:t>
      </w:r>
    </w:p>
    <w:p>
      <w:pPr>
        <w:pStyle w:val="Option"/>
        <w:keepNext w:val="0"/>
        <w:ind w:left="317" w:hanging="317"/>
      </w:pPr>
      <w:r>
        <w:rPr>
          <w:b/>
        </w:rPr>
        <w:t xml:space="preserve">D. </w:t>
      </w:r>
      <w:r>
        <w:t>The client agreed to the conduct because the person's preference is treated as controlling.</w:t>
      </w:r>
    </w:p>
    <w:p>
      <w:pPr>
        <w:pStyle w:val="QuestionNumber"/>
        <w:keepNext/>
        <w:spacing w:before="140"/>
      </w:pPr>
      <w:r>
        <w:t xml:space="preserve">10. </w:t>
      </w:r>
      <w:r>
        <w:rPr>
          <w:b w:val="0"/>
          <w:color w:val="111111"/>
        </w:rPr>
        <w:t>A therapist accidentally emails a treatment summary to the wrong parent with a similar name. What is the best first response?</w:t>
      </w:r>
    </w:p>
    <w:p>
      <w:pPr>
        <w:pStyle w:val="Option"/>
        <w:keepNext/>
        <w:ind w:left="317" w:hanging="317"/>
      </w:pPr>
      <w:r>
        <w:rPr>
          <w:b/>
        </w:rPr>
        <w:t xml:space="preserve">A. </w:t>
      </w:r>
      <w:r>
        <w:t>Wait to see whether the recipient opens the message until a complaint, injury, or clearer problem occurs.</w:t>
      </w:r>
    </w:p>
    <w:p>
      <w:pPr>
        <w:pStyle w:val="Option"/>
        <w:keepNext/>
        <w:ind w:left="317" w:hanging="317"/>
      </w:pPr>
      <w:r>
        <w:rPr>
          <w:b/>
        </w:rPr>
        <w:t xml:space="preserve">B. </w:t>
      </w:r>
      <w:r>
        <w:t>Delete the clinician’s sent copy so the disclosure is no longer documented to remove the immediate administrative concern.</w:t>
      </w:r>
    </w:p>
    <w:p>
      <w:pPr>
        <w:pStyle w:val="Option"/>
        <w:keepNext/>
        <w:ind w:left="317" w:hanging="317"/>
      </w:pPr>
      <w:r>
        <w:rPr>
          <w:b/>
        </w:rPr>
        <w:t xml:space="preserve">C. </w:t>
      </w:r>
      <w:r>
        <w:t>Send a second email containing more client details to explain the mistake without further assessment of the governing facts while treating that single factor as controlling.</w:t>
      </w:r>
    </w:p>
    <w:p>
      <w:pPr>
        <w:pStyle w:val="Option"/>
        <w:keepNext w:val="0"/>
        <w:ind w:left="317" w:hanging="317"/>
      </w:pPr>
      <w:r>
        <w:rPr>
          <w:b/>
        </w:rPr>
        <w:t xml:space="preserve">D. </w:t>
      </w:r>
      <w:r>
        <w:t>Contain the disclosure if possible, preserve the facts, assess what was sent and whether it was accessed, follow incident procedures, and determine required notification or mitigation.</w:t>
      </w:r>
    </w:p>
    <w:p>
      <w:pPr>
        <w:pStyle w:val="QuestionNumber"/>
        <w:keepNext/>
        <w:spacing w:before="140"/>
      </w:pPr>
      <w:r>
        <w:t xml:space="preserve">11. </w:t>
      </w:r>
      <w:r>
        <w:rPr>
          <w:b w:val="0"/>
          <w:color w:val="111111"/>
        </w:rPr>
        <w:t>A therapist and client live in a small community and unexpectedly join the same volunteer committee. Avoiding all contact would significantly burden the client. What is the best response?</w:t>
      </w:r>
    </w:p>
    <w:p>
      <w:pPr>
        <w:pStyle w:val="Option"/>
        <w:keepNext/>
        <w:ind w:left="317" w:hanging="317"/>
      </w:pPr>
      <w:r>
        <w:rPr>
          <w:b/>
        </w:rPr>
        <w:t xml:space="preserve">A. </w:t>
      </w:r>
      <w:r>
        <w:t>End therapy immediately because any community overlap is automatically unethical.</w:t>
      </w:r>
    </w:p>
    <w:p>
      <w:pPr>
        <w:pStyle w:val="Option"/>
        <w:keepNext/>
        <w:ind w:left="317" w:hanging="317"/>
      </w:pPr>
      <w:r>
        <w:rPr>
          <w:b/>
        </w:rPr>
        <w:t xml:space="preserve">B. </w:t>
      </w:r>
      <w:r>
        <w:t>Discuss foreseeable contact, confidentiality, roles, and boundaries; assess risk, document the plan, and revisit it as needed.</w:t>
      </w:r>
    </w:p>
    <w:p>
      <w:pPr>
        <w:pStyle w:val="Option"/>
        <w:keepNext/>
        <w:ind w:left="317" w:hanging="317"/>
      </w:pPr>
      <w:r>
        <w:rPr>
          <w:b/>
        </w:rPr>
        <w:t xml:space="preserve">C. </w:t>
      </w:r>
      <w:r>
        <w:t>Act like close friends in public so others will not suspect a treatment relationship.</w:t>
      </w:r>
    </w:p>
    <w:p>
      <w:pPr>
        <w:pStyle w:val="Option"/>
        <w:keepNext w:val="0"/>
        <w:ind w:left="317" w:hanging="317"/>
      </w:pPr>
      <w:r>
        <w:rPr>
          <w:b/>
        </w:rPr>
        <w:t xml:space="preserve">D. </w:t>
      </w:r>
      <w:r>
        <w:t>Require the client to leave the committee because the therapist’s community role takes priority.</w:t>
      </w:r>
    </w:p>
    <w:p>
      <w:pPr>
        <w:pStyle w:val="QuestionNumber"/>
        <w:keepNext/>
        <w:spacing w:before="140"/>
      </w:pPr>
      <w:r>
        <w:t xml:space="preserve">12. </w:t>
      </w:r>
      <w:r>
        <w:rPr>
          <w:b w:val="0"/>
          <w:color w:val="111111"/>
        </w:rPr>
        <w:t>A supervisor directs a registered AMFT to continue an unfamiliar high-intensity intervention with a highly dependent client whose symptoms are worsening. The registered AMFT lacks training, the client says, “I will agree so you do not abandon me,” and no immediate life-threatening danger is present. What is the BEST next step?</w:t>
      </w:r>
    </w:p>
    <w:p>
      <w:pPr>
        <w:pStyle w:val="Option"/>
        <w:keepNext/>
        <w:ind w:left="317" w:hanging="317"/>
      </w:pPr>
      <w:r>
        <w:rPr>
          <w:b/>
        </w:rPr>
        <w:t xml:space="preserve">A. </w:t>
      </w:r>
      <w:r>
        <w:t>Pause or modify the unsafe element, reassess the client’s condition and voluntariness, obtain qualified supervision or consultation, arrange competent alternative or collaborative care, and document and monitor continuity.</w:t>
      </w:r>
    </w:p>
    <w:p>
      <w:pPr>
        <w:pStyle w:val="Option"/>
        <w:keepNext/>
        <w:ind w:left="317" w:hanging="317"/>
      </w:pPr>
      <w:r>
        <w:rPr>
          <w:b/>
        </w:rPr>
        <w:t xml:space="preserve">B. </w:t>
      </w:r>
      <w:r>
        <w:t>Continue because supervisor approval and client agreement eliminate competence and harm concerns because the person's preference is treated as controlling while treating that single factor as controlling.</w:t>
      </w:r>
    </w:p>
    <w:p>
      <w:pPr>
        <w:pStyle w:val="Option"/>
        <w:keepNext/>
        <w:ind w:left="317" w:hanging="317"/>
      </w:pPr>
      <w:r>
        <w:rPr>
          <w:b/>
        </w:rPr>
        <w:t xml:space="preserve">C. </w:t>
      </w:r>
      <w:r>
        <w:t>Terminate the client immediately because worsening proves the entire therapeutic relationship is harmful before considering a less disruptive protective response.</w:t>
      </w:r>
    </w:p>
    <w:p>
      <w:pPr>
        <w:pStyle w:val="Option"/>
        <w:keepNext w:val="0"/>
        <w:ind w:left="317" w:hanging="317"/>
      </w:pPr>
      <w:r>
        <w:rPr>
          <w:b/>
        </w:rPr>
        <w:t xml:space="preserve">D. </w:t>
      </w:r>
      <w:r>
        <w:t>Obtain a more detailed waiver and proceed until actual injury occurs without further assessment of the governing facts.</w:t>
      </w:r>
    </w:p>
    <w:p>
      <w:pPr>
        <w:pStyle w:val="QuestionNumber"/>
        <w:keepNext/>
        <w:spacing w:before="140"/>
      </w:pPr>
      <w:r>
        <w:t xml:space="preserve">13. </w:t>
      </w:r>
      <w:r>
        <w:rPr>
          <w:b w:val="0"/>
          <w:color w:val="111111"/>
        </w:rPr>
        <w:t>A client signed the practice’s informed-consent form at intake but did not sign a release. The client’s employer now asks the therapist for a treatment update, and the therapist reviews the difference between the two documents.</w:t>
        <w:br/>
        <w:t>Which statement most accurately guides the therapist?</w:t>
      </w:r>
    </w:p>
    <w:p>
      <w:pPr>
        <w:pStyle w:val="Option"/>
        <w:keepNext/>
        <w:ind w:left="317" w:hanging="317"/>
      </w:pPr>
      <w:r>
        <w:rPr>
          <w:b/>
        </w:rPr>
        <w:t xml:space="preserve">A. </w:t>
      </w:r>
      <w:r>
        <w:t>Informed consent permits the clinician to release the complete record without further assessment of the governing facts.</w:t>
      </w:r>
    </w:p>
    <w:p>
      <w:pPr>
        <w:pStyle w:val="Option"/>
        <w:keepNext/>
        <w:ind w:left="317" w:hanging="317"/>
      </w:pPr>
      <w:r>
        <w:rPr>
          <w:b/>
        </w:rPr>
        <w:t xml:space="preserve">B. </w:t>
      </w:r>
      <w:r>
        <w:t>Authorization explains the general risks and policies of treatment without further assessment of the governing facts.</w:t>
      </w:r>
    </w:p>
    <w:p>
      <w:pPr>
        <w:pStyle w:val="Option"/>
        <w:keepNext/>
        <w:ind w:left="317" w:hanging="317"/>
      </w:pPr>
      <w:r>
        <w:rPr>
          <w:b/>
        </w:rPr>
        <w:t xml:space="preserve">C. </w:t>
      </w:r>
      <w:r>
        <w:t>Informed consent explains treatment and client choices, while authorization permits a specified use or disclosure of information.</w:t>
      </w:r>
    </w:p>
    <w:p>
      <w:pPr>
        <w:pStyle w:val="Option"/>
        <w:keepNext w:val="0"/>
        <w:ind w:left="317" w:hanging="317"/>
      </w:pPr>
      <w:r>
        <w:rPr>
          <w:b/>
        </w:rPr>
        <w:t xml:space="preserve">D. </w:t>
      </w:r>
      <w:r>
        <w:t>The two documents serve the same legal and clinical purpose without further assessment of the governing facts.</w:t>
      </w:r>
    </w:p>
    <w:p>
      <w:pPr>
        <w:pStyle w:val="QuestionNumber"/>
        <w:keepNext/>
        <w:spacing w:before="140"/>
      </w:pPr>
      <w:r>
        <w:t xml:space="preserve">14. </w:t>
      </w:r>
      <w:r>
        <w:rPr>
          <w:b w:val="0"/>
          <w:color w:val="111111"/>
        </w:rPr>
        <w:t>A registered AMFT tells a client, “I am licensed and meet with another therapist for optional advice.” What is the most appropriate correction?</w:t>
      </w:r>
    </w:p>
    <w:p>
      <w:pPr>
        <w:pStyle w:val="Option"/>
        <w:keepNext/>
        <w:ind w:left="317" w:hanging="317"/>
      </w:pPr>
      <w:r>
        <w:rPr>
          <w:b/>
        </w:rPr>
        <w:t xml:space="preserve">A. </w:t>
      </w:r>
      <w:r>
        <w:t>No correction; supervision and consultation are identical without further assessment of the governing facts.</w:t>
      </w:r>
    </w:p>
    <w:p>
      <w:pPr>
        <w:pStyle w:val="Option"/>
        <w:keepNext/>
        <w:ind w:left="317" w:hanging="317"/>
      </w:pPr>
      <w:r>
        <w:rPr>
          <w:b/>
        </w:rPr>
        <w:t xml:space="preserve">B. </w:t>
      </w:r>
      <w:r>
        <w:t>Disclose only the employer before confirming legal authority and the permitted scope.</w:t>
      </w:r>
    </w:p>
    <w:p>
      <w:pPr>
        <w:pStyle w:val="Option"/>
        <w:keepNext/>
        <w:ind w:left="317" w:hanging="317"/>
      </w:pPr>
      <w:r>
        <w:rPr>
          <w:b/>
        </w:rPr>
        <w:t xml:space="preserve">C. </w:t>
      </w:r>
      <w:r>
        <w:t>Wait for the client to ask until a complaint, injury, or clearer problem occurs.</w:t>
      </w:r>
    </w:p>
    <w:p>
      <w:pPr>
        <w:pStyle w:val="Option"/>
        <w:keepNext w:val="0"/>
        <w:ind w:left="317" w:hanging="317"/>
      </w:pPr>
      <w:r>
        <w:rPr>
          <w:b/>
        </w:rPr>
        <w:t xml:space="preserve">D. </w:t>
      </w:r>
      <w:r>
        <w:t>Accurately explain that the person is a registered AMFT, is not independently licensed, and practices under required supervision.</w:t>
      </w:r>
    </w:p>
    <w:p>
      <w:pPr>
        <w:pStyle w:val="QuestionNumber"/>
        <w:keepNext/>
        <w:spacing w:before="140"/>
      </w:pPr>
      <w:r>
        <w:t xml:space="preserve">15. </w:t>
      </w:r>
      <w:r>
        <w:rPr>
          <w:b w:val="0"/>
          <w:color w:val="111111"/>
        </w:rP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Option"/>
        <w:keepNext/>
        <w:ind w:left="317" w:hanging="317"/>
      </w:pPr>
      <w:r>
        <w:rPr>
          <w:b/>
        </w:rPr>
        <w:t xml:space="preserve">A. </w:t>
      </w:r>
      <w:r>
        <w:t>The practice has adequate security because encryption is the most important safeguard without further assessment of the governing facts.</w:t>
      </w:r>
    </w:p>
    <w:p>
      <w:pPr>
        <w:pStyle w:val="Option"/>
        <w:keepNext/>
        <w:ind w:left="317" w:hanging="317"/>
      </w:pPr>
      <w:r>
        <w:rPr>
          <w:b/>
        </w:rPr>
        <w:t xml:space="preserve">B. </w:t>
      </w:r>
      <w:r>
        <w:t>The practice needs only stronger office locks without further assessment of the governing facts.</w:t>
      </w:r>
    </w:p>
    <w:p>
      <w:pPr>
        <w:pStyle w:val="Option"/>
        <w:keepNext/>
        <w:ind w:left="317" w:hanging="317"/>
      </w:pPr>
      <w:r>
        <w:rPr>
          <w:b/>
        </w:rPr>
        <w:t xml:space="preserve">C. </w:t>
      </w:r>
      <w:r>
        <w:t>No changes are needed unless an actual breach occurs without further assessment of the governing facts.</w:t>
      </w:r>
    </w:p>
    <w:p>
      <w:pPr>
        <w:pStyle w:val="Option"/>
        <w:keepNext w:val="0"/>
        <w:ind w:left="317" w:hanging="317"/>
      </w:pPr>
      <w:r>
        <w:rPr>
          <w:b/>
        </w:rPr>
        <w:t xml:space="preserve">D. </w:t>
      </w:r>
      <w:r>
        <w:t>Technology alone is insufficient; the practice also needs administrative safeguards such as training, individual access controls, policies, and incident-reporting procedures.</w:t>
      </w:r>
    </w:p>
    <w:p>
      <w:pPr>
        <w:pStyle w:val="QuestionNumber"/>
        <w:keepNext/>
        <w:spacing w:before="140"/>
      </w:pPr>
      <w:r>
        <w:t xml:space="preserve">16. </w:t>
      </w:r>
      <w:r>
        <w:rPr>
          <w:b w:val="0"/>
          <w:color w:val="111111"/>
        </w:rPr>
        <w:t>An LMFT substantially changes the treatment approach without explaining the change. The client becomes confused and disengages. What is the BEST response?</w:t>
      </w:r>
    </w:p>
    <w:p>
      <w:pPr>
        <w:pStyle w:val="Option"/>
        <w:keepNext/>
        <w:ind w:left="317" w:hanging="317"/>
      </w:pPr>
      <w:r>
        <w:rPr>
          <w:b/>
        </w:rPr>
        <w:t xml:space="preserve">A. </w:t>
      </w:r>
      <w:r>
        <w:t>Discuss the change and its rationale in understandable terms, assess the misunderstanding and client response, and revisit the plan and consent as appropriate.</w:t>
      </w:r>
    </w:p>
    <w:p>
      <w:pPr>
        <w:pStyle w:val="Option"/>
        <w:keepNext/>
        <w:ind w:left="317" w:hanging="317"/>
      </w:pPr>
      <w:r>
        <w:rPr>
          <w:b/>
        </w:rPr>
        <w:t xml:space="preserve">B. </w:t>
      </w:r>
      <w:r>
        <w:t>Continue unchanged because treatment choices belong only to the clinician without additional assessment or consultation.</w:t>
      </w:r>
    </w:p>
    <w:p>
      <w:pPr>
        <w:pStyle w:val="Option"/>
        <w:keepNext/>
        <w:ind w:left="317" w:hanging="317"/>
      </w:pPr>
      <w:r>
        <w:rPr>
          <w:b/>
        </w:rPr>
        <w:t xml:space="preserve">C. </w:t>
      </w:r>
      <w:r>
        <w:t>Blame the client for failing to trust professional expertise without further assessment of the governing facts while treating that single factor as controlling.</w:t>
      </w:r>
    </w:p>
    <w:p>
      <w:pPr>
        <w:pStyle w:val="Option"/>
        <w:keepNext w:val="0"/>
        <w:ind w:left="317" w:hanging="317"/>
      </w:pPr>
      <w:r>
        <w:rPr>
          <w:b/>
        </w:rPr>
        <w:t xml:space="preserve">D. </w:t>
      </w:r>
      <w:r>
        <w:t>Terminate immediately to avoid further disagreement before considering a less disruptive protective response.</w:t>
      </w:r>
    </w:p>
    <w:p>
      <w:pPr>
        <w:pStyle w:val="QuestionNumber"/>
        <w:keepNext/>
        <w:spacing w:before="140"/>
      </w:pPr>
      <w:r>
        <w:t xml:space="preserve">17. </w:t>
      </w:r>
      <w:r>
        <w:rPr>
          <w:b w:val="0"/>
          <w:color w:val="111111"/>
        </w:rP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Option"/>
        <w:keepNext/>
        <w:ind w:left="317" w:hanging="317"/>
      </w:pPr>
      <w:r>
        <w:rPr>
          <w:b/>
        </w:rPr>
        <w:t xml:space="preserve">A. </w:t>
      </w:r>
      <w:r>
        <w:t>The minor cannot consent because independent consent is limited to abuse cases because the person's preference is treated as controlling.</w:t>
      </w:r>
    </w:p>
    <w:p>
      <w:pPr>
        <w:pStyle w:val="Option"/>
        <w:keepNext/>
        <w:ind w:left="317" w:hanging="317"/>
      </w:pPr>
      <w:r>
        <w:rPr>
          <w:b/>
        </w:rPr>
        <w:t xml:space="preserve">B. </w:t>
      </w:r>
      <w:r>
        <w:t>The absence of abuse or serious-danger criteria does not prevent independent consent under the current statute.</w:t>
      </w:r>
    </w:p>
    <w:p>
      <w:pPr>
        <w:pStyle w:val="Option"/>
        <w:keepNext/>
        <w:ind w:left="317" w:hanging="317"/>
      </w:pPr>
      <w:r>
        <w:rPr>
          <w:b/>
        </w:rPr>
        <w:t xml:space="preserve">C. </w:t>
      </w:r>
      <w:r>
        <w:t>The minor may consent only after a parent refuses to authorize treatment because the person's preference is treated as controlling.</w:t>
      </w:r>
    </w:p>
    <w:p>
      <w:pPr>
        <w:pStyle w:val="Option"/>
        <w:keepNext w:val="0"/>
        <w:ind w:left="317" w:hanging="317"/>
      </w:pPr>
      <w:r>
        <w:rPr>
          <w:b/>
        </w:rPr>
        <w:t xml:space="preserve">D. </w:t>
      </w:r>
      <w:r>
        <w:t>The minor cannot consent unless the clinician predicts serious harm without treatment because the person's preference is treated as controlling.</w:t>
      </w:r>
    </w:p>
    <w:p>
      <w:pPr>
        <w:pStyle w:val="QuestionNumber"/>
        <w:keepNext/>
        <w:spacing w:before="140"/>
      </w:pPr>
      <w:r>
        <w:t xml:space="preserve">18. </w:t>
      </w:r>
      <w:r>
        <w:rPr>
          <w:b w:val="0"/>
          <w:color w:val="111111"/>
        </w:rP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Option"/>
        <w:keepNext/>
        <w:ind w:left="317" w:hanging="317"/>
      </w:pPr>
      <w:r>
        <w:rPr>
          <w:b/>
        </w:rPr>
        <w:t xml:space="preserve">A. </w:t>
      </w:r>
      <w:r>
        <w:t>Continue unchanged because privacy and continuity outweigh the observed performance concerns without first resolving the underlying legal or clinical issue.</w:t>
      </w:r>
    </w:p>
    <w:p>
      <w:pPr>
        <w:pStyle w:val="Option"/>
        <w:keepNext/>
        <w:ind w:left="317" w:hanging="317"/>
      </w:pPr>
      <w:r>
        <w:rPr>
          <w:b/>
        </w:rPr>
        <w:t xml:space="preserve">B. </w:t>
      </w:r>
      <w:r>
        <w:t>Disclose every diagnosis and medication to clients before permanently leaving practice.</w:t>
      </w:r>
    </w:p>
    <w:p>
      <w:pPr>
        <w:pStyle w:val="Option"/>
        <w:keepNext/>
        <w:ind w:left="317" w:hanging="317"/>
      </w:pPr>
      <w:r>
        <w:rPr>
          <w:b/>
        </w:rPr>
        <w:t xml:space="preserve">C. </w:t>
      </w:r>
      <w:r>
        <w:t>Wait for a client complaint before modifying duties or arranging coverage.</w:t>
      </w:r>
    </w:p>
    <w:p>
      <w:pPr>
        <w:pStyle w:val="Option"/>
        <w:keepNext w:val="0"/>
        <w:ind w:left="317" w:hanging="317"/>
      </w:pPr>
      <w:r>
        <w:rPr>
          <w:b/>
        </w:rPr>
        <w:t xml:space="preserve">D. </w:t>
      </w:r>
      <w:r>
        <w:t>Assess current fitness and risk, limit unsafe duties, arrange coverage, use appropriate supports, document decisions, and reevaluate readiness.</w:t>
      </w:r>
    </w:p>
    <w:p>
      <w:pPr>
        <w:pStyle w:val="QuestionNumber"/>
        <w:keepNext/>
        <w:spacing w:before="140"/>
      </w:pPr>
      <w:r>
        <w:t xml:space="preserve">19. </w:t>
      </w:r>
      <w:r>
        <w:rPr>
          <w:b w:val="0"/>
          <w:color w:val="111111"/>
        </w:rPr>
        <w:t>From the California BBS perspective, a California LMFT with a current and active license is attending a conference in Oregon and plans to conduct a telehealth session with an established client who is physically in California. Which statement is most accurate?</w:t>
      </w:r>
    </w:p>
    <w:p>
      <w:pPr>
        <w:pStyle w:val="Option"/>
        <w:keepNext/>
        <w:ind w:left="317" w:hanging="317"/>
      </w:pPr>
      <w:r>
        <w:rPr>
          <w:b/>
        </w:rPr>
        <w:t xml:space="preserve">A. </w:t>
      </w:r>
      <w:r>
        <w:t>The LMFT may generally provide the session if telehealth is clinically appropriate and the LMFT follows California's telehealth requirements.</w:t>
      </w:r>
    </w:p>
    <w:p>
      <w:pPr>
        <w:pStyle w:val="Option"/>
        <w:keepNext/>
        <w:ind w:left="317" w:hanging="317"/>
      </w:pPr>
      <w:r>
        <w:rPr>
          <w:b/>
        </w:rPr>
        <w:t xml:space="preserve">B. </w:t>
      </w:r>
      <w:r>
        <w:t>The session is prohibited solely because the LMFT is physically outside California without further assessment of the governing facts.</w:t>
      </w:r>
    </w:p>
    <w:p>
      <w:pPr>
        <w:pStyle w:val="Option"/>
        <w:keepNext/>
        <w:ind w:left="317" w:hanging="317"/>
      </w:pPr>
      <w:r>
        <w:rPr>
          <w:b/>
        </w:rPr>
        <w:t xml:space="preserve">C. </w:t>
      </w:r>
      <w:r>
        <w:t>The LMFT may proceed only if the client waives California telehealth requirements without further assessment of the governing facts.</w:t>
      </w:r>
    </w:p>
    <w:p>
      <w:pPr>
        <w:pStyle w:val="Option"/>
        <w:keepNext w:val="0"/>
        <w:ind w:left="317" w:hanging="317"/>
      </w:pPr>
      <w:r>
        <w:rPr>
          <w:b/>
        </w:rPr>
        <w:t xml:space="preserve">D. </w:t>
      </w:r>
      <w:r>
        <w:t>California law no longer applies because the LMFT is outside the state without further assessment of the governing facts.</w:t>
      </w:r>
    </w:p>
    <w:p>
      <w:pPr>
        <w:pStyle w:val="QuestionNumber"/>
        <w:keepNext/>
        <w:spacing w:before="140"/>
      </w:pPr>
      <w:r>
        <w:t xml:space="preserve">20. </w:t>
      </w:r>
      <w:r>
        <w:rPr>
          <w:b w:val="0"/>
          <w:color w:val="111111"/>
        </w:rPr>
        <w:t>A registered AMFT is assigned a specialized service by an employer. The registered AMFT holds a current registration and is supervised but has no relevant training, and the service may exceed the registered AMFT’s authorized role in the setting. What is the best response?</w:t>
      </w:r>
    </w:p>
    <w:p>
      <w:pPr>
        <w:pStyle w:val="Option"/>
        <w:keepNext/>
        <w:ind w:left="317" w:hanging="317"/>
      </w:pPr>
      <w:r>
        <w:rPr>
          <w:b/>
        </w:rPr>
        <w:t xml:space="preserve">A. </w:t>
      </w:r>
      <w:r>
        <w:t>Perform the service because an employer assignment establishes authority without further assessment of the governing facts.</w:t>
      </w:r>
    </w:p>
    <w:p>
      <w:pPr>
        <w:pStyle w:val="Option"/>
        <w:keepNext/>
        <w:ind w:left="317" w:hanging="317"/>
      </w:pPr>
      <w:r>
        <w:rPr>
          <w:b/>
        </w:rPr>
        <w:t xml:space="preserve">B. </w:t>
      </w:r>
      <w:r>
        <w:t>Clarify the legal scope, supervision and setting requirements, and the registered AMFT’s actual competence before providing the service.</w:t>
      </w:r>
    </w:p>
    <w:p>
      <w:pPr>
        <w:pStyle w:val="Option"/>
        <w:keepNext/>
        <w:ind w:left="317" w:hanging="317"/>
      </w:pPr>
      <w:r>
        <w:rPr>
          <w:b/>
        </w:rPr>
        <w:t xml:space="preserve">C. </w:t>
      </w:r>
      <w:r>
        <w:t>Rely on the supervisor’s license as if it were the registered AMFT’s own because legal authorization is treated as proof of competence.</w:t>
      </w:r>
    </w:p>
    <w:p>
      <w:pPr>
        <w:pStyle w:val="Option"/>
        <w:keepNext w:val="0"/>
        <w:ind w:left="317" w:hanging="317"/>
      </w:pPr>
      <w:r>
        <w:rPr>
          <w:b/>
        </w:rPr>
        <w:t xml:space="preserve">D. </w:t>
      </w:r>
      <w:r>
        <w:t>Ask the client to accept responsibility for the registered AMFT’s limitations and rely on that response instead of professional judgment.</w:t>
      </w:r>
    </w:p>
    <w:p>
      <w:pPr>
        <w:pStyle w:val="QuestionNumber"/>
        <w:keepNext/>
        <w:spacing w:before="140"/>
      </w:pPr>
      <w:r>
        <w:t xml:space="preserve">21. </w:t>
      </w:r>
      <w:r>
        <w:rPr>
          <w:b w:val="0"/>
          <w:color w:val="111111"/>
        </w:rPr>
        <w:t>A therapist gives a current client special after-hours access, shares intimate personal problems, sends romantic messages, and promises that they can begin a sexual relationship after therapy ends. The therapist then terminates treatment, begins sexual contact six weeks later, and deletes the messages when a colleague expresses concern.</w:t>
        <w:br/>
        <w:t>Which analysis and response are most accurate?</w:t>
      </w:r>
    </w:p>
    <w:p>
      <w:pPr>
        <w:pStyle w:val="Option"/>
        <w:keepNext/>
        <w:ind w:left="317" w:hanging="317"/>
      </w:pPr>
      <w:r>
        <w:rPr>
          <w:b/>
        </w:rPr>
        <w:t xml:space="preserve">A. </w:t>
      </w:r>
      <w:r>
        <w:t>The relationship is acceptable because sexual contact began after formal termination because the existing paperwork is treated as conclusive while treating that single factor as controlling.</w:t>
      </w:r>
    </w:p>
    <w:p>
      <w:pPr>
        <w:pStyle w:val="Option"/>
        <w:keepNext/>
        <w:ind w:left="317" w:hanging="317"/>
      </w:pPr>
      <w:r>
        <w:rPr>
          <w:b/>
        </w:rPr>
        <w:t xml:space="preserve">B. </w:t>
      </w:r>
      <w:r>
        <w:t>The relationship is acceptable because the client willingly participated without further assessment of the governing facts.</w:t>
      </w:r>
    </w:p>
    <w:p>
      <w:pPr>
        <w:pStyle w:val="Option"/>
        <w:keepNext/>
        <w:ind w:left="317" w:hanging="317"/>
      </w:pPr>
      <w:r>
        <w:rPr>
          <w:b/>
        </w:rPr>
        <w:t xml:space="preserve">C. </w:t>
      </w:r>
      <w:r>
        <w:t>The pattern reflects grooming, sexual solicitation, misuse of professional power, conduct within California’s former-client restriction, and concealment requiring immediate protective and corrective action.</w:t>
      </w:r>
    </w:p>
    <w:p>
      <w:pPr>
        <w:pStyle w:val="Option"/>
        <w:keepNext w:val="0"/>
        <w:ind w:left="317" w:hanging="317"/>
      </w:pPr>
      <w:r>
        <w:rPr>
          <w:b/>
        </w:rPr>
        <w:t xml:space="preserve">D. </w:t>
      </w:r>
      <w:r>
        <w:t>The only concern is deletion of the messages without further assessment of the governing facts.</w:t>
      </w:r>
    </w:p>
    <w:p>
      <w:pPr>
        <w:pStyle w:val="QuestionNumber"/>
        <w:keepNext/>
        <w:spacing w:before="140"/>
      </w:pPr>
      <w:r>
        <w:t xml:space="preserve">22. </w:t>
      </w:r>
      <w:r>
        <w:rPr>
          <w:b w:val="0"/>
          <w:color w:val="111111"/>
        </w:rPr>
        <w:t>A competent adult understands the material information, asks questions, and declines the clinician’s preferred intervention. No emergency or involuntary-treatment authority is present. Which response is most appropriate?</w:t>
      </w:r>
    </w:p>
    <w:p>
      <w:pPr>
        <w:pStyle w:val="Option"/>
        <w:keepNext/>
        <w:ind w:left="317" w:hanging="317"/>
      </w:pPr>
      <w:r>
        <w:rPr>
          <w:b/>
        </w:rPr>
        <w:t xml:space="preserve">A. </w:t>
      </w:r>
      <w:r>
        <w:t>Continue persuading until the client agrees because the clinician remains responsible for treatment outcomes.</w:t>
      </w:r>
    </w:p>
    <w:p>
      <w:pPr>
        <w:pStyle w:val="Option"/>
        <w:keepNext/>
        <w:ind w:left="317" w:hanging="317"/>
      </w:pPr>
      <w:r>
        <w:rPr>
          <w:b/>
        </w:rPr>
        <w:t xml:space="preserve">B. </w:t>
      </w:r>
      <w:r>
        <w:t>End all services because refusal of one intervention shows that the client is unwilling to participate.</w:t>
      </w:r>
    </w:p>
    <w:p>
      <w:pPr>
        <w:pStyle w:val="Option"/>
        <w:keepNext/>
        <w:ind w:left="317" w:hanging="317"/>
      </w:pPr>
      <w:r>
        <w:rPr>
          <w:b/>
        </w:rPr>
        <w:t xml:space="preserve">C. </w:t>
      </w:r>
      <w:r>
        <w:t>Respect the informed refusal, discuss reasonable alternatives, and document the decision-making process.</w:t>
      </w:r>
    </w:p>
    <w:p>
      <w:pPr>
        <w:pStyle w:val="Option"/>
        <w:keepNext w:val="0"/>
        <w:ind w:left="317" w:hanging="317"/>
      </w:pPr>
      <w:r>
        <w:rPr>
          <w:b/>
        </w:rPr>
        <w:t xml:space="preserve">D. </w:t>
      </w:r>
      <w:r>
        <w:t>Begin the intervention because beneficence permits a clinician to override an unwise voluntary choice.</w:t>
      </w:r>
    </w:p>
    <w:p>
      <w:pPr>
        <w:pStyle w:val="QuestionNumber"/>
        <w:keepNext/>
        <w:spacing w:before="140"/>
      </w:pPr>
      <w:r>
        <w:t xml:space="preserve">23. </w:t>
      </w:r>
      <w:r>
        <w:rPr>
          <w:b w:val="0"/>
          <w:color w:val="111111"/>
        </w:rP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Option"/>
        <w:keepNext/>
        <w:ind w:left="317" w:hanging="317"/>
      </w:pPr>
      <w:r>
        <w:rPr>
          <w:b/>
        </w:rPr>
        <w:t xml:space="preserve">A. </w:t>
      </w:r>
      <w:r>
        <w:t>Take no action because the vendor advertised HIPAA compliance and signed a BAA because the existing paperwork is treated as conclusive.</w:t>
      </w:r>
    </w:p>
    <w:p>
      <w:pPr>
        <w:pStyle w:val="Option"/>
        <w:keepNext/>
        <w:ind w:left="317" w:hanging="317"/>
      </w:pPr>
      <w:r>
        <w:rPr>
          <w:b/>
        </w:rPr>
        <w:t xml:space="preserve">B. </w:t>
      </w:r>
      <w:r>
        <w:t>Ask the former employee to promise not to use the information and continue the same procedures because the existing paperwork is treated as conclusive.</w:t>
      </w:r>
    </w:p>
    <w:p>
      <w:pPr>
        <w:pStyle w:val="Option"/>
        <w:keepNext/>
        <w:ind w:left="317" w:hanging="317"/>
      </w:pPr>
      <w:r>
        <w:rPr>
          <w:b/>
        </w:rPr>
        <w:t xml:space="preserve">C. </w:t>
      </w:r>
      <w:r>
        <w:t>Treat the progress notes as protected but disregard the psychotherapy notes because they were maintained separately without further assessment of the governing facts.</w:t>
      </w:r>
    </w:p>
    <w:p>
      <w:pPr>
        <w:pStyle w:val="Option"/>
        <w:keepNext w:val="0"/>
        <w:ind w:left="317" w:hanging="317"/>
      </w:pPr>
      <w:r>
        <w:rPr>
          <w:b/>
        </w:rPr>
        <w:t xml:space="preserve">D. </w:t>
      </w:r>
      <w:r>
        <w:t>Contain and investigate the unauthorized access, evaluate notification duties, protect both record types, correct the access and safeguard failures, and document the incident and corrective action.</w:t>
      </w:r>
    </w:p>
    <w:p>
      <w:pPr>
        <w:pStyle w:val="QuestionNumber"/>
        <w:keepNext/>
        <w:spacing w:before="140"/>
      </w:pPr>
      <w:r>
        <w:t xml:space="preserve">24. </w:t>
      </w:r>
      <w:r>
        <w:rPr>
          <w:b w:val="0"/>
          <w:color w:val="111111"/>
        </w:rPr>
        <w:t>A therapist stores all electronic records on one office computer without backups. The computer fails, and several years of client records become unrecoverable.</w:t>
        <w:br/>
        <w:t>Which retention responsibility was most clearly neglected?</w:t>
      </w:r>
    </w:p>
    <w:p>
      <w:pPr>
        <w:pStyle w:val="Option"/>
        <w:keepNext/>
        <w:ind w:left="317" w:hanging="317"/>
      </w:pPr>
      <w:r>
        <w:rPr>
          <w:b/>
        </w:rPr>
        <w:t xml:space="preserve">A. </w:t>
      </w:r>
      <w:r>
        <w:t>Professional language without further assessment of the governing facts.</w:t>
      </w:r>
    </w:p>
    <w:p>
      <w:pPr>
        <w:pStyle w:val="Option"/>
        <w:keepNext/>
        <w:ind w:left="317" w:hanging="317"/>
      </w:pPr>
      <w:r>
        <w:rPr>
          <w:b/>
        </w:rPr>
        <w:t xml:space="preserve">B. </w:t>
      </w:r>
      <w:r>
        <w:t>Client diagnosis without further assessment of the governing facts.</w:t>
      </w:r>
    </w:p>
    <w:p>
      <w:pPr>
        <w:pStyle w:val="Option"/>
        <w:keepNext/>
        <w:ind w:left="317" w:hanging="317"/>
      </w:pPr>
      <w:r>
        <w:rPr>
          <w:b/>
        </w:rPr>
        <w:t xml:space="preserve">C. </w:t>
      </w:r>
      <w:r>
        <w:t>Protection against record loss through reliable backup and recovery planning.</w:t>
      </w:r>
    </w:p>
    <w:p>
      <w:pPr>
        <w:pStyle w:val="Option"/>
        <w:keepNext w:val="0"/>
        <w:ind w:left="317" w:hanging="317"/>
      </w:pPr>
      <w:r>
        <w:rPr>
          <w:b/>
        </w:rPr>
        <w:t xml:space="preserve">D. </w:t>
      </w:r>
      <w:r>
        <w:t>Documentation of session interventions as though documentation alone resolves the underlying issue.</w:t>
      </w:r>
    </w:p>
    <w:p>
      <w:pPr>
        <w:pStyle w:val="QuestionNumber"/>
        <w:keepNext/>
        <w:spacing w:before="140"/>
      </w:pPr>
      <w:r>
        <w:t xml:space="preserve">25. </w:t>
      </w:r>
      <w:r>
        <w:rPr>
          <w:b w:val="0"/>
          <w:color w:val="111111"/>
        </w:rPr>
        <w:t>A therapist taking a prescribed medication develops unexpected sedation before an afternoon caseload and notices slowed thinking during the first session. What is the best immediate response?</w:t>
      </w:r>
    </w:p>
    <w:p>
      <w:pPr>
        <w:pStyle w:val="Option"/>
        <w:keepNext/>
        <w:ind w:left="317" w:hanging="317"/>
      </w:pPr>
      <w:r>
        <w:rPr>
          <w:b/>
        </w:rPr>
        <w:t xml:space="preserve">A. </w:t>
      </w:r>
      <w:r>
        <w:t>Continue because prescribed medication cannot create a professional impairment concern.</w:t>
      </w:r>
    </w:p>
    <w:p>
      <w:pPr>
        <w:pStyle w:val="Option"/>
        <w:keepNext/>
        <w:ind w:left="317" w:hanging="317"/>
      </w:pPr>
      <w:r>
        <w:rPr>
          <w:b/>
        </w:rPr>
        <w:t xml:space="preserve">B. </w:t>
      </w:r>
      <w:r>
        <w:t>Assess current fitness, protect the client, stop or transfer unsafe duties, and obtain appropriate medical and professional support.</w:t>
      </w:r>
    </w:p>
    <w:p>
      <w:pPr>
        <w:pStyle w:val="Option"/>
        <w:keepNext/>
        <w:ind w:left="317" w:hanging="317"/>
      </w:pPr>
      <w:r>
        <w:rPr>
          <w:b/>
        </w:rPr>
        <w:t xml:space="preserve">C. </w:t>
      </w:r>
      <w:r>
        <w:t>Ask each client whether the therapist appears impaired and follow the clients’ collective preference while treating that response as sufficient without further analysis.</w:t>
      </w:r>
    </w:p>
    <w:p>
      <w:pPr>
        <w:pStyle w:val="Option"/>
        <w:keepNext w:val="0"/>
        <w:ind w:left="317" w:hanging="317"/>
      </w:pPr>
      <w:r>
        <w:rPr>
          <w:b/>
        </w:rPr>
        <w:t xml:space="preserve">D. </w:t>
      </w:r>
      <w:r>
        <w:t>Conceal the symptoms until the prescribing clinician confirms that the medication caused them.</w:t>
      </w:r>
    </w:p>
    <w:p>
      <w:pPr>
        <w:pStyle w:val="QuestionNumber"/>
        <w:keepNext/>
        <w:spacing w:before="140"/>
      </w:pPr>
      <w:r>
        <w:t xml:space="preserve">26. </w:t>
      </w:r>
      <w:r>
        <w:rPr>
          <w:b w:val="0"/>
          <w:color w:val="111111"/>
        </w:rPr>
        <w:t>A therapist and client regularly attend the same community events. The client worries that being greeted publicly could reveal the therapeutic relationship.</w:t>
        <w:br/>
        <w:t>What is the most appropriate response?</w:t>
      </w:r>
    </w:p>
    <w:p>
      <w:pPr>
        <w:pStyle w:val="Option"/>
        <w:keepNext/>
        <w:ind w:left="317" w:hanging="317"/>
      </w:pPr>
      <w:r>
        <w:rPr>
          <w:b/>
        </w:rPr>
        <w:t xml:space="preserve">A. </w:t>
      </w:r>
      <w:r>
        <w:t>Always greet the client so the clinician does not appear rude without further assessment of the governing facts.</w:t>
      </w:r>
    </w:p>
    <w:p>
      <w:pPr>
        <w:pStyle w:val="Option"/>
        <w:keepNext/>
        <w:ind w:left="317" w:hanging="317"/>
      </w:pPr>
      <w:r>
        <w:rPr>
          <w:b/>
        </w:rPr>
        <w:t xml:space="preserve">B. </w:t>
      </w:r>
      <w:r>
        <w:t>Never acknowledge the client under any circumstances without further assessment of the governing facts.</w:t>
      </w:r>
    </w:p>
    <w:p>
      <w:pPr>
        <w:pStyle w:val="Option"/>
        <w:keepNext/>
        <w:ind w:left="317" w:hanging="317"/>
      </w:pPr>
      <w:r>
        <w:rPr>
          <w:b/>
        </w:rPr>
        <w:t xml:space="preserve">C. </w:t>
      </w:r>
      <w:r>
        <w:t>Tell others that the client is a personal friend before confirming legal authority and the permitted scope.</w:t>
      </w:r>
    </w:p>
    <w:p>
      <w:pPr>
        <w:pStyle w:val="Option"/>
        <w:keepNext w:val="0"/>
        <w:ind w:left="317" w:hanging="317"/>
      </w:pPr>
      <w:r>
        <w:rPr>
          <w:b/>
        </w:rPr>
        <w:t xml:space="preserve">D. </w:t>
      </w:r>
      <w:r>
        <w:t>Discuss the client’s preferences, create a confidentiality-conscious plan for public encounters, and revisit the plan if circumstances change.</w:t>
      </w:r>
    </w:p>
    <w:p>
      <w:pPr>
        <w:pStyle w:val="QuestionNumber"/>
        <w:keepNext/>
        <w:spacing w:before="140"/>
      </w:pPr>
      <w:r>
        <w:t xml:space="preserve">27. </w:t>
      </w:r>
      <w:r>
        <w:rPr>
          <w:b w:val="0"/>
          <w:color w:val="111111"/>
        </w:rPr>
        <w:t>A therapist must choose among clinically reasonable options while balancing likely benefit, possible harm, and the client’s informed preferences. How should beneficence generally relate to an informed client’s autonomy?</w:t>
      </w:r>
    </w:p>
    <w:p>
      <w:pPr>
        <w:pStyle w:val="Option"/>
        <w:keepNext/>
        <w:ind w:left="317" w:hanging="317"/>
      </w:pPr>
      <w:r>
        <w:rPr>
          <w:b/>
        </w:rPr>
        <w:t xml:space="preserve">A. </w:t>
      </w:r>
      <w:r>
        <w:t>Make every decision because professional training always overrides preference without further assessment of the governing facts.</w:t>
      </w:r>
    </w:p>
    <w:p>
      <w:pPr>
        <w:pStyle w:val="Option"/>
        <w:keepNext/>
        <w:ind w:left="317" w:hanging="317"/>
      </w:pPr>
      <w:r>
        <w:rPr>
          <w:b/>
        </w:rPr>
        <w:t xml:space="preserve">B. </w:t>
      </w:r>
      <w:r>
        <w:t>Offer reasoned recommendations and support informed client participation among appropriate options.</w:t>
      </w:r>
    </w:p>
    <w:p>
      <w:pPr>
        <w:pStyle w:val="Option"/>
        <w:keepNext/>
        <w:ind w:left="317" w:hanging="317"/>
      </w:pPr>
      <w:r>
        <w:rPr>
          <w:b/>
        </w:rPr>
        <w:t xml:space="preserve">C. </w:t>
      </w:r>
      <w:r>
        <w:t>Avoid making any professional recommendation without further assessment of the governing facts.</w:t>
      </w:r>
    </w:p>
    <w:p>
      <w:pPr>
        <w:pStyle w:val="Option"/>
        <w:keepNext w:val="0"/>
        <w:ind w:left="317" w:hanging="317"/>
      </w:pPr>
      <w:r>
        <w:rPr>
          <w:b/>
        </w:rPr>
        <w:t xml:space="preserve">D. </w:t>
      </w:r>
      <w:r>
        <w:t>The client must receive any requested service because the person's preference is treated as controlling.</w:t>
      </w:r>
    </w:p>
    <w:p>
      <w:pPr>
        <w:pStyle w:val="QuestionNumber"/>
        <w:keepNext/>
        <w:spacing w:before="140"/>
      </w:pPr>
      <w:r>
        <w:t xml:space="preserve">28. </w:t>
      </w:r>
      <w:r>
        <w:rPr>
          <w:b w:val="0"/>
          <w:color w:val="111111"/>
        </w:rP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Option"/>
        <w:keepNext/>
        <w:ind w:left="317" w:hanging="317"/>
      </w:pPr>
      <w:r>
        <w:rPr>
          <w:b/>
        </w:rPr>
        <w:t xml:space="preserve">A. </w:t>
      </w:r>
      <w:r>
        <w:t>Obtain the signature because the remaining concerns can be addressed after treatment begins because the existing paperwork is treated as conclusive.</w:t>
      </w:r>
    </w:p>
    <w:p>
      <w:pPr>
        <w:pStyle w:val="Option"/>
        <w:keepNext/>
        <w:ind w:left="317" w:hanging="317"/>
      </w:pPr>
      <w:r>
        <w:rPr>
          <w:b/>
        </w:rPr>
        <w:t xml:space="preserve">B. </w:t>
      </w:r>
      <w:r>
        <w:t>Reopen the discussion, correct the inaccurate guarantee, explain the intervention accessibly, disclose material risks and financial information, discuss reasonable options, and invite questions.</w:t>
      </w:r>
    </w:p>
    <w:p>
      <w:pPr>
        <w:pStyle w:val="Option"/>
        <w:keepNext/>
        <w:ind w:left="317" w:hanging="317"/>
      </w:pPr>
      <w:r>
        <w:rPr>
          <w:b/>
        </w:rPr>
        <w:t xml:space="preserve">C. </w:t>
      </w:r>
      <w:r>
        <w:t>Provide only a written list of risks and require the client to decide without discussion because the person's preference is treated as controlling.</w:t>
      </w:r>
    </w:p>
    <w:p>
      <w:pPr>
        <w:pStyle w:val="Option"/>
        <w:keepNext w:val="0"/>
        <w:ind w:left="317" w:hanging="317"/>
      </w:pPr>
      <w:r>
        <w:rPr>
          <w:b/>
        </w:rPr>
        <w:t xml:space="preserve">D. </w:t>
      </w:r>
      <w:r>
        <w:t>Withdraw every treatment recommendation because the original discussion was incomplete without further assessment of the governing facts.</w:t>
      </w:r>
    </w:p>
    <w:p>
      <w:pPr>
        <w:pStyle w:val="QuestionNumber"/>
        <w:keepNext/>
        <w:spacing w:before="140"/>
      </w:pPr>
      <w:r>
        <w:t xml:space="preserve">29. </w:t>
      </w:r>
      <w:r>
        <w:rPr>
          <w:b w:val="0"/>
          <w:color w:val="111111"/>
        </w:rPr>
        <w:t>A treating therapist is asked to provide a “neutral custody evaluation,” continue therapy, advise one parent’s attorney, and supervise a trainee on the same case. What is the best response?</w:t>
      </w:r>
    </w:p>
    <w:p>
      <w:pPr>
        <w:pStyle w:val="Option"/>
        <w:keepNext/>
        <w:ind w:left="317" w:hanging="317"/>
      </w:pPr>
      <w:r>
        <w:rPr>
          <w:b/>
        </w:rPr>
        <w:t xml:space="preserve">A. </w:t>
      </w:r>
      <w:r>
        <w:t>Accept every role if each participant signs a broad conflict waiver.</w:t>
      </w:r>
    </w:p>
    <w:p>
      <w:pPr>
        <w:pStyle w:val="Option"/>
        <w:keepNext/>
        <w:ind w:left="317" w:hanging="317"/>
      </w:pPr>
      <w:r>
        <w:rPr>
          <w:b/>
        </w:rPr>
        <w:t xml:space="preserve">B. </w:t>
      </w:r>
      <w:r>
        <w:t>Accept the evaluation and attorney-consultant roles but transfer supervision to another clinician.</w:t>
      </w:r>
    </w:p>
    <w:p>
      <w:pPr>
        <w:pStyle w:val="Option"/>
        <w:keepNext/>
        <w:ind w:left="317" w:hanging="317"/>
      </w:pPr>
      <w:r>
        <w:rPr>
          <w:b/>
        </w:rPr>
        <w:t xml:space="preserve">C. </w:t>
      </w:r>
      <w:r>
        <w:t>Continue therapy and provide a custody recommendation based only on treatment observations.</w:t>
      </w:r>
    </w:p>
    <w:p>
      <w:pPr>
        <w:pStyle w:val="Option"/>
        <w:keepNext w:val="0"/>
        <w:ind w:left="317" w:hanging="317"/>
      </w:pPr>
      <w:r>
        <w:rPr>
          <w:b/>
        </w:rPr>
        <w:t xml:space="preserve">D. </w:t>
      </w:r>
      <w:r>
        <w:t>Clarify the existing treatment role, decline incompatible roles, and refer evaluation or legal-consultation functions appropriately.</w:t>
      </w:r>
    </w:p>
    <w:p>
      <w:pPr>
        <w:pStyle w:val="QuestionNumber"/>
        <w:keepNext/>
        <w:spacing w:before="140"/>
      </w:pPr>
      <w:r>
        <w:t xml:space="preserve">30. </w:t>
      </w:r>
      <w:r>
        <w:rPr>
          <w:b w:val="0"/>
          <w:color w:val="111111"/>
        </w:rPr>
        <w:t>During supervision, a clinician reviews whether off-duty substance use has become professionally relevant to client care. When may substance use outside work hours become professionally relevant?</w:t>
      </w:r>
    </w:p>
    <w:p>
      <w:pPr>
        <w:pStyle w:val="Option"/>
        <w:keepNext/>
        <w:ind w:left="317" w:hanging="317"/>
      </w:pPr>
      <w:r>
        <w:rPr>
          <w:b/>
        </w:rPr>
        <w:t xml:space="preserve">A. </w:t>
      </w:r>
      <w:r>
        <w:t>When residual effects, withdrawal, disrupted sleep, or missed availability interfere with professional responsibilities.</w:t>
      </w:r>
    </w:p>
    <w:p>
      <w:pPr>
        <w:pStyle w:val="Option"/>
        <w:keepNext/>
        <w:ind w:left="317" w:hanging="317"/>
      </w:pPr>
      <w:r>
        <w:rPr>
          <w:b/>
        </w:rPr>
        <w:t xml:space="preserve">B. </w:t>
      </w:r>
      <w:r>
        <w:t>Whenever any colleague knows that use occurred without further assessment of the governing facts.</w:t>
      </w:r>
    </w:p>
    <w:p>
      <w:pPr>
        <w:pStyle w:val="Option"/>
        <w:keepNext/>
        <w:ind w:left="317" w:hanging="317"/>
      </w:pPr>
      <w:r>
        <w:rPr>
          <w:b/>
        </w:rPr>
        <w:t xml:space="preserve">C. </w:t>
      </w:r>
      <w:r>
        <w:t>Only after the Board files a disciplinary accusation without further assessment of the governing facts.</w:t>
      </w:r>
    </w:p>
    <w:p>
      <w:pPr>
        <w:pStyle w:val="Option"/>
        <w:keepNext w:val="0"/>
        <w:ind w:left="317" w:hanging="317"/>
      </w:pPr>
      <w:r>
        <w:rPr>
          <w:b/>
        </w:rPr>
        <w:t xml:space="preserve">D. </w:t>
      </w:r>
      <w:r>
        <w:t>Never, because off-duty conduct is always private without further assessment of the governing facts.</w:t>
      </w:r>
    </w:p>
    <w:p>
      <w:pPr>
        <w:pStyle w:val="QuestionNumber"/>
        <w:keepNext/>
        <w:spacing w:before="140"/>
      </w:pPr>
      <w:r>
        <w:t xml:space="preserve">31. </w:t>
      </w:r>
      <w:r>
        <w:rPr>
          <w:b w:val="0"/>
          <w:color w:val="111111"/>
        </w:rPr>
        <w:t>A therapist providing individual therapy proposes that the client’s spouse begin attending regularly and that the work transition into conjoint couple therapy. What should occur before the change?</w:t>
      </w:r>
    </w:p>
    <w:p>
      <w:pPr>
        <w:pStyle w:val="Option"/>
        <w:keepNext/>
        <w:ind w:left="317" w:hanging="317"/>
      </w:pPr>
      <w:r>
        <w:rPr>
          <w:b/>
        </w:rPr>
        <w:t xml:space="preserve">A. </w:t>
      </w:r>
      <w:r>
        <w:t>The spouse should begin attending because the original client already consented because the person's preference is treated as controlling.</w:t>
      </w:r>
    </w:p>
    <w:p>
      <w:pPr>
        <w:pStyle w:val="Option"/>
        <w:keepNext/>
        <w:ind w:left="317" w:hanging="317"/>
      </w:pPr>
      <w:r>
        <w:rPr>
          <w:b/>
        </w:rPr>
        <w:t xml:space="preserve">B. </w:t>
      </w:r>
      <w:r>
        <w:t>Clarify the new purpose, treatment roles, who will be considered a client, confidentiality expectations, and other information relevant to both individuals’ decisions.</w:t>
      </w:r>
    </w:p>
    <w:p>
      <w:pPr>
        <w:pStyle w:val="Option"/>
        <w:keepNext/>
        <w:ind w:left="317" w:hanging="317"/>
      </w:pPr>
      <w:r>
        <w:rPr>
          <w:b/>
        </w:rPr>
        <w:t xml:space="preserve">C. </w:t>
      </w:r>
      <w:r>
        <w:t>Tell the spouse that the original client controls all information in conjoint treatment before confirming legal authority and the permitted scope.</w:t>
      </w:r>
    </w:p>
    <w:p>
      <w:pPr>
        <w:pStyle w:val="Option"/>
        <w:keepNext w:val="0"/>
        <w:ind w:left="317" w:hanging="317"/>
      </w:pPr>
      <w:r>
        <w:rPr>
          <w:b/>
        </w:rPr>
        <w:t xml:space="preserve">D. </w:t>
      </w:r>
      <w:r>
        <w:t>Change the format without discussion to avoid discomfort because the existing paperwork is treated as conclusive.</w:t>
      </w:r>
    </w:p>
    <w:p>
      <w:pPr>
        <w:pStyle w:val="QuestionNumber"/>
        <w:keepNext/>
        <w:spacing w:before="140"/>
      </w:pPr>
      <w:r>
        <w:t xml:space="preserve">32. </w:t>
      </w:r>
      <w:r>
        <w:rPr>
          <w:b w:val="0"/>
          <w:color w:val="111111"/>
        </w:rPr>
        <w:t>A parent asks for the treatment record of a teenager who lawfully consented to the mental-health services independently. The parent says parental status alone requires the therapist to release everything.</w:t>
        <w:br/>
        <w:t>What should the therapist do first?</w:t>
      </w:r>
    </w:p>
    <w:p>
      <w:pPr>
        <w:pStyle w:val="Option"/>
        <w:keepNext/>
        <w:ind w:left="317" w:hanging="317"/>
      </w:pPr>
      <w:r>
        <w:rPr>
          <w:b/>
        </w:rPr>
        <w:t xml:space="preserve">A. </w:t>
      </w:r>
      <w:r>
        <w:t>Release the entire record because parents always control a minor’s health information before confirming legal authority and the permitted scope.</w:t>
      </w:r>
    </w:p>
    <w:p>
      <w:pPr>
        <w:pStyle w:val="Option"/>
        <w:keepNext/>
        <w:ind w:left="317" w:hanging="317"/>
      </w:pPr>
      <w:r>
        <w:rPr>
          <w:b/>
        </w:rPr>
        <w:t xml:space="preserve">B. </w:t>
      </w:r>
      <w:r>
        <w:t>Refuse every parental request whenever a teenager participated in consent because family status is treated as automatic authority.</w:t>
      </w:r>
    </w:p>
    <w:p>
      <w:pPr>
        <w:pStyle w:val="Option"/>
        <w:keepNext/>
        <w:ind w:left="317" w:hanging="317"/>
      </w:pPr>
      <w:r>
        <w:rPr>
          <w:b/>
        </w:rPr>
        <w:t xml:space="preserve">C. </w:t>
      </w:r>
      <w:r>
        <w:t>Determine who consented, what access rights follow from that consent, whether the parent is an authorized representative for these services, and whether any California limitation applies.</w:t>
      </w:r>
    </w:p>
    <w:p>
      <w:pPr>
        <w:pStyle w:val="Option"/>
        <w:keepNext w:val="0"/>
        <w:ind w:left="317" w:hanging="317"/>
      </w:pPr>
      <w:r>
        <w:rPr>
          <w:b/>
        </w:rPr>
        <w:t xml:space="preserve">D. </w:t>
      </w:r>
      <w:r>
        <w:t>Ask the parent who paid for treatment and use payment responsibility to decide access and rely on that response instead of professional judgment.</w:t>
      </w:r>
    </w:p>
    <w:p>
      <w:pPr>
        <w:pStyle w:val="QuestionNumber"/>
        <w:keepNext/>
        <w:spacing w:before="140"/>
      </w:pPr>
      <w:r>
        <w:t xml:space="preserve">33. </w:t>
      </w:r>
      <w:r>
        <w:rPr>
          <w:b w:val="0"/>
          <w:color w:val="111111"/>
        </w:rPr>
        <w:t>A registered AMFT provides 12 direct clinical counseling hours in one setting during a week. The regular supervisor is unavailable. The registered AMFT has only a one-hour peer check-in, then learns that a client has active suicidal intent and had withheld that fact during intake. Which response best integrates the registered AMFT’s responsibilities?</w:t>
      </w:r>
    </w:p>
    <w:p>
      <w:pPr>
        <w:pStyle w:val="Option"/>
        <w:keepNext/>
        <w:ind w:left="317" w:hanging="317"/>
      </w:pPr>
      <w:r>
        <w:rPr>
          <w:b/>
        </w:rPr>
        <w:t xml:space="preserve">A. </w:t>
      </w:r>
      <w:r>
        <w:t>Count the peer check-in as the required two units and wait for the regular supervisor to return without further assessment of the governing facts while treating that single factor as controlling.</w:t>
      </w:r>
    </w:p>
    <w:p>
      <w:pPr>
        <w:pStyle w:val="Option"/>
        <w:keepNext/>
        <w:ind w:left="317" w:hanging="317"/>
      </w:pPr>
      <w:r>
        <w:rPr>
          <w:b/>
        </w:rPr>
        <w:t xml:space="preserve">B. </w:t>
      </w:r>
      <w:r>
        <w:t>Document that supervision occurred, avoid contacting anyone, and continue the same treatment plan as though documentation alone resolves the underlying issue.</w:t>
      </w:r>
    </w:p>
    <w:p>
      <w:pPr>
        <w:pStyle w:val="Option"/>
        <w:keepNext/>
        <w:ind w:left="317" w:hanging="317"/>
      </w:pPr>
      <w:r>
        <w:rPr>
          <w:b/>
        </w:rPr>
        <w:t xml:space="preserve">C. </w:t>
      </w:r>
      <w:r>
        <w:t>Terminate the client immediately and omit the risk information from the weekly log to protect the registered AMFT’s hours without first resolving the underlying legal or clinical issue.</w:t>
      </w:r>
    </w:p>
    <w:p>
      <w:pPr>
        <w:pStyle w:val="Option"/>
        <w:keepNext w:val="0"/>
        <w:ind w:left="317" w:hanging="317"/>
      </w:pPr>
      <w:r>
        <w:rPr>
          <w:b/>
        </w:rPr>
        <w:t xml:space="preserve">D. </w:t>
      </w:r>
      <w:r>
        <w:t>Address risk immediately, contact a qualified substitute or on-call supervisor, disclose material facts, do not count peer discussion as required supervision, and complete the required supervision records.</w:t>
      </w:r>
    </w:p>
    <w:p>
      <w:pPr>
        <w:pStyle w:val="QuestionNumber"/>
        <w:keepNext/>
        <w:spacing w:before="140"/>
      </w:pPr>
      <w:r>
        <w:t xml:space="preserve">34. </w:t>
      </w:r>
      <w:r>
        <w:rPr>
          <w:b w:val="0"/>
          <w:color w:val="111111"/>
        </w:rPr>
        <w:t>A therapist has a well-managed depressive disorder and consistently demonstrates sound judgment, reliable attendance, accurate documentation, and effective client care. Which conclusion is most accurate?</w:t>
      </w:r>
    </w:p>
    <w:p>
      <w:pPr>
        <w:pStyle w:val="Option"/>
        <w:keepNext/>
        <w:ind w:left="317" w:hanging="317"/>
      </w:pPr>
      <w:r>
        <w:rPr>
          <w:b/>
        </w:rPr>
        <w:t xml:space="preserve">A. </w:t>
      </w:r>
      <w:r>
        <w:t>The diagnosis automatically establishes professional impairment without further assessment of the governing facts.</w:t>
      </w:r>
    </w:p>
    <w:p>
      <w:pPr>
        <w:pStyle w:val="Option"/>
        <w:keepNext/>
        <w:ind w:left="317" w:hanging="317"/>
      </w:pPr>
      <w:r>
        <w:rPr>
          <w:b/>
        </w:rPr>
        <w:t xml:space="preserve">B. </w:t>
      </w:r>
      <w:r>
        <w:t>The diagnosis alone does not establish impairment because professional functioning remains effective.</w:t>
      </w:r>
    </w:p>
    <w:p>
      <w:pPr>
        <w:pStyle w:val="Option"/>
        <w:keepNext/>
        <w:ind w:left="317" w:hanging="317"/>
      </w:pPr>
      <w:r>
        <w:rPr>
          <w:b/>
        </w:rPr>
        <w:t xml:space="preserve">C. </w:t>
      </w:r>
      <w:r>
        <w:t>The clinician must permanently stop practicing without further assessment of the governing facts.</w:t>
      </w:r>
    </w:p>
    <w:p>
      <w:pPr>
        <w:pStyle w:val="Option"/>
        <w:keepNext w:val="0"/>
        <w:ind w:left="317" w:hanging="317"/>
      </w:pPr>
      <w:r>
        <w:rPr>
          <w:b/>
        </w:rPr>
        <w:t xml:space="preserve">D. </w:t>
      </w:r>
      <w:r>
        <w:t>The clinician must disclose the diagnosis to every client without further assessment of the governing facts.</w:t>
      </w:r>
    </w:p>
    <w:p>
      <w:pPr>
        <w:pStyle w:val="QuestionNumber"/>
        <w:keepNext/>
        <w:spacing w:before="140"/>
      </w:pPr>
      <w:r>
        <w:t xml:space="preserve">35. </w:t>
      </w:r>
      <w:r>
        <w:rPr>
          <w:b w:val="0"/>
          <w:color w:val="111111"/>
        </w:rP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Option"/>
        <w:keepNext/>
        <w:ind w:left="317" w:hanging="317"/>
      </w:pPr>
      <w:r>
        <w:rPr>
          <w:b/>
        </w:rPr>
        <w:t xml:space="preserve">A. </w:t>
      </w:r>
      <w:r>
        <w:t>The clinician may need additional culturally responsive preparation and should evaluate how the unfamiliar context affects assessment and treatment.</w:t>
      </w:r>
    </w:p>
    <w:p>
      <w:pPr>
        <w:pStyle w:val="Option"/>
        <w:keepNext/>
        <w:ind w:left="317" w:hanging="317"/>
      </w:pPr>
      <w:r>
        <w:rPr>
          <w:b/>
        </w:rPr>
        <w:t xml:space="preserve">B. </w:t>
      </w:r>
      <w:r>
        <w:t>Cultural and linguistic factors are unrelated to clinical competence without further assessment of the governing facts.</w:t>
      </w:r>
    </w:p>
    <w:p>
      <w:pPr>
        <w:pStyle w:val="Option"/>
        <w:keepNext/>
        <w:ind w:left="317" w:hanging="317"/>
      </w:pPr>
      <w:r>
        <w:rPr>
          <w:b/>
        </w:rPr>
        <w:t xml:space="preserve">C. </w:t>
      </w:r>
      <w:r>
        <w:t>Rely on stereotypes to fill gaps quickly without further assessment of the governing facts.</w:t>
      </w:r>
    </w:p>
    <w:p>
      <w:pPr>
        <w:pStyle w:val="Option"/>
        <w:keepNext w:val="0"/>
        <w:ind w:left="317" w:hanging="317"/>
      </w:pPr>
      <w:r>
        <w:rPr>
          <w:b/>
        </w:rPr>
        <w:t xml:space="preserve">D. </w:t>
      </w:r>
      <w:r>
        <w:t>Clinicians must become experts in every culture before accepting any client without further assessment of the governing facts.</w:t>
      </w:r>
    </w:p>
    <w:p>
      <w:pPr>
        <w:pStyle w:val="QuestionNumber"/>
        <w:keepNext/>
        <w:spacing w:before="140"/>
      </w:pPr>
      <w:r>
        <w:t xml:space="preserve">36. </w:t>
      </w:r>
      <w:r>
        <w:rPr>
          <w:b w:val="0"/>
          <w:color w:val="111111"/>
        </w:rP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Option"/>
        <w:keepNext/>
        <w:ind w:left="317" w:hanging="317"/>
      </w:pPr>
      <w:r>
        <w:rPr>
          <w:b/>
        </w:rPr>
        <w:t xml:space="preserve">A. </w:t>
      </w:r>
      <w:r>
        <w:t>Deny the request because only the parent with primary physical custody may ever access records because family status is treated as automatic authority while treating that single factor as controlling.</w:t>
      </w:r>
    </w:p>
    <w:p>
      <w:pPr>
        <w:pStyle w:val="Option"/>
        <w:keepNext/>
        <w:ind w:left="317" w:hanging="317"/>
      </w:pPr>
      <w:r>
        <w:rPr>
          <w:b/>
        </w:rPr>
        <w:t xml:space="preserve">B. </w:t>
      </w:r>
      <w:r>
        <w:t>Release the complete record immediately because every parent has an unconditional right to all records before confirming legal authority and the permitted scope.</w:t>
      </w:r>
    </w:p>
    <w:p>
      <w:pPr>
        <w:pStyle w:val="Option"/>
        <w:keepNext/>
        <w:ind w:left="317" w:hanging="317"/>
      </w:pPr>
      <w:r>
        <w:rPr>
          <w:b/>
        </w:rPr>
        <w:t xml:space="preserve">C. </w:t>
      </w:r>
      <w:r>
        <w:t>Do not deny access solely because the father is noncustodial, verify his identity and parental rights, review controlling orders, and apply the specific statutory restrictions governing minor records.</w:t>
      </w:r>
    </w:p>
    <w:p>
      <w:pPr>
        <w:pStyle w:val="Option"/>
        <w:keepNext w:val="0"/>
        <w:ind w:left="317" w:hanging="317"/>
      </w:pPr>
      <w:r>
        <w:rPr>
          <w:b/>
        </w:rPr>
        <w:t xml:space="preserve">D. </w:t>
      </w:r>
      <w:r>
        <w:t>Ask the child to decide whether the father is legally considered a parent and rely on that response instead of professional judgment.</w:t>
      </w:r>
    </w:p>
    <w:p>
      <w:pPr>
        <w:pStyle w:val="QuestionNumber"/>
        <w:keepNext/>
        <w:spacing w:before="140"/>
      </w:pPr>
      <w:r>
        <w:t xml:space="preserve">37. </w:t>
      </w:r>
      <w:r>
        <w:rPr>
          <w:b w:val="0"/>
          <w:color w:val="111111"/>
        </w:rPr>
        <w:t>A client joins a telehealth session from a crowded coffee shop and begins discussing highly sensitive trauma. What should the therapist do first?</w:t>
      </w:r>
    </w:p>
    <w:p>
      <w:pPr>
        <w:pStyle w:val="Option"/>
        <w:keepNext/>
        <w:ind w:left="317" w:hanging="317"/>
      </w:pPr>
      <w:r>
        <w:rPr>
          <w:b/>
        </w:rPr>
        <w:t xml:space="preserve">A. </w:t>
      </w:r>
      <w:r>
        <w:t>Continue because privacy in the client’s location is solely the client’s responsibility.</w:t>
      </w:r>
    </w:p>
    <w:p>
      <w:pPr>
        <w:pStyle w:val="Option"/>
        <w:keepNext/>
        <w:ind w:left="317" w:hanging="317"/>
      </w:pPr>
      <w:r>
        <w:rPr>
          <w:b/>
        </w:rPr>
        <w:t xml:space="preserve">B. </w:t>
      </w:r>
      <w:r>
        <w:t>Require the client to sign a waiver accepting every environmental privacy risk.</w:t>
      </w:r>
    </w:p>
    <w:p>
      <w:pPr>
        <w:pStyle w:val="Option"/>
        <w:keepNext/>
        <w:ind w:left="317" w:hanging="317"/>
      </w:pPr>
      <w:r>
        <w:rPr>
          <w:b/>
        </w:rPr>
        <w:t xml:space="preserve">C. </w:t>
      </w:r>
      <w:r>
        <w:t>Assess the environment, address foreseeable privacy limits, and collaboratively improve conditions before continuing.</w:t>
      </w:r>
    </w:p>
    <w:p>
      <w:pPr>
        <w:pStyle w:val="Option"/>
        <w:keepNext w:val="0"/>
        <w:ind w:left="317" w:hanging="317"/>
      </w:pPr>
      <w:r>
        <w:rPr>
          <w:b/>
        </w:rPr>
        <w:t xml:space="preserve">D. </w:t>
      </w:r>
      <w:r>
        <w:t>Terminate telehealth permanently whenever another person might be within hearing distance.</w:t>
      </w:r>
    </w:p>
    <w:p>
      <w:pPr>
        <w:pStyle w:val="QuestionNumber"/>
        <w:keepNext/>
        <w:spacing w:before="140"/>
      </w:pPr>
      <w:r>
        <w:t xml:space="preserve">38. </w:t>
      </w:r>
      <w:r>
        <w:rPr>
          <w:b w:val="0"/>
          <w:color w:val="111111"/>
        </w:rPr>
        <w:t>A therapist recognizes a possible impairment concern and must choose a proportionate response that protects clients and preserves continuity of care. Which impairment-related documentation is most appropriate?</w:t>
      </w:r>
    </w:p>
    <w:p>
      <w:pPr>
        <w:pStyle w:val="Option"/>
        <w:keepNext/>
        <w:ind w:left="317" w:hanging="317"/>
      </w:pPr>
      <w:r>
        <w:rPr>
          <w:b/>
        </w:rPr>
        <w:t xml:space="preserve">A. </w:t>
      </w:r>
      <w:r>
        <w:t>Record observable functional concerns, client-risk analysis, consultation, duty changes, continuity steps, and follow-up without unnecessary diagnostic speculation.</w:t>
      </w:r>
    </w:p>
    <w:p>
      <w:pPr>
        <w:pStyle w:val="Option"/>
        <w:keepNext/>
        <w:ind w:left="317" w:hanging="317"/>
      </w:pPr>
      <w:r>
        <w:rPr>
          <w:b/>
        </w:rPr>
        <w:t xml:space="preserve">B. </w:t>
      </w:r>
      <w:r>
        <w:t>Document only that “the clinician is impaired” without facts or a plan as though documentation alone resolves the underlying issue.</w:t>
      </w:r>
    </w:p>
    <w:p>
      <w:pPr>
        <w:pStyle w:val="Option"/>
        <w:keepNext/>
        <w:ind w:left="317" w:hanging="317"/>
      </w:pPr>
      <w:r>
        <w:rPr>
          <w:b/>
        </w:rPr>
        <w:t xml:space="preserve">C. </w:t>
      </w:r>
      <w:r>
        <w:t>Include every private health detail so the record appears comprehensive without further assessment of the governing facts.</w:t>
      </w:r>
    </w:p>
    <w:p>
      <w:pPr>
        <w:pStyle w:val="Option"/>
        <w:keepNext w:val="0"/>
        <w:ind w:left="317" w:hanging="317"/>
      </w:pPr>
      <w:r>
        <w:rPr>
          <w:b/>
        </w:rPr>
        <w:t xml:space="preserve">D. </w:t>
      </w:r>
      <w:r>
        <w:t>Avoid documentation because impairment is always a personal matter without further assessment of the governing facts.</w:t>
      </w:r>
    </w:p>
    <w:p>
      <w:pPr>
        <w:pStyle w:val="QuestionNumber"/>
        <w:keepNext/>
        <w:spacing w:before="140"/>
      </w:pPr>
      <w:r>
        <w:t xml:space="preserve">39. </w:t>
      </w:r>
      <w:r>
        <w:rPr>
          <w:b w:val="0"/>
          <w:color w:val="111111"/>
        </w:rPr>
        <w:t>A financially struggling client offers the therapist an expensive watch and says, “You have done so much for me. I need you to accept this.”</w:t>
        <w:br/>
        <w:t>What is the most appropriate response?</w:t>
      </w:r>
    </w:p>
    <w:p>
      <w:pPr>
        <w:pStyle w:val="Option"/>
        <w:keepNext/>
        <w:ind w:left="317" w:hanging="317"/>
      </w:pPr>
      <w:r>
        <w:rPr>
          <w:b/>
        </w:rPr>
        <w:t xml:space="preserve">A. </w:t>
      </w:r>
      <w:r>
        <w:t>Accept the watch because declining it may hurt the client’s feelings without further assessment of the governing facts.</w:t>
      </w:r>
    </w:p>
    <w:p>
      <w:pPr>
        <w:pStyle w:val="Option"/>
        <w:keepNext/>
        <w:ind w:left="317" w:hanging="317"/>
      </w:pPr>
      <w:r>
        <w:rPr>
          <w:b/>
        </w:rPr>
        <w:t xml:space="preserve">B. </w:t>
      </w:r>
      <w:r>
        <w:t>Explore the gift’s meaning and decline it sensitively because its value, the client’s finances, and the possibility of obligation create substantial concern.</w:t>
      </w:r>
    </w:p>
    <w:p>
      <w:pPr>
        <w:pStyle w:val="Option"/>
        <w:keepNext/>
        <w:ind w:left="317" w:hanging="317"/>
      </w:pPr>
      <w:r>
        <w:rPr>
          <w:b/>
        </w:rPr>
        <w:t xml:space="preserve">C. </w:t>
      </w:r>
      <w:r>
        <w:t>Accept the watch and reduce the client’s next therapy bill without further assessment of the governing facts.</w:t>
      </w:r>
    </w:p>
    <w:p>
      <w:pPr>
        <w:pStyle w:val="Option"/>
        <w:keepNext w:val="0"/>
        <w:ind w:left="317" w:hanging="317"/>
      </w:pPr>
      <w:r>
        <w:rPr>
          <w:b/>
        </w:rPr>
        <w:t xml:space="preserve">D. </w:t>
      </w:r>
      <w:r>
        <w:t>Ask the client to exchange it for a less expensive gift selected by the clinician and rely on that response instead of professional judgment.</w:t>
      </w:r>
    </w:p>
    <w:p>
      <w:pPr>
        <w:pStyle w:val="QuestionNumber"/>
        <w:keepNext/>
        <w:spacing w:before="140"/>
      </w:pPr>
      <w:r>
        <w:t xml:space="preserve">40. </w:t>
      </w:r>
      <w:r>
        <w:rPr>
          <w:b w:val="0"/>
          <w:color w:val="111111"/>
        </w:rPr>
        <w:t>A client with a physical disability speaks conversational English but appears confused by complex treatment information. The client has missed appointments because of transportation problems and asks to include a trusted family member in selected discussions. The therapist concludes that the client lacks capacity, is unmotivated, and should be discharged.</w:t>
        <w:br/>
        <w:t>What is the most appropriate response?</w:t>
      </w:r>
    </w:p>
    <w:p>
      <w:pPr>
        <w:pStyle w:val="Option"/>
        <w:keepNext/>
        <w:ind w:left="317" w:hanging="317"/>
      </w:pPr>
      <w:r>
        <w:rPr>
          <w:b/>
        </w:rPr>
        <w:t xml:space="preserve">A. </w:t>
      </w:r>
      <w:r>
        <w:t>Reassess each issue individually by evaluating actual decision-making ability, confirming language comprehension, exploring transportation barriers, clarifying the requested family role, arranging appropriate supports, and reconsidering discharge.</w:t>
      </w:r>
    </w:p>
    <w:p>
      <w:pPr>
        <w:pStyle w:val="Option"/>
        <w:keepNext/>
        <w:ind w:left="317" w:hanging="317"/>
      </w:pPr>
      <w:r>
        <w:rPr>
          <w:b/>
        </w:rPr>
        <w:t xml:space="preserve">B. </w:t>
      </w:r>
      <w:r>
        <w:t>Discharge the client because several difficulties indicate that outpatient treatment is unsuitable without further assessment of the governing facts.</w:t>
      </w:r>
    </w:p>
    <w:p>
      <w:pPr>
        <w:pStyle w:val="Option"/>
        <w:keepNext/>
        <w:ind w:left="317" w:hanging="317"/>
      </w:pPr>
      <w:r>
        <w:rPr>
          <w:b/>
        </w:rPr>
        <w:t xml:space="preserve">C. </w:t>
      </w:r>
      <w:r>
        <w:t>Give the family member full authority over treatment because the client has a disability because family status is treated as automatic authority while treating that single factor as controlling.</w:t>
      </w:r>
    </w:p>
    <w:p>
      <w:pPr>
        <w:pStyle w:val="Option"/>
        <w:keepNext w:val="0"/>
        <w:ind w:left="317" w:hanging="317"/>
      </w:pPr>
      <w:r>
        <w:rPr>
          <w:b/>
        </w:rPr>
        <w:t xml:space="preserve">D. </w:t>
      </w:r>
      <w:r>
        <w:t>Continue unchanged because adapting treatment would lower professional standards without additional assessment or consultation.</w:t>
      </w:r>
    </w:p>
    <w:p>
      <w:pPr>
        <w:pStyle w:val="QuestionNumber"/>
        <w:keepNext/>
        <w:spacing w:before="140"/>
      </w:pPr>
      <w:r>
        <w:t xml:space="preserve">41. </w:t>
      </w:r>
      <w:r>
        <w:rPr>
          <w:b w:val="0"/>
          <w:color w:val="111111"/>
        </w:rPr>
        <w:t>A client communicates a serious threat of physical violence against a reasonably identifiable victim. The therapist is uncertain about one detail of the law. What is the best response?</w:t>
      </w:r>
    </w:p>
    <w:p>
      <w:pPr>
        <w:pStyle w:val="Option"/>
        <w:keepNext/>
        <w:ind w:left="317" w:hanging="317"/>
      </w:pPr>
      <w:r>
        <w:rPr>
          <w:b/>
        </w:rPr>
        <w:t xml:space="preserve">A. </w:t>
      </w:r>
      <w:r>
        <w:t>Wait for a routine consultation appointment next week before assessing or acting until a complaint, injury, or clearer problem occurs.</w:t>
      </w:r>
    </w:p>
    <w:p>
      <w:pPr>
        <w:pStyle w:val="Option"/>
        <w:keepNext/>
        <w:ind w:left="317" w:hanging="317"/>
      </w:pPr>
      <w:r>
        <w:rPr>
          <w:b/>
        </w:rPr>
        <w:t xml:space="preserve">B. </w:t>
      </w:r>
      <w:r>
        <w:t>Assess and take prompt protective action required by the circumstances while obtaining immediate qualified guidance without delaying protection.</w:t>
      </w:r>
    </w:p>
    <w:p>
      <w:pPr>
        <w:pStyle w:val="Option"/>
        <w:keepNext/>
        <w:ind w:left="317" w:hanging="317"/>
      </w:pPr>
      <w:r>
        <w:rPr>
          <w:b/>
        </w:rPr>
        <w:t xml:space="preserve">C. </w:t>
      </w:r>
      <w:r>
        <w:t>Disregard the threat because legal uncertainty eliminates responsibility without further assessment of the governing facts.</w:t>
      </w:r>
    </w:p>
    <w:p>
      <w:pPr>
        <w:pStyle w:val="Option"/>
        <w:keepNext w:val="0"/>
        <w:ind w:left="317" w:hanging="317"/>
      </w:pPr>
      <w:r>
        <w:rPr>
          <w:b/>
        </w:rPr>
        <w:t xml:space="preserve">D. </w:t>
      </w:r>
      <w:r>
        <w:t>Transfer the decision entirely to a colleague who has never evaluated the client before considering a less disruptive protective response.</w:t>
      </w:r>
    </w:p>
    <w:p>
      <w:pPr>
        <w:pStyle w:val="QuestionNumber"/>
        <w:keepNext/>
        <w:spacing w:before="140"/>
      </w:pPr>
      <w:r>
        <w:t xml:space="preserve">42. </w:t>
      </w:r>
      <w:r>
        <w:rPr>
          <w:b w:val="0"/>
          <w:color w:val="111111"/>
        </w:rPr>
        <w:t>A client makes a serious threat toward another person. The therapist assesses intent, access to weapons, identifying information about the potential victim, protective factors, and immediate safety needs. The therapist obtains consultation, takes protective action, and schedules follow-up.</w:t>
        <w:br/>
        <w:t>The progress note states only:</w:t>
        <w:br/>
        <w:t>“Client was angry. Safety addressed.”</w:t>
        <w:br/>
        <w:t>What is the most significant documentation concern?</w:t>
      </w:r>
    </w:p>
    <w:p>
      <w:pPr>
        <w:pStyle w:val="Option"/>
        <w:keepNext/>
        <w:ind w:left="317" w:hanging="317"/>
      </w:pPr>
      <w:r>
        <w:rPr>
          <w:b/>
        </w:rPr>
        <w:t xml:space="preserve">A. </w:t>
      </w:r>
      <w:r>
        <w:t>The note omits the assessment, clinical reasoning, consultation, protective action, and follow-up needed to explain the clinician’s response.</w:t>
      </w:r>
    </w:p>
    <w:p>
      <w:pPr>
        <w:pStyle w:val="Option"/>
        <w:keepNext/>
        <w:ind w:left="317" w:hanging="317"/>
      </w:pPr>
      <w:r>
        <w:rPr>
          <w:b/>
        </w:rPr>
        <w:t xml:space="preserve">B. </w:t>
      </w:r>
      <w:r>
        <w:t>The note contains too much identifying information about the potential victim without further assessment of the governing facts.</w:t>
      </w:r>
    </w:p>
    <w:p>
      <w:pPr>
        <w:pStyle w:val="Option"/>
        <w:keepNext/>
        <w:ind w:left="317" w:hanging="317"/>
      </w:pPr>
      <w:r>
        <w:rPr>
          <w:b/>
        </w:rPr>
        <w:t xml:space="preserve">C. </w:t>
      </w:r>
      <w:r>
        <w:t>The note should include a complete transcript of everything the client said without further assessment of the governing facts.</w:t>
      </w:r>
    </w:p>
    <w:p>
      <w:pPr>
        <w:pStyle w:val="Option"/>
        <w:keepNext w:val="0"/>
        <w:ind w:left="317" w:hanging="317"/>
      </w:pPr>
      <w:r>
        <w:rPr>
          <w:b/>
        </w:rPr>
        <w:t xml:space="preserve">D. </w:t>
      </w:r>
      <w:r>
        <w:t>The note is sufficient because it establishes that safety was discussed without further assessment of the governing facts.</w:t>
      </w:r>
    </w:p>
    <w:p>
      <w:pPr>
        <w:pStyle w:val="QuestionNumber"/>
        <w:keepNext/>
        <w:spacing w:before="140"/>
      </w:pPr>
      <w:r>
        <w:t xml:space="preserve">43. </w:t>
      </w:r>
      <w:r>
        <w:rPr>
          <w:b w:val="0"/>
          <w:color w:val="111111"/>
        </w:rPr>
        <w:t>A client initiates email communication with a therapist about scheduling. Which conclusion is most accurate?</w:t>
      </w:r>
    </w:p>
    <w:p>
      <w:pPr>
        <w:pStyle w:val="Option"/>
        <w:keepNext/>
        <w:ind w:left="317" w:hanging="317"/>
      </w:pPr>
      <w:r>
        <w:rPr>
          <w:b/>
        </w:rPr>
        <w:t xml:space="preserve">A. </w:t>
      </w:r>
      <w:r>
        <w:t>The client has waived confidentiality for all future email communication without further assessment of the governing facts.</w:t>
      </w:r>
    </w:p>
    <w:p>
      <w:pPr>
        <w:pStyle w:val="Option"/>
        <w:keepNext/>
        <w:ind w:left="317" w:hanging="317"/>
      </w:pPr>
      <w:r>
        <w:rPr>
          <w:b/>
        </w:rPr>
        <w:t xml:space="preserve">B. </w:t>
      </w:r>
      <w:r>
        <w:t>The clinician may send unlimited clinical detail because the client emailed first without further assessment of the governing facts while treating that single factor as controlling.</w:t>
      </w:r>
    </w:p>
    <w:p>
      <w:pPr>
        <w:pStyle w:val="Option"/>
        <w:keepNext/>
        <w:ind w:left="317" w:hanging="317"/>
      </w:pPr>
      <w:r>
        <w:rPr>
          <w:b/>
        </w:rPr>
        <w:t xml:space="preserve">C. </w:t>
      </w:r>
      <w:r>
        <w:t>The clinician must refuse to use email under all circumstances without further assessment of the governing facts.</w:t>
      </w:r>
    </w:p>
    <w:p>
      <w:pPr>
        <w:pStyle w:val="Option"/>
        <w:keepNext w:val="0"/>
        <w:ind w:left="317" w:hanging="317"/>
      </w:pPr>
      <w:r>
        <w:rPr>
          <w:b/>
        </w:rPr>
        <w:t xml:space="preserve">D. </w:t>
      </w:r>
      <w:r>
        <w:t>The client’s initiation may indicate that email is acceptable for that communication, but the clinician still must use professional judgment and reasonable safeguards.</w:t>
      </w:r>
    </w:p>
    <w:p>
      <w:pPr>
        <w:pStyle w:val="QuestionNumber"/>
        <w:keepNext/>
        <w:spacing w:before="140"/>
      </w:pPr>
      <w:r>
        <w:t xml:space="preserve">44. </w:t>
      </w:r>
      <w:r>
        <w:rPr>
          <w:b w:val="0"/>
          <w:color w:val="111111"/>
        </w:rPr>
        <w:t>A clinician experiences grief after a family death, uses personal support, and continues meeting professional responsibilities with sound judgment and effective client care. Which analysis is strongest?</w:t>
      </w:r>
    </w:p>
    <w:p>
      <w:pPr>
        <w:pStyle w:val="Option"/>
        <w:keepNext/>
        <w:ind w:left="317" w:hanging="317"/>
      </w:pPr>
      <w:r>
        <w:rPr>
          <w:b/>
        </w:rPr>
        <w:t xml:space="preserve">A. </w:t>
      </w:r>
      <w:r>
        <w:t>Grief automatically constitutes professional impairment without further assessment of the governing facts.</w:t>
      </w:r>
    </w:p>
    <w:p>
      <w:pPr>
        <w:pStyle w:val="Option"/>
        <w:keepNext/>
        <w:ind w:left="317" w:hanging="317"/>
      </w:pPr>
      <w:r>
        <w:rPr>
          <w:b/>
        </w:rPr>
        <w:t xml:space="preserve">B. </w:t>
      </w:r>
      <w:r>
        <w:t>The clinician must disclose the loss to all clients without further assessment of the governing facts.</w:t>
      </w:r>
    </w:p>
    <w:p>
      <w:pPr>
        <w:pStyle w:val="Option"/>
        <w:keepNext/>
        <w:ind w:left="317" w:hanging="317"/>
      </w:pPr>
      <w:r>
        <w:rPr>
          <w:b/>
        </w:rPr>
        <w:t xml:space="preserve">C. </w:t>
      </w:r>
      <w:r>
        <w:t>The clinician is engaging in misconduct by continuing to work without further assessment of the governing facts.</w:t>
      </w:r>
    </w:p>
    <w:p>
      <w:pPr>
        <w:pStyle w:val="Option"/>
        <w:keepNext w:val="0"/>
        <w:ind w:left="317" w:hanging="317"/>
      </w:pPr>
      <w:r>
        <w:rPr>
          <w:b/>
        </w:rPr>
        <w:t xml:space="preserve">D. </w:t>
      </w:r>
      <w:r>
        <w:t>Grief warrants monitoring, but the facts do not establish impairment because professional functioning remains effective.</w:t>
      </w:r>
    </w:p>
    <w:p>
      <w:pPr>
        <w:pStyle w:val="QuestionNumber"/>
        <w:keepNext/>
        <w:spacing w:before="140"/>
      </w:pPr>
      <w:r>
        <w:t xml:space="preserve">45. </w:t>
      </w:r>
      <w:r>
        <w:rPr>
          <w:b w:val="0"/>
          <w:color w:val="111111"/>
        </w:rPr>
        <w:t>A therapist obtains a signature on a standard treatment form that never mentions telehealth. The therapist then begins video sessions without discussing risks or limitations. What is the primary concern?</w:t>
      </w:r>
    </w:p>
    <w:p>
      <w:pPr>
        <w:pStyle w:val="Option"/>
        <w:keepNext/>
        <w:ind w:left="317" w:hanging="317"/>
      </w:pPr>
      <w:r>
        <w:rPr>
          <w:b/>
        </w:rPr>
        <w:t xml:space="preserve">A. </w:t>
      </w:r>
      <w:r>
        <w:t>Have obtained a notarized signature because the existing paperwork is treated as conclusive.</w:t>
      </w:r>
    </w:p>
    <w:p>
      <w:pPr>
        <w:pStyle w:val="Option"/>
        <w:keepNext/>
        <w:ind w:left="317" w:hanging="317"/>
      </w:pPr>
      <w:r>
        <w:rPr>
          <w:b/>
        </w:rPr>
        <w:t xml:space="preserve">B. </w:t>
      </w:r>
      <w:r>
        <w:t>The clinician needed the client to sign at every video session because the existing paperwork is treated as conclusive.</w:t>
      </w:r>
    </w:p>
    <w:p>
      <w:pPr>
        <w:pStyle w:val="Option"/>
        <w:keepNext/>
        <w:ind w:left="317" w:hanging="317"/>
      </w:pPr>
      <w:r>
        <w:rPr>
          <w:b/>
        </w:rPr>
        <w:t xml:space="preserve">C. </w:t>
      </w:r>
      <w:r>
        <w:t>The signature does not demonstrate that the client was informed about telehealth or that the required telehealth process occurred.</w:t>
      </w:r>
    </w:p>
    <w:p>
      <w:pPr>
        <w:pStyle w:val="Option"/>
        <w:keepNext w:val="0"/>
        <w:ind w:left="317" w:hanging="317"/>
      </w:pPr>
      <w:r>
        <w:rPr>
          <w:b/>
        </w:rPr>
        <w:t xml:space="preserve">D. </w:t>
      </w:r>
      <w:r>
        <w:t>The clinician could avoid the problem by documenting only the platform name without further assessment of the governing facts.</w:t>
      </w:r>
    </w:p>
    <w:p>
      <w:pPr>
        <w:pStyle w:val="QuestionNumber"/>
        <w:keepNext/>
        <w:spacing w:before="140"/>
      </w:pPr>
      <w:r>
        <w:t xml:space="preserve">46. </w:t>
      </w:r>
      <w:r>
        <w:rPr>
          <w:b w:val="0"/>
          <w:color w:val="111111"/>
        </w:rPr>
        <w:t>A therapist conducts couple therapy with both partners identified as joint clients. During informed consent, the therapist explains a limited-secrets policy allowing temporary private communication while clinically appropriate disclosure is addressed.</w:t>
        <w:br/>
        <w:t>One partner later reveals a hidden relationship and asks the therapist to conceal it indefinitely. The information directly affects the couple’s treatment goals. Before the issue is resolved, the other partner requests the complete record for a legal consultation.</w:t>
        <w:br/>
        <w:t>What is the most appropriate response?</w:t>
      </w:r>
    </w:p>
    <w:p>
      <w:pPr>
        <w:pStyle w:val="Option"/>
        <w:keepNext/>
        <w:ind w:left="317" w:hanging="317"/>
      </w:pPr>
      <w:r>
        <w:rPr>
          <w:b/>
        </w:rPr>
        <w:t xml:space="preserve">A. </w:t>
      </w:r>
      <w:r>
        <w:t>Review the established secrets policy, address how continued concealment affects treatment, separately evaluate the record request by examining authorization, access rights, and the other partner’s protected information.</w:t>
      </w:r>
    </w:p>
    <w:p>
      <w:pPr>
        <w:pStyle w:val="Option"/>
        <w:keepNext/>
        <w:ind w:left="317" w:hanging="317"/>
      </w:pPr>
      <w:r>
        <w:rPr>
          <w:b/>
        </w:rPr>
        <w:t xml:space="preserve">B. </w:t>
      </w:r>
      <w:r>
        <w:t>Disclose the hidden relationship immediately because the other partner requested the record because the person's preference is treated as controlling.</w:t>
      </w:r>
    </w:p>
    <w:p>
      <w:pPr>
        <w:pStyle w:val="Option"/>
        <w:keepNext/>
        <w:ind w:left="317" w:hanging="317"/>
      </w:pPr>
      <w:r>
        <w:rPr>
          <w:b/>
        </w:rPr>
        <w:t xml:space="preserve">C. </w:t>
      </w:r>
      <w:r>
        <w:t>Promise permanent secrecy and omit all reference to the communication from the clinical record without further assessment of the governing facts while treating that single factor as controlling.</w:t>
      </w:r>
    </w:p>
    <w:p>
      <w:pPr>
        <w:pStyle w:val="Option"/>
        <w:keepNext w:val="0"/>
        <w:ind w:left="317" w:hanging="317"/>
      </w:pPr>
      <w:r>
        <w:rPr>
          <w:b/>
        </w:rPr>
        <w:t xml:space="preserve">D. </w:t>
      </w:r>
      <w:r>
        <w:t>Release the complete file because both partners were joint clients before confirming legal authority and the permitted scope.</w:t>
      </w:r>
    </w:p>
    <w:p>
      <w:pPr>
        <w:pStyle w:val="QuestionNumber"/>
        <w:keepNext/>
        <w:spacing w:before="140"/>
      </w:pPr>
      <w:r>
        <w:t xml:space="preserve">47. </w:t>
      </w:r>
      <w:r>
        <w:rPr>
          <w:b w:val="0"/>
          <w:color w:val="111111"/>
        </w:rP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Option"/>
        <w:keepNext/>
        <w:ind w:left="317" w:hanging="317"/>
      </w:pPr>
      <w:r>
        <w:rPr>
          <w:b/>
        </w:rPr>
        <w:t xml:space="preserve">A. </w:t>
      </w:r>
      <w:r>
        <w:t>Accept the father’s consent because regular parenting time includes healthcare authority because family status is treated as automatic authority.</w:t>
      </w:r>
    </w:p>
    <w:p>
      <w:pPr>
        <w:pStyle w:val="Option"/>
        <w:keepNext/>
        <w:ind w:left="317" w:hanging="317"/>
      </w:pPr>
      <w:r>
        <w:rPr>
          <w:b/>
        </w:rPr>
        <w:t xml:space="preserve">B. </w:t>
      </w:r>
      <w:r>
        <w:t>Determine whether the mother or another legally authorized person has consented before beginning treatment.</w:t>
      </w:r>
    </w:p>
    <w:p>
      <w:pPr>
        <w:pStyle w:val="Option"/>
        <w:keepNext/>
        <w:ind w:left="317" w:hanging="317"/>
      </w:pPr>
      <w:r>
        <w:rPr>
          <w:b/>
        </w:rPr>
        <w:t xml:space="preserve">C. </w:t>
      </w:r>
      <w:r>
        <w:t>Accept the father’s consent because either biological parent may authorize treatment because family status is treated as automatic authority.</w:t>
      </w:r>
    </w:p>
    <w:p>
      <w:pPr>
        <w:pStyle w:val="Option"/>
        <w:keepNext w:val="0"/>
        <w:ind w:left="317" w:hanging="317"/>
      </w:pPr>
      <w:r>
        <w:rPr>
          <w:b/>
        </w:rPr>
        <w:t xml:space="preserve">D. </w:t>
      </w:r>
      <w:r>
        <w:t>Ask the child to select which parent should make the decision and rely on that response instead of professional judgment.</w:t>
      </w:r>
    </w:p>
    <w:p>
      <w:pPr>
        <w:pStyle w:val="QuestionNumber"/>
        <w:keepNext/>
        <w:spacing w:before="140"/>
      </w:pPr>
      <w:r>
        <w:t xml:space="preserve">48. </w:t>
      </w:r>
      <w:r>
        <w:rPr>
          <w:b w:val="0"/>
          <w:color w:val="111111"/>
        </w:rPr>
        <w:t>A therapist is deciding what information from a routine session belongs in the progress note.</w:t>
        <w:br/>
        <w:t>Which information is most appropriate to include?</w:t>
      </w:r>
    </w:p>
    <w:p>
      <w:pPr>
        <w:pStyle w:val="Option"/>
        <w:keepNext/>
        <w:ind w:left="317" w:hanging="317"/>
      </w:pPr>
      <w:r>
        <w:rPr>
          <w:b/>
        </w:rPr>
        <w:t xml:space="preserve">A. </w:t>
      </w:r>
      <w:r>
        <w:t>Unverified rumors about the client’s coworkers without further assessment of the governing facts.</w:t>
      </w:r>
    </w:p>
    <w:p>
      <w:pPr>
        <w:pStyle w:val="Option"/>
        <w:keepNext/>
        <w:ind w:left="317" w:hanging="317"/>
      </w:pPr>
      <w:r>
        <w:rPr>
          <w:b/>
        </w:rPr>
        <w:t xml:space="preserve">B. </w:t>
      </w:r>
      <w:r>
        <w:t>The clinician’s personal opinion about the client’s clothing without further assessment of the governing facts.</w:t>
      </w:r>
    </w:p>
    <w:p>
      <w:pPr>
        <w:pStyle w:val="Option"/>
        <w:keepNext/>
        <w:ind w:left="317" w:hanging="317"/>
      </w:pPr>
      <w:r>
        <w:rPr>
          <w:b/>
        </w:rPr>
        <w:t xml:space="preserve">C. </w:t>
      </w:r>
      <w:r>
        <w:t>The concern addressed, intervention used, client response, and relevant follow-up plan.</w:t>
      </w:r>
    </w:p>
    <w:p>
      <w:pPr>
        <w:pStyle w:val="Option"/>
        <w:keepNext w:val="0"/>
        <w:ind w:left="317" w:hanging="317"/>
      </w:pPr>
      <w:r>
        <w:rPr>
          <w:b/>
        </w:rPr>
        <w:t xml:space="preserve">D. </w:t>
      </w:r>
      <w:r>
        <w:t>Every statement made during the session without further assessment of the governing facts.</w:t>
      </w:r>
    </w:p>
    <w:p>
      <w:pPr>
        <w:pStyle w:val="QuestionNumber"/>
        <w:keepNext/>
        <w:spacing w:before="140"/>
      </w:pPr>
      <w:r>
        <w:t xml:space="preserve">49. </w:t>
      </w:r>
      <w:r>
        <w:rPr>
          <w:b w:val="0"/>
          <w:color w:val="111111"/>
        </w:rPr>
        <w:t>A client signed intake documents one month ago and now asks a new question about the treatment approach. What is the therapist’s best response?</w:t>
      </w:r>
    </w:p>
    <w:p>
      <w:pPr>
        <w:pStyle w:val="Option"/>
        <w:keepNext/>
        <w:ind w:left="317" w:hanging="317"/>
      </w:pPr>
      <w:r>
        <w:rPr>
          <w:b/>
        </w:rPr>
        <w:t xml:space="preserve">A. </w:t>
      </w:r>
      <w:r>
        <w:t>Answer the question, clarify the client’s understanding, and assess continued willingness to participate.</w:t>
      </w:r>
    </w:p>
    <w:p>
      <w:pPr>
        <w:pStyle w:val="Option"/>
        <w:keepNext/>
        <w:ind w:left="317" w:hanging="317"/>
      </w:pPr>
      <w:r>
        <w:rPr>
          <w:b/>
        </w:rPr>
        <w:t xml:space="preserve">B. </w:t>
      </w:r>
      <w:r>
        <w:t>Refer the client to the original form without discussion because the existing paperwork is treated as conclusive.</w:t>
      </w:r>
    </w:p>
    <w:p>
      <w:pPr>
        <w:pStyle w:val="Option"/>
        <w:keepNext/>
        <w:ind w:left="317" w:hanging="317"/>
      </w:pPr>
      <w:r>
        <w:rPr>
          <w:b/>
        </w:rPr>
        <w:t xml:space="preserve">C. </w:t>
      </w:r>
      <w:r>
        <w:t>Terminate treatment because the client appears uncertain before considering a less disruptive protective response.</w:t>
      </w:r>
    </w:p>
    <w:p>
      <w:pPr>
        <w:pStyle w:val="Option"/>
        <w:keepNext w:val="0"/>
        <w:ind w:left="317" w:hanging="317"/>
      </w:pPr>
      <w:r>
        <w:rPr>
          <w:b/>
        </w:rPr>
        <w:t xml:space="preserve">D. </w:t>
      </w:r>
      <w:r>
        <w:t>Explain that questions had to be asked before the documents were signed.</w:t>
      </w:r>
    </w:p>
    <w:p>
      <w:pPr>
        <w:pStyle w:val="QuestionNumber"/>
        <w:keepNext/>
        <w:spacing w:before="140"/>
      </w:pPr>
      <w:r>
        <w:t xml:space="preserve">50. </w:t>
      </w:r>
      <w:r>
        <w:rPr>
          <w:b w:val="0"/>
          <w:color w:val="111111"/>
        </w:rPr>
        <w:t>During supervision, a registered AMFT’s confidence and years of experience are being treated as sufficient evidence of competence for a complex case. Which statement best reflects how competence may change over time?</w:t>
      </w:r>
    </w:p>
    <w:p>
      <w:pPr>
        <w:pStyle w:val="Option"/>
        <w:keepNext/>
        <w:ind w:left="317" w:hanging="317"/>
      </w:pPr>
      <w:r>
        <w:rPr>
          <w:b/>
        </w:rPr>
        <w:t xml:space="preserve">A. </w:t>
      </w:r>
      <w:r>
        <w:t>Once established, competence remains permanent unless the clinician’s license expires because legal authorization is treated as proof of competence.</w:t>
      </w:r>
    </w:p>
    <w:p>
      <w:pPr>
        <w:pStyle w:val="Option"/>
        <w:keepNext/>
        <w:ind w:left="317" w:hanging="317"/>
      </w:pPr>
      <w:r>
        <w:rPr>
          <w:b/>
        </w:rPr>
        <w:t xml:space="preserve">B. </w:t>
      </w:r>
      <w:r>
        <w:t>Competence is determined only by the clinician’s graduate education without further assessment of the governing facts.</w:t>
      </w:r>
    </w:p>
    <w:p>
      <w:pPr>
        <w:pStyle w:val="Option"/>
        <w:keepNext/>
        <w:ind w:left="317" w:hanging="317"/>
      </w:pPr>
      <w:r>
        <w:rPr>
          <w:b/>
        </w:rPr>
        <w:t xml:space="preserve">C. </w:t>
      </w:r>
      <w:r>
        <w:t>Competence may expand, become outdated, or be temporarily limited as knowledge, case demands, standards, and clinician functioning change.</w:t>
      </w:r>
    </w:p>
    <w:p>
      <w:pPr>
        <w:pStyle w:val="Option"/>
        <w:keepNext w:val="0"/>
        <w:ind w:left="317" w:hanging="317"/>
      </w:pPr>
      <w:r>
        <w:rPr>
          <w:b/>
        </w:rPr>
        <w:t xml:space="preserve">D. </w:t>
      </w:r>
      <w:r>
        <w:t>Competence changes only when a formal complaint is filed because the existing paperwork is treated as conclusive.</w:t>
      </w:r>
    </w:p>
    <w:p>
      <w:r>
        <w:br w:type="page"/>
      </w:r>
    </w:p>
    <w:p>
      <w:pPr>
        <w:pStyle w:val="Title"/>
        <w:jc w:val="center"/>
      </w:pPr>
      <w:r>
        <w:t>DETACHABLE ANSWER SHEET</w:t>
      </w:r>
    </w:p>
    <w:p>
      <w:pPr>
        <w:pStyle w:val="Subtitle"/>
        <w:jc w:val="center"/>
      </w:pPr>
      <w:r>
        <w:t>Practice Examination A</w:t>
      </w:r>
    </w:p>
    <w:tbl>
      <w:tblPr>
        <w:tblW w:type="auto" w:w="0"/>
        <w:jc w:val="center"/>
        <w:tblLayout w:type="fixed"/>
        <w:tblLook w:firstColumn="1" w:firstRow="1" w:lastColumn="0" w:lastRow="0" w:noHBand="0" w:noVBand="1" w:val="04A0"/>
      </w:tblPr>
      <w:tblGrid>
        <w:gridCol w:w="2585"/>
        <w:gridCol w:w="2585"/>
        <w:gridCol w:w="2585"/>
        <w:gridCol w:w="2585"/>
      </w:tblGrid>
      <w:tr>
        <w:trPr>
          <w:tblHeader w:val="true"/>
        </w:trP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Name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Date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r>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Start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c>
          <w:tcPr>
            <w:tcW w:type="dxa" w:w="2585"/>
            <w:shd w:fill="EDF3F8"/>
            <w:tcMar>
              <w:top w:w="80" w:type="dxa"/>
              <w:start w:w="90" w:type="dxa"/>
              <w:bottom w:w="80" w:type="dxa"/>
              <w:end w:w="90" w:type="dxa"/>
            </w:tcMar>
            <w:vAlign w:val="center"/>
          </w:tcPr>
          <w:p>
            <w:pPr>
              <w:spacing w:after="0" w:before="0"/>
              <w:jc w:val="left"/>
            </w:pPr>
            <w:r/>
            <w:r>
              <w:rPr>
                <w:rFonts w:ascii="Montserrat" w:hAnsi="Montserrat"/>
                <w:b/>
                <w:color w:val="17345B"/>
                <w:sz w:val="18"/>
              </w:rPr>
              <w:t>End Time</w:t>
            </w:r>
          </w:p>
        </w:tc>
        <w:tc>
          <w:tcPr>
            <w:tcW w:type="dxa" w:w="2585"/>
            <w:tcMar>
              <w:top w:w="80" w:type="dxa"/>
              <w:start w:w="90" w:type="dxa"/>
              <w:bottom w:w="80" w:type="dxa"/>
              <w:end w:w="90" w:type="dxa"/>
            </w:tcMar>
            <w:vAlign w:val="center"/>
          </w:tcPr>
          <w:p>
            <w:pPr>
              <w:spacing w:after="0" w:before="0"/>
              <w:jc w:val="left"/>
            </w:pPr>
            <w:r/>
            <w:r>
              <w:rPr>
                <w:rFonts w:ascii="Montserrat" w:hAnsi="Montserrat"/>
                <w:b w:val="0"/>
                <w:color w:val="111111"/>
                <w:sz w:val="18"/>
              </w:rPr>
            </w:r>
          </w:p>
        </w:tc>
      </w:tr>
    </w:tbl>
    <w:p/>
    <w:p>
      <w:pPr>
        <w:jc w:val="center"/>
      </w:pPr>
      <w:r>
        <w:rPr>
          <w:sz w:val="18"/>
        </w:rPr>
        <w:t>Mark one answer for each question. Use an X or a checkmark in the selected box.</w:t>
      </w:r>
    </w:p>
    <w:tbl>
      <w:tblPr>
        <w:tblW w:type="auto" w:w="0"/>
        <w:jc w:val="center"/>
        <w:tblLayout w:type="fixed"/>
        <w:tblLook w:firstColumn="1" w:firstRow="1" w:lastColumn="0" w:lastRow="0" w:noHBand="0" w:noVBand="1" w:val="04A0"/>
      </w:tblPr>
      <w:tblGrid>
        <w:gridCol w:w="1034"/>
        <w:gridCol w:w="1034"/>
        <w:gridCol w:w="1034"/>
        <w:gridCol w:w="1034"/>
        <w:gridCol w:w="1034"/>
        <w:gridCol w:w="1034"/>
        <w:gridCol w:w="1034"/>
        <w:gridCol w:w="1034"/>
        <w:gridCol w:w="1034"/>
        <w:gridCol w:w="1034"/>
      </w:tblGrid>
      <w:tr>
        <w:trPr>
          <w:tblHeader w:val="true"/>
        </w:trPr>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A</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B</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C</w:t>
            </w:r>
          </w:p>
        </w:tc>
        <w:tc>
          <w:tcPr>
            <w:tcW w:type="dxa" w:w="1034"/>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D</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31</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32</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33</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34</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35</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38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39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16</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41</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42</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18</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43</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44</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20</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45</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46</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22</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47</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48</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24</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color w:val="17345B"/>
                <w:sz w:val="17"/>
              </w:rPr>
              <w:t>49</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shd w:fill="F7F8FA"/>
          </w:tcPr>
          <w:p>
            <w:pPr>
              <w:spacing w:after="0" w:before="0"/>
              <w:jc w:val="center"/>
            </w:pPr>
            <w:r/>
            <w:r>
              <w:rPr>
                <w:rFonts w:ascii="Montserrat" w:hAnsi="Montserrat"/>
                <w:b w:val="0"/>
                <w:color w:val="111111"/>
                <w:sz w:val="18"/>
              </w:rPr>
              <w:t>☐</w:t>
            </w:r>
          </w:p>
        </w:tc>
      </w:tr>
      <w:tr>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color w:val="17345B"/>
                <w:sz w:val="17"/>
              </w:rPr>
              <w:t>50</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c>
          <w:tcPr>
            <w:tcW w:type="dxa" w:w="1034"/>
            <w:tcMar>
              <w:top w:w="80" w:type="dxa"/>
              <w:start w:w="90" w:type="dxa"/>
              <w:bottom w:w="80" w:type="dxa"/>
              <w:end w:w="90" w:type="dxa"/>
            </w:tcMar>
            <w:vAlign w:val="center"/>
          </w:tcPr>
          <w:p>
            <w:pPr>
              <w:spacing w:after="0" w:before="0"/>
              <w:jc w:val="center"/>
            </w:pPr>
            <w:r/>
            <w:r>
              <w:rPr>
                <w:rFonts w:ascii="Montserrat" w:hAnsi="Montserrat"/>
                <w:b w:val="0"/>
                <w:color w:val="111111"/>
                <w:sz w:val="18"/>
              </w:rPr>
              <w:t>☐</w:t>
            </w:r>
          </w:p>
        </w:tc>
      </w:tr>
    </w:tbl>
    <w:p>
      <w:pPr>
        <w:spacing w:before="160"/>
      </w:pPr>
      <w:r>
        <w:rPr>
          <w:b/>
        </w:rPr>
        <w:t>Raw Score: ______ / 50     Percentage: ______%     Questions Flagged for Review: ____________________</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Practice Examination A Learner Booklet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