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Practice Examination B</w:t>
      </w:r>
    </w:p>
    <w:p>
      <w:pPr>
        <w:jc w:val="center"/>
      </w:pPr>
      <w:r>
        <w:rPr>
          <w:rFonts w:ascii="Montserrat" w:hAnsi="Montserrat"/>
          <w:color w:val="18A6A1"/>
          <w:sz w:val="28"/>
        </w:rPr>
        <w:t>Learner Examination Booklet</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50 one-best-answer questions</w:t>
      </w:r>
    </w:p>
    <w:tbl>
      <w:tblPr>
        <w:tblW w:type="auto" w:w="0"/>
        <w:jc w:val="center"/>
        <w:tblLayout w:type="fixed"/>
        <w:tblLook w:firstColumn="1" w:firstRow="1" w:lastColumn="0" w:lastRow="0" w:noHBand="0" w:noVBand="1" w:val="04A0"/>
      </w:tblPr>
      <w:tblGrid>
        <w:gridCol w:w="8784"/>
      </w:tblGrid>
      <w:tr>
        <w:tc>
          <w:tcPr>
            <w:tcW w:type="dxa" w:w="10340"/>
            <w:shd w:fill="E7F7F6"/>
            <w:tcMar>
              <w:top w:w="80" w:type="dxa"/>
              <w:start w:w="90" w:type="dxa"/>
              <w:bottom w:w="80" w:type="dxa"/>
              <w:end w:w="90" w:type="dxa"/>
            </w:tcMar>
            <w:vAlign w:val="center"/>
          </w:tcPr>
          <w:p>
            <w:pPr>
              <w:spacing w:after="0" w:before="0"/>
              <w:jc w:val="center"/>
            </w:pPr>
            <w:r/>
            <w:r>
              <w:rPr>
                <w:rFonts w:ascii="Montserrat" w:hAnsi="Montserrat"/>
                <w:b/>
                <w:color w:val="17345B"/>
                <w:sz w:val="19"/>
              </w:rPr>
              <w:t>ANSWER-HIDDEN LEARNER VERSION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EDF3F8"/>
            <w:tcMar>
              <w:top w:w="130" w:type="dxa"/>
              <w:start w:w="160" w:type="dxa"/>
              <w:bottom w:w="130" w:type="dxa"/>
              <w:end w:w="160" w:type="dxa"/>
            </w:tcMar>
          </w:tcPr>
          <w:p>
            <w:r/>
            <w:r>
              <w:rPr>
                <w:rFonts w:ascii="Montserrat" w:hAnsi="Montserrat"/>
                <w:b/>
                <w:color w:val="17345B"/>
                <w:sz w:val="22"/>
              </w:rPr>
              <w:t>Instructions</w:t>
            </w:r>
          </w:p>
          <w:p>
            <w:pPr>
              <w:spacing w:after="40"/>
              <w:ind w:left="144" w:hanging="144"/>
            </w:pPr>
            <w:r>
              <w:rPr>
                <w:rFonts w:ascii="Montserrat" w:hAnsi="Montserrat"/>
                <w:sz w:val="19"/>
              </w:rPr>
              <w:t>• Complete the examination before reviewing any answer key, rationale booklet, or remediation map.</w:t>
            </w:r>
          </w:p>
          <w:p>
            <w:pPr>
              <w:spacing w:after="40"/>
              <w:ind w:left="144" w:hanging="144"/>
            </w:pPr>
            <w:r>
              <w:rPr>
                <w:rFonts w:ascii="Montserrat" w:hAnsi="Montserrat"/>
                <w:sz w:val="19"/>
              </w:rPr>
              <w:t>• Select the single best response for each question. Mark answers on the detachable answer sheet at the end of this booklet.</w:t>
            </w:r>
          </w:p>
          <w:p>
            <w:pPr>
              <w:spacing w:after="40"/>
              <w:ind w:left="144" w:hanging="144"/>
            </w:pPr>
            <w:r>
              <w:rPr>
                <w:rFonts w:ascii="Montserrat" w:hAnsi="Montserrat"/>
                <w:sz w:val="19"/>
              </w:rPr>
              <w:t>• Read qualifiers such as FIRST, NEXT, BEST, MOST, INITIAL, and PRIMARY carefully.</w:t>
            </w:r>
          </w:p>
          <w:p>
            <w:pPr>
              <w:spacing w:after="40"/>
              <w:ind w:left="144" w:hanging="144"/>
            </w:pPr>
            <w:r>
              <w:rPr>
                <w:rFonts w:ascii="Montserrat" w:hAnsi="Montserrat"/>
                <w:sz w:val="19"/>
              </w:rPr>
              <w:t>• Answer every question. When uncertain, identify the controlling legal, ethical, clinical, or professional issue and eliminate weaker responses.</w:t>
            </w:r>
          </w:p>
          <w:p>
            <w:pPr>
              <w:spacing w:after="40"/>
              <w:ind w:left="144" w:hanging="144"/>
            </w:pPr>
            <w:r>
              <w:rPr>
                <w:rFonts w:ascii="Montserrat" w:hAnsi="Montserrat"/>
                <w:sz w:val="19"/>
              </w:rPr>
              <w:t>• This CTA practice examination is an independent educational resource and is not an official BBS or Pearson VUE examination.</w:t>
            </w:r>
          </w:p>
          <w:p>
            <w:pPr>
              <w:spacing w:after="40"/>
              <w:ind w:left="144" w:hanging="144"/>
            </w:pPr>
            <w:r>
              <w:rPr>
                <w:rFonts w:ascii="Montserrat" w:hAnsi="Montserrat"/>
                <w:sz w:val="19"/>
              </w:rPr>
              <w:t>• Participation does not guarantee passage or determine examination eligibility.</w:t>
            </w:r>
          </w:p>
        </w:tc>
      </w:tr>
    </w:tbl>
    <w:p/>
    <w:p>
      <w:pPr>
        <w:pStyle w:val="Heading1"/>
      </w:pPr>
      <w:r>
        <w:t>Questions</w:t>
      </w:r>
    </w:p>
    <w:p>
      <w:pPr>
        <w:pStyle w:val="QuestionNumber"/>
        <w:keepNext/>
        <w:spacing w:before="140"/>
      </w:pPr>
      <w:r>
        <w:t xml:space="preserve">1. </w:t>
      </w:r>
      <w:r>
        <w:rPr>
          <w:b w:val="0"/>
          <w:color w:val="111111"/>
        </w:rPr>
        <w:t>A therapist’s standard written assignments are not accessible to a client with a visual impairment. The therapist provides compatible electronic materials and allows the client to complete the exercises orally.</w:t>
        <w:br/>
        <w:t>Which statement is most accurate?</w:t>
      </w:r>
    </w:p>
    <w:p>
      <w:pPr>
        <w:pStyle w:val="Option"/>
        <w:keepNext/>
        <w:ind w:left="317" w:hanging="317"/>
      </w:pPr>
      <w:r>
        <w:rPr>
          <w:b/>
        </w:rPr>
        <w:t xml:space="preserve">A. </w:t>
      </w:r>
      <w:r>
        <w:t>The clinician is appropriately modifying access while preserving the treatment’s clinical purpose.</w:t>
      </w:r>
    </w:p>
    <w:p>
      <w:pPr>
        <w:pStyle w:val="Option"/>
        <w:keepNext/>
        <w:ind w:left="317" w:hanging="317"/>
      </w:pPr>
      <w:r>
        <w:rPr>
          <w:b/>
        </w:rPr>
        <w:t xml:space="preserve">B. </w:t>
      </w:r>
      <w:r>
        <w:t>The clinician is lowering professional standards by allowing a different participation method.</w:t>
      </w:r>
    </w:p>
    <w:p>
      <w:pPr>
        <w:pStyle w:val="Option"/>
        <w:keepNext/>
        <w:ind w:left="317" w:hanging="317"/>
      </w:pPr>
      <w:r>
        <w:rPr>
          <w:b/>
        </w:rPr>
        <w:t xml:space="preserve">C. </w:t>
      </w:r>
      <w:r>
        <w:t>Require the original materials so every client is treated identically.</w:t>
      </w:r>
    </w:p>
    <w:p>
      <w:pPr>
        <w:pStyle w:val="Option"/>
        <w:keepNext w:val="0"/>
        <w:ind w:left="317" w:hanging="317"/>
      </w:pPr>
      <w:r>
        <w:rPr>
          <w:b/>
        </w:rPr>
        <w:t xml:space="preserve">D. </w:t>
      </w:r>
      <w:r>
        <w:t>The clinician must refer the client because disability-related accommodation is outside clinical practice.</w:t>
      </w:r>
    </w:p>
    <w:p>
      <w:pPr>
        <w:pStyle w:val="QuestionNumber"/>
        <w:keepNext/>
        <w:spacing w:before="140"/>
      </w:pPr>
      <w:r>
        <w:t xml:space="preserve">2. </w:t>
      </w:r>
      <w:r>
        <w:rPr>
          <w:b w:val="0"/>
          <w:color w:val="111111"/>
        </w:rPr>
        <w:t>A telehealth connection fails while a client is describing escalating suicidal intent. The therapist has the client’s current location and a previously discussed backup plan. What is the best next action?</w:t>
      </w:r>
    </w:p>
    <w:p>
      <w:pPr>
        <w:pStyle w:val="Option"/>
        <w:keepNext/>
        <w:ind w:left="317" w:hanging="317"/>
      </w:pPr>
      <w:r>
        <w:rPr>
          <w:b/>
        </w:rPr>
        <w:t xml:space="preserve">A. </w:t>
      </w:r>
      <w:r>
        <w:t>Wait for the client to reconnect because initiating outside contact could disrupt the therapeutic alliance.</w:t>
      </w:r>
    </w:p>
    <w:p>
      <w:pPr>
        <w:pStyle w:val="Option"/>
        <w:keepNext/>
        <w:ind w:left="317" w:hanging="317"/>
      </w:pPr>
      <w:r>
        <w:rPr>
          <w:b/>
        </w:rPr>
        <w:t xml:space="preserve">B. </w:t>
      </w:r>
      <w:r>
        <w:t>Use the backup contact plan, reassess safety promptly, and activate local emergency resources when the risk requires it.</w:t>
      </w:r>
    </w:p>
    <w:p>
      <w:pPr>
        <w:pStyle w:val="Option"/>
        <w:keepNext/>
        <w:ind w:left="317" w:hanging="317"/>
      </w:pPr>
      <w:r>
        <w:rPr>
          <w:b/>
        </w:rPr>
        <w:t xml:space="preserve">C. </w:t>
      </w:r>
      <w:r>
        <w:t>Send a routine portal message and document the incident at the next scheduled session.</w:t>
      </w:r>
    </w:p>
    <w:p>
      <w:pPr>
        <w:pStyle w:val="Option"/>
        <w:keepNext w:val="0"/>
        <w:ind w:left="317" w:hanging="317"/>
      </w:pPr>
      <w:r>
        <w:rPr>
          <w:b/>
        </w:rPr>
        <w:t xml:space="preserve">D. </w:t>
      </w:r>
      <w:r>
        <w:t>Terminate telehealth services permanently before attempting to reestablish contact with the client.</w:t>
      </w:r>
    </w:p>
    <w:p>
      <w:pPr>
        <w:pStyle w:val="QuestionNumber"/>
        <w:keepNext/>
        <w:spacing w:before="140"/>
      </w:pPr>
      <w:r>
        <w:t xml:space="preserve">3. </w:t>
      </w:r>
      <w:r>
        <w:rPr>
          <w:b w:val="0"/>
          <w:color w:val="111111"/>
        </w:rPr>
        <w:t>A registered AMFT working under qualifying supervision evaluates a 14-year-old who wishes to consent independently to outpatient counseling. The AMFT states: “Only independently licensed clinicians can act as the attending professional under this law, so I cannot make the maturity determination.” Which statement is most accurate?</w:t>
      </w:r>
    </w:p>
    <w:p>
      <w:pPr>
        <w:pStyle w:val="Option"/>
        <w:keepNext/>
        <w:ind w:left="317" w:hanging="317"/>
      </w:pPr>
      <w:r>
        <w:rPr>
          <w:b/>
        </w:rPr>
        <w:t xml:space="preserve">A. </w:t>
      </w:r>
      <w:r>
        <w:t>The AMFT is correct because registered AMFTs are excluded from the definition of professional person without further assessment of the governing facts while treating that single factor as controlling.</w:t>
      </w:r>
    </w:p>
    <w:p>
      <w:pPr>
        <w:pStyle w:val="Option"/>
        <w:keepNext/>
        <w:ind w:left="317" w:hanging="317"/>
      </w:pPr>
      <w:r>
        <w:rPr>
          <w:b/>
        </w:rPr>
        <w:t xml:space="preserve">B. </w:t>
      </w:r>
      <w:r>
        <w:t>The AMFT may provide treatment but cannot participate in the consent analysis without further assessment of the governing facts.</w:t>
      </w:r>
    </w:p>
    <w:p>
      <w:pPr>
        <w:pStyle w:val="Option"/>
        <w:keepNext/>
        <w:ind w:left="317" w:hanging="317"/>
      </w:pPr>
      <w:r>
        <w:rPr>
          <w:b/>
        </w:rPr>
        <w:t xml:space="preserve">C. </w:t>
      </w:r>
      <w:r>
        <w:t>The minor must wait until an independently licensed therapist is available because legal authorization is treated as proof of competence.</w:t>
      </w:r>
    </w:p>
    <w:p>
      <w:pPr>
        <w:pStyle w:val="Option"/>
        <w:keepNext w:val="0"/>
        <w:ind w:left="317" w:hanging="317"/>
      </w:pPr>
      <w:r>
        <w:rPr>
          <w:b/>
        </w:rPr>
        <w:t xml:space="preserve">D. </w:t>
      </w:r>
      <w:r>
        <w:t>A properly supervised registered AMFT is included within the statutory definition of a professional person and may make the required individualized determination within the AMFT’s role and competence.</w:t>
      </w:r>
    </w:p>
    <w:p>
      <w:pPr>
        <w:pStyle w:val="QuestionNumber"/>
        <w:keepNext/>
        <w:spacing w:before="140"/>
      </w:pPr>
      <w:r>
        <w:t xml:space="preserve">4. </w:t>
      </w:r>
      <w:r>
        <w:rPr>
          <w:b w:val="0"/>
          <w:color w:val="111111"/>
        </w:rPr>
        <w:t>A client is deteriorating in an inaccessible treatment program, prefers a reasonable alternative, and needs expertise the treating registered AMFT does not possess. The supervisor has not yet been consulted, and no imminent danger is established today. What is the BEST next step?</w:t>
      </w:r>
    </w:p>
    <w:p>
      <w:pPr>
        <w:pStyle w:val="Option"/>
        <w:keepNext/>
        <w:ind w:left="317" w:hanging="317"/>
      </w:pPr>
      <w:r>
        <w:rPr>
          <w:b/>
        </w:rPr>
        <w:t xml:space="preserve">A. </w:t>
      </w:r>
      <w:r>
        <w:t>Continue unchanged because the original plan was once appropriate without additional assessment or consultation.</w:t>
      </w:r>
    </w:p>
    <w:p>
      <w:pPr>
        <w:pStyle w:val="Option"/>
        <w:keepNext/>
        <w:ind w:left="317" w:hanging="317"/>
      </w:pPr>
      <w:r>
        <w:rPr>
          <w:b/>
        </w:rPr>
        <w:t xml:space="preserve">B. </w:t>
      </w:r>
      <w:r>
        <w:t>Terminate immediately and tell the client to locate care alone before considering a less disruptive protective response.</w:t>
      </w:r>
    </w:p>
    <w:p>
      <w:pPr>
        <w:pStyle w:val="Option"/>
        <w:keepNext/>
        <w:ind w:left="317" w:hanging="317"/>
      </w:pPr>
      <w:r>
        <w:rPr>
          <w:b/>
        </w:rPr>
        <w:t xml:space="preserve">C. </w:t>
      </w:r>
      <w:r>
        <w:t>Reassess need, risk, effectiveness, access, and preferences; involve the supervisor; discuss benefits and alternatives; coordinate competent care and continuity; document and monitor the plan.</w:t>
      </w:r>
    </w:p>
    <w:p>
      <w:pPr>
        <w:pStyle w:val="Option"/>
        <w:keepNext w:val="0"/>
        <w:ind w:left="317" w:hanging="317"/>
      </w:pPr>
      <w:r>
        <w:rPr>
          <w:b/>
        </w:rPr>
        <w:t xml:space="preserve">D. </w:t>
      </w:r>
      <w:r>
        <w:t>Attempt the specialized service without preparation so the client receives something quickly without further assessment of the governing facts while treating that single factor as controlling.</w:t>
      </w:r>
    </w:p>
    <w:p>
      <w:pPr>
        <w:pStyle w:val="QuestionNumber"/>
        <w:keepNext/>
        <w:spacing w:before="140"/>
      </w:pPr>
      <w:r>
        <w:t xml:space="preserve">5. </w:t>
      </w:r>
      <w:r>
        <w:rPr>
          <w:b w:val="0"/>
          <w:color w:val="111111"/>
        </w:rPr>
        <w:t>An adult client properly asks to inspect the clinical record and also requests a copy. The therapist is determining the applicable general California response periods.</w:t>
        <w:br/>
        <w:t>Which timeline should the therapist use?</w:t>
      </w:r>
    </w:p>
    <w:p>
      <w:pPr>
        <w:pStyle w:val="Option"/>
        <w:keepNext/>
        <w:ind w:left="317" w:hanging="317"/>
      </w:pPr>
      <w:r>
        <w:rPr>
          <w:b/>
        </w:rPr>
        <w:t xml:space="preserve">A. </w:t>
      </w:r>
      <w:r>
        <w:t>Inspection within 15 working days and copies within 30 days without further assessment of the governing facts.</w:t>
      </w:r>
    </w:p>
    <w:p>
      <w:pPr>
        <w:pStyle w:val="Option"/>
        <w:keepNext/>
        <w:ind w:left="317" w:hanging="317"/>
      </w:pPr>
      <w:r>
        <w:rPr>
          <w:b/>
        </w:rPr>
        <w:t xml:space="preserve">B. </w:t>
      </w:r>
      <w:r>
        <w:t>Inspection within 30 calendar days and copies within 60 days without further assessment of the governing facts.</w:t>
      </w:r>
    </w:p>
    <w:p>
      <w:pPr>
        <w:pStyle w:val="Option"/>
        <w:keepNext/>
        <w:ind w:left="317" w:hanging="317"/>
      </w:pPr>
      <w:r>
        <w:rPr>
          <w:b/>
        </w:rPr>
        <w:t xml:space="preserve">C. </w:t>
      </w:r>
      <w:r>
        <w:t>Inspection and copies must both be provided within five working days.</w:t>
      </w:r>
    </w:p>
    <w:p>
      <w:pPr>
        <w:pStyle w:val="Option"/>
        <w:keepNext w:val="0"/>
        <w:ind w:left="317" w:hanging="317"/>
      </w:pPr>
      <w:r>
        <w:rPr>
          <w:b/>
        </w:rPr>
        <w:t xml:space="preserve">D. </w:t>
      </w:r>
      <w:r>
        <w:t>Inspection within five working days and copies generally transmitted within 15 days.</w:t>
      </w:r>
    </w:p>
    <w:p>
      <w:pPr>
        <w:pStyle w:val="QuestionNumber"/>
        <w:keepNext/>
        <w:spacing w:before="140"/>
      </w:pPr>
      <w:r>
        <w:t xml:space="preserve">6. </w:t>
      </w:r>
      <w:r>
        <w:rPr>
          <w:b w:val="0"/>
          <w:color w:val="111111"/>
        </w:rP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Option"/>
        <w:keepNext/>
        <w:ind w:left="317" w:hanging="317"/>
      </w:pPr>
      <w:r>
        <w:rPr>
          <w:b/>
        </w:rPr>
        <w:t xml:space="preserve">A. </w:t>
      </w:r>
      <w:r>
        <w:t>Obtain a new consent signature and treat the paperwork as resolving the security concerns while treating that response as sufficient without further analysis.</w:t>
      </w:r>
    </w:p>
    <w:p>
      <w:pPr>
        <w:pStyle w:val="Option"/>
        <w:keepNext/>
        <w:ind w:left="317" w:hanging="317"/>
      </w:pPr>
      <w:r>
        <w:rPr>
          <w:b/>
        </w:rPr>
        <w:t xml:space="preserve">B. </w:t>
      </w:r>
      <w:r>
        <w:t>Continue because no confirmed disclosure or client complaint has been documented.</w:t>
      </w:r>
    </w:p>
    <w:p>
      <w:pPr>
        <w:pStyle w:val="Option"/>
        <w:keepNext/>
        <w:ind w:left="317" w:hanging="317"/>
      </w:pPr>
      <w:r>
        <w:rPr>
          <w:b/>
        </w:rPr>
        <w:t xml:space="preserve">C. </w:t>
      </w:r>
      <w:r>
        <w:t>Delete all electronic records and discontinue telehealth without further assessment.</w:t>
      </w:r>
    </w:p>
    <w:p>
      <w:pPr>
        <w:pStyle w:val="Option"/>
        <w:keepNext w:val="0"/>
        <w:ind w:left="317" w:hanging="317"/>
      </w:pPr>
      <w:r>
        <w:rPr>
          <w:b/>
        </w:rPr>
        <w:t xml:space="preserve">D. </w:t>
      </w:r>
      <w:r>
        <w:t>Contain the access concern, secure both environments, review vendor safeguards, document corrections, and complete required consultation or notice.</w:t>
      </w:r>
    </w:p>
    <w:p>
      <w:pPr>
        <w:pStyle w:val="QuestionNumber"/>
        <w:keepNext/>
        <w:spacing w:before="140"/>
      </w:pPr>
      <w:r>
        <w:t xml:space="preserve">7. </w:t>
      </w:r>
      <w:r>
        <w:rPr>
          <w:b w:val="0"/>
          <w:color w:val="111111"/>
        </w:rPr>
        <w:t>After a client’s condition changes, a clinician must decide which preventive step should occur before continuing the existing plan. Why must client safety be considered throughout treatment rather than only at intake?</w:t>
      </w:r>
    </w:p>
    <w:p>
      <w:pPr>
        <w:pStyle w:val="Option"/>
        <w:keepNext/>
        <w:ind w:left="317" w:hanging="317"/>
      </w:pPr>
      <w:r>
        <w:rPr>
          <w:b/>
        </w:rPr>
        <w:t xml:space="preserve">A. </w:t>
      </w:r>
      <w:r>
        <w:t>Symptoms, circumstances, supports, treatment effects, and risks can change at any stage.</w:t>
      </w:r>
    </w:p>
    <w:p>
      <w:pPr>
        <w:pStyle w:val="Option"/>
        <w:keepNext/>
        <w:ind w:left="317" w:hanging="317"/>
      </w:pPr>
      <w:r>
        <w:rPr>
          <w:b/>
        </w:rPr>
        <w:t xml:space="preserve">B. </w:t>
      </w:r>
      <w:r>
        <w:t>The intake assessment is legally invalid after the first session without further assessment of the governing facts.</w:t>
      </w:r>
    </w:p>
    <w:p>
      <w:pPr>
        <w:pStyle w:val="Option"/>
        <w:keepNext/>
        <w:ind w:left="317" w:hanging="317"/>
      </w:pPr>
      <w:r>
        <w:rPr>
          <w:b/>
        </w:rPr>
        <w:t xml:space="preserve">C. </w:t>
      </w:r>
      <w:r>
        <w:t>Every session requires a new comprehensive written assessment without further assessment of the governing facts.</w:t>
      </w:r>
    </w:p>
    <w:p>
      <w:pPr>
        <w:pStyle w:val="Option"/>
        <w:keepNext w:val="0"/>
        <w:ind w:left="317" w:hanging="317"/>
      </w:pPr>
      <w:r>
        <w:rPr>
          <w:b/>
        </w:rPr>
        <w:t xml:space="preserve">D. </w:t>
      </w:r>
      <w:r>
        <w:t>Safety matters only when a client uses the word crisis without further assessment of the governing facts.</w:t>
      </w:r>
    </w:p>
    <w:p>
      <w:pPr>
        <w:pStyle w:val="QuestionNumber"/>
        <w:keepNext/>
        <w:spacing w:before="140"/>
      </w:pPr>
      <w:r>
        <w:t xml:space="preserve">8. </w:t>
      </w:r>
      <w:r>
        <w:rPr>
          <w:b w:val="0"/>
          <w:color w:val="111111"/>
        </w:rPr>
        <w:t>An AMFT meets with an experienced licensed peer for case consultation and plans to skip the week’s required contact with the AMFT’s approved supervisor. Which statement is most accurate?</w:t>
      </w:r>
    </w:p>
    <w:p>
      <w:pPr>
        <w:pStyle w:val="Option"/>
        <w:keepNext/>
        <w:ind w:left="317" w:hanging="317"/>
      </w:pPr>
      <w:r>
        <w:rPr>
          <w:b/>
        </w:rPr>
        <w:t xml:space="preserve">A. </w:t>
      </w:r>
      <w:r>
        <w:t>The peer consultation satisfies supervision because the peer is licensed because legal authorization is treated as proof of competence.</w:t>
      </w:r>
    </w:p>
    <w:p>
      <w:pPr>
        <w:pStyle w:val="Option"/>
        <w:keepNext/>
        <w:ind w:left="317" w:hanging="317"/>
      </w:pPr>
      <w:r>
        <w:rPr>
          <w:b/>
        </w:rPr>
        <w:t xml:space="preserve">B. </w:t>
      </w:r>
      <w:r>
        <w:t>The AMFT may substitute any professional meeting for direct supervisor contact without further assessment of the governing facts.</w:t>
      </w:r>
    </w:p>
    <w:p>
      <w:pPr>
        <w:pStyle w:val="Option"/>
        <w:keepNext/>
        <w:ind w:left="317" w:hanging="317"/>
      </w:pPr>
      <w:r>
        <w:rPr>
          <w:b/>
        </w:rPr>
        <w:t xml:space="preserve">C. </w:t>
      </w:r>
      <w:r>
        <w:t>Peer consultation may supplement learning but does not replace required supervision with the approved supervisor.</w:t>
      </w:r>
    </w:p>
    <w:p>
      <w:pPr>
        <w:pStyle w:val="Option"/>
        <w:keepNext w:val="0"/>
        <w:ind w:left="317" w:hanging="317"/>
      </w:pPr>
      <w:r>
        <w:rPr>
          <w:b/>
        </w:rPr>
        <w:t xml:space="preserve">D. </w:t>
      </w:r>
      <w:r>
        <w:t>Consultation is prohibited for registered AMFTs because all questions must remain private without further assessment of the governing facts.</w:t>
      </w:r>
    </w:p>
    <w:p>
      <w:pPr>
        <w:pStyle w:val="QuestionNumber"/>
        <w:keepNext/>
        <w:spacing w:before="140"/>
      </w:pPr>
      <w:r>
        <w:t xml:space="preserve">9. </w:t>
      </w:r>
      <w:r>
        <w:rPr>
          <w:b w:val="0"/>
          <w:color w:val="111111"/>
        </w:rPr>
        <w:t>A therapist proposes an unfamiliar intervention that may cause significant short-term emotional distress and says, “This will definitely cure you, so there is no reason to discuss disadvantages.” What should the therapist do instead?</w:t>
      </w:r>
    </w:p>
    <w:p>
      <w:pPr>
        <w:pStyle w:val="Option"/>
        <w:keepNext/>
        <w:ind w:left="317" w:hanging="317"/>
      </w:pPr>
      <w:r>
        <w:rPr>
          <w:b/>
        </w:rPr>
        <w:t xml:space="preserve">A. </w:t>
      </w:r>
      <w:r>
        <w:t>Ask the client to sign a guarantee of success because the existing paperwork is treated as conclusive.</w:t>
      </w:r>
    </w:p>
    <w:p>
      <w:pPr>
        <w:pStyle w:val="Option"/>
        <w:keepNext/>
        <w:ind w:left="317" w:hanging="317"/>
      </w:pPr>
      <w:r>
        <w:rPr>
          <w:b/>
        </w:rPr>
        <w:t xml:space="preserve">B. </w:t>
      </w:r>
      <w:r>
        <w:t>Explain the intervention accurately, including anticipated benefits, material risks or limitations, uncertainty, and an opportunity for questions.</w:t>
      </w:r>
    </w:p>
    <w:p>
      <w:pPr>
        <w:pStyle w:val="Option"/>
        <w:keepNext/>
        <w:ind w:left="317" w:hanging="317"/>
      </w:pPr>
      <w:r>
        <w:rPr>
          <w:b/>
        </w:rPr>
        <w:t xml:space="preserve">C. </w:t>
      </w:r>
      <w:r>
        <w:t>Avoid discussing either benefits or risks because information may influence the client without further assessment of the governing facts.</w:t>
      </w:r>
    </w:p>
    <w:p>
      <w:pPr>
        <w:pStyle w:val="Option"/>
        <w:keepNext w:val="0"/>
        <w:ind w:left="317" w:hanging="317"/>
      </w:pPr>
      <w:r>
        <w:rPr>
          <w:b/>
        </w:rPr>
        <w:t xml:space="preserve">D. </w:t>
      </w:r>
      <w:r>
        <w:t>Begin immediately because the clinician believes the intervention is beneficial without additional assessment or consultation.</w:t>
      </w:r>
    </w:p>
    <w:p>
      <w:pPr>
        <w:pStyle w:val="QuestionNumber"/>
        <w:keepNext/>
        <w:spacing w:before="140"/>
      </w:pPr>
      <w:r>
        <w:t xml:space="preserve">10. </w:t>
      </w:r>
      <w:r>
        <w:rPr>
          <w:b w:val="0"/>
          <w:color w:val="111111"/>
        </w:rPr>
        <w:t>During an individual check-in connected to couples therapy, one partner discloses an affair and demands that the therapist keep it permanently secret from the other partner.</w:t>
        <w:br/>
        <w:t>What should the therapist do first?</w:t>
      </w:r>
    </w:p>
    <w:p>
      <w:pPr>
        <w:pStyle w:val="Option"/>
        <w:keepNext/>
        <w:ind w:left="317" w:hanging="317"/>
      </w:pPr>
      <w:r>
        <w:rPr>
          <w:b/>
        </w:rPr>
        <w:t xml:space="preserve">A. </w:t>
      </w:r>
      <w:r>
        <w:t>Promise secrecy because the information was disclosed during an individual meeting.</w:t>
      </w:r>
    </w:p>
    <w:p>
      <w:pPr>
        <w:pStyle w:val="Option"/>
        <w:keepNext/>
        <w:ind w:left="317" w:hanging="317"/>
      </w:pPr>
      <w:r>
        <w:rPr>
          <w:b/>
        </w:rPr>
        <w:t xml:space="preserve">B. </w:t>
      </w:r>
      <w:r>
        <w:t>Review the confidentiality agreement and secrets policy established during informed consent.</w:t>
      </w:r>
    </w:p>
    <w:p>
      <w:pPr>
        <w:pStyle w:val="Option"/>
        <w:keepNext/>
        <w:ind w:left="317" w:hanging="317"/>
      </w:pPr>
      <w:r>
        <w:rPr>
          <w:b/>
        </w:rPr>
        <w:t xml:space="preserve">C. </w:t>
      </w:r>
      <w:r>
        <w:t>Terminate couple therapy before discussing the disclosure further before considering a less disruptive protective response.</w:t>
      </w:r>
    </w:p>
    <w:p>
      <w:pPr>
        <w:pStyle w:val="Option"/>
        <w:keepNext w:val="0"/>
        <w:ind w:left="317" w:hanging="317"/>
      </w:pPr>
      <w:r>
        <w:rPr>
          <w:b/>
        </w:rPr>
        <w:t xml:space="preserve">D. </w:t>
      </w:r>
      <w:r>
        <w:t>Tell the other partner immediately because both partners are clients before confirming legal authority and the permitted scope.</w:t>
      </w:r>
    </w:p>
    <w:p>
      <w:pPr>
        <w:pStyle w:val="QuestionNumber"/>
        <w:keepNext/>
        <w:spacing w:before="140"/>
      </w:pPr>
      <w:r>
        <w:t xml:space="preserve">11. </w:t>
      </w:r>
      <w:r>
        <w:rPr>
          <w:b w:val="0"/>
          <w:color w:val="111111"/>
        </w:rP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Option"/>
        <w:keepNext/>
        <w:ind w:left="317" w:hanging="317"/>
      </w:pPr>
      <w:r>
        <w:rPr>
          <w:b/>
        </w:rPr>
        <w:t xml:space="preserve">A. </w:t>
      </w:r>
      <w:r>
        <w:t>Deny the request orally and avoid documenting the anticipated consequences.</w:t>
      </w:r>
    </w:p>
    <w:p>
      <w:pPr>
        <w:pStyle w:val="Option"/>
        <w:keepNext/>
        <w:ind w:left="317" w:hanging="317"/>
      </w:pPr>
      <w:r>
        <w:rPr>
          <w:b/>
        </w:rPr>
        <w:t xml:space="preserve">B. </w:t>
      </w:r>
      <w:r>
        <w:t>Notify the parent and provide the records to the parent instead of the minor while treating that response as sufficient without further analysis.</w:t>
      </w:r>
    </w:p>
    <w:p>
      <w:pPr>
        <w:pStyle w:val="Option"/>
        <w:keepNext/>
        <w:ind w:left="317" w:hanging="317"/>
      </w:pPr>
      <w:r>
        <w:rPr>
          <w:b/>
        </w:rPr>
        <w:t xml:space="preserve">C. </w:t>
      </w:r>
      <w:r>
        <w:t>Document the request and specific risk, notify the minor of the refusal, and explain the licensed-professional review option.</w:t>
      </w:r>
    </w:p>
    <w:p>
      <w:pPr>
        <w:pStyle w:val="Option"/>
        <w:keepNext w:val="0"/>
        <w:ind w:left="317" w:hanging="317"/>
      </w:pPr>
      <w:r>
        <w:rPr>
          <w:b/>
        </w:rPr>
        <w:t xml:space="preserve">D. </w:t>
      </w:r>
      <w:r>
        <w:t>Destroy the portions that could create harm before responding to the request.</w:t>
      </w:r>
    </w:p>
    <w:p>
      <w:pPr>
        <w:pStyle w:val="QuestionNumber"/>
        <w:keepNext/>
        <w:spacing w:before="140"/>
      </w:pPr>
      <w:r>
        <w:t xml:space="preserve">12. </w:t>
      </w:r>
      <w:r>
        <w:rPr>
          <w:b w:val="0"/>
          <w:color w:val="111111"/>
        </w:rPr>
        <w:t>During a telehealth session, a client reports holding a loaded firearm and intending to act within minutes. Some details remain unclear. What should the LMFT do FIRST?</w:t>
      </w:r>
    </w:p>
    <w:p>
      <w:pPr>
        <w:pStyle w:val="Option"/>
        <w:keepNext/>
        <w:ind w:left="317" w:hanging="317"/>
      </w:pPr>
      <w:r>
        <w:rPr>
          <w:b/>
        </w:rPr>
        <w:t xml:space="preserve">A. </w:t>
      </w:r>
      <w:r>
        <w:t>Use available information to initiate immediate safety and emergency procedures while continuing focused assessment as feasible.</w:t>
      </w:r>
    </w:p>
    <w:p>
      <w:pPr>
        <w:pStyle w:val="Option"/>
        <w:keepNext/>
        <w:ind w:left="317" w:hanging="317"/>
      </w:pPr>
      <w:r>
        <w:rPr>
          <w:b/>
        </w:rPr>
        <w:t xml:space="preserve">B. </w:t>
      </w:r>
      <w:r>
        <w:t>Delay action until a consultant is available until a complaint, injury, or clearer problem occurs.</w:t>
      </w:r>
    </w:p>
    <w:p>
      <w:pPr>
        <w:pStyle w:val="Option"/>
        <w:keepNext/>
        <w:ind w:left="317" w:hanging="317"/>
      </w:pPr>
      <w:r>
        <w:rPr>
          <w:b/>
        </w:rPr>
        <w:t xml:space="preserve">C. </w:t>
      </w:r>
      <w:r>
        <w:t>End the session to avoid increasing the client’s distress without further assessment of the governing facts.</w:t>
      </w:r>
    </w:p>
    <w:p>
      <w:pPr>
        <w:pStyle w:val="Option"/>
        <w:keepNext w:val="0"/>
        <w:ind w:left="317" w:hanging="317"/>
      </w:pPr>
      <w:r>
        <w:rPr>
          <w:b/>
        </w:rPr>
        <w:t xml:space="preserve">D. </w:t>
      </w:r>
      <w:r>
        <w:t>Finish a complete diagnostic assessment before taking protective action without further assessment of the governing facts.</w:t>
      </w:r>
    </w:p>
    <w:p>
      <w:pPr>
        <w:pStyle w:val="QuestionNumber"/>
        <w:keepNext/>
        <w:spacing w:before="140"/>
      </w:pPr>
      <w:r>
        <w:t xml:space="preserve">13. </w:t>
      </w:r>
      <w:r>
        <w:rPr>
          <w:b w:val="0"/>
          <w:color w:val="111111"/>
        </w:rPr>
        <w:t>A client verbally agrees to telehealth after the therapist explains the service. The therapist does not record the consent in the clinical record. Which statement is most accurate?</w:t>
      </w:r>
    </w:p>
    <w:p>
      <w:pPr>
        <w:pStyle w:val="Option"/>
        <w:keepNext/>
        <w:ind w:left="317" w:hanging="317"/>
      </w:pPr>
      <w:r>
        <w:rPr>
          <w:b/>
        </w:rPr>
        <w:t xml:space="preserve">A. </w:t>
      </w:r>
      <w:r>
        <w:t>The consent is invalid because verbal consent is never allowed without further assessment of the governing facts.</w:t>
      </w:r>
    </w:p>
    <w:p>
      <w:pPr>
        <w:pStyle w:val="Option"/>
        <w:keepNext/>
        <w:ind w:left="317" w:hanging="317"/>
      </w:pPr>
      <w:r>
        <w:rPr>
          <w:b/>
        </w:rPr>
        <w:t xml:space="preserve">B. </w:t>
      </w:r>
      <w:r>
        <w:t>No problem exists because the client verbally agreed because the person's preference is treated as controlling.</w:t>
      </w:r>
    </w:p>
    <w:p>
      <w:pPr>
        <w:pStyle w:val="Option"/>
        <w:keepNext/>
        <w:ind w:left="317" w:hanging="317"/>
      </w:pPr>
      <w:r>
        <w:rPr>
          <w:b/>
        </w:rPr>
        <w:t xml:space="preserve">C. </w:t>
      </w:r>
      <w:r>
        <w:t>Verbal consent is permitted, but the clinician failed to document it as required.</w:t>
      </w:r>
    </w:p>
    <w:p>
      <w:pPr>
        <w:pStyle w:val="Option"/>
        <w:keepNext w:val="0"/>
        <w:ind w:left="317" w:hanging="317"/>
      </w:pPr>
      <w:r>
        <w:rPr>
          <w:b/>
        </w:rPr>
        <w:t xml:space="preserve">D. </w:t>
      </w:r>
      <w:r>
        <w:t>The clinician must record the entire conversation to prove consent without further assessment of the governing facts.</w:t>
      </w:r>
    </w:p>
    <w:p>
      <w:pPr>
        <w:pStyle w:val="QuestionNumber"/>
        <w:keepNext/>
        <w:spacing w:before="140"/>
      </w:pPr>
      <w:r>
        <w:t xml:space="preserve">14. </w:t>
      </w:r>
      <w:r>
        <w:rPr>
          <w:b w:val="0"/>
          <w:color w:val="111111"/>
        </w:rPr>
        <w:t>A client tells the therapist that the therapist has repeatedly mispronounced the client’s name and that this feels disrespectful.</w:t>
        <w:br/>
        <w:t>What is the strongest response?</w:t>
      </w:r>
    </w:p>
    <w:p>
      <w:pPr>
        <w:pStyle w:val="Option"/>
        <w:keepNext/>
        <w:ind w:left="317" w:hanging="317"/>
      </w:pPr>
      <w:r>
        <w:rPr>
          <w:b/>
        </w:rPr>
        <w:t xml:space="preserve">A. </w:t>
      </w:r>
      <w:r>
        <w:t>Acknowledge the concern, apologize, ask for the correct pronunciation, use it consistently, and assess whether the mistake affected treatment.</w:t>
      </w:r>
    </w:p>
    <w:p>
      <w:pPr>
        <w:pStyle w:val="Option"/>
        <w:keepNext/>
        <w:ind w:left="317" w:hanging="317"/>
      </w:pPr>
      <w:r>
        <w:rPr>
          <w:b/>
        </w:rPr>
        <w:t xml:space="preserve">B. </w:t>
      </w:r>
      <w:r>
        <w:t>Explain that the clinician meant no disrespect and ask the client not to take it personally without further assessment of the governing facts.</w:t>
      </w:r>
    </w:p>
    <w:p>
      <w:pPr>
        <w:pStyle w:val="Option"/>
        <w:keepNext/>
        <w:ind w:left="317" w:hanging="317"/>
      </w:pPr>
      <w:r>
        <w:rPr>
          <w:b/>
        </w:rPr>
        <w:t xml:space="preserve">C. </w:t>
      </w:r>
      <w:r>
        <w:t>Tell the client that pronunciation errors are too minor to discuss in therapy before confirming legal authority and the permitted scope.</w:t>
      </w:r>
    </w:p>
    <w:p>
      <w:pPr>
        <w:pStyle w:val="Option"/>
        <w:keepNext w:val="0"/>
        <w:ind w:left="317" w:hanging="317"/>
      </w:pPr>
      <w:r>
        <w:rPr>
          <w:b/>
        </w:rPr>
        <w:t xml:space="preserve">D. </w:t>
      </w:r>
      <w:r>
        <w:t>Refer the client to a therapist from the same cultural background before considering a less disruptive protective response.</w:t>
      </w:r>
    </w:p>
    <w:p>
      <w:pPr>
        <w:pStyle w:val="QuestionNumber"/>
        <w:keepNext/>
        <w:spacing w:before="140"/>
      </w:pPr>
      <w:r>
        <w:t xml:space="preserve">15. </w:t>
      </w:r>
      <w:r>
        <w:rPr>
          <w:b w:val="0"/>
          <w:color w:val="111111"/>
        </w:rPr>
        <w:t>A practice introduces a new artificial-intelligence tool that drafts progress notes. A therapist does not understand how the tool handles client information or how often it produces errors. What is the therapist’s most appropriate response?</w:t>
      </w:r>
    </w:p>
    <w:p>
      <w:pPr>
        <w:pStyle w:val="Option"/>
        <w:keepNext/>
        <w:ind w:left="317" w:hanging="317"/>
      </w:pPr>
      <w:r>
        <w:rPr>
          <w:b/>
        </w:rPr>
        <w:t xml:space="preserve">A. </w:t>
      </w:r>
      <w:r>
        <w:t>Use the drafts without review because the employer approved the tool without additional assessment or consultation.</w:t>
      </w:r>
    </w:p>
    <w:p>
      <w:pPr>
        <w:pStyle w:val="Option"/>
        <w:keepNext/>
        <w:ind w:left="317" w:hanging="317"/>
      </w:pPr>
      <w:r>
        <w:rPr>
          <w:b/>
        </w:rPr>
        <w:t xml:space="preserve">B. </w:t>
      </w:r>
      <w:r>
        <w:t>Learn the tool’s limitations and privacy implications, verify all clinical content independently, and avoid unsafe use until adequately prepared.</w:t>
      </w:r>
    </w:p>
    <w:p>
      <w:pPr>
        <w:pStyle w:val="Option"/>
        <w:keepNext/>
        <w:ind w:left="317" w:hanging="317"/>
      </w:pPr>
      <w:r>
        <w:rPr>
          <w:b/>
        </w:rPr>
        <w:t xml:space="preserve">C. </w:t>
      </w:r>
      <w:r>
        <w:t>Assume that new technology is automatically more accurate than clinician documentation without further assessment of the governing facts.</w:t>
      </w:r>
    </w:p>
    <w:p>
      <w:pPr>
        <w:pStyle w:val="Option"/>
        <w:keepNext w:val="0"/>
        <w:ind w:left="317" w:hanging="317"/>
      </w:pPr>
      <w:r>
        <w:rPr>
          <w:b/>
        </w:rPr>
        <w:t xml:space="preserve">D. </w:t>
      </w:r>
      <w:r>
        <w:t>Refuse every future technology regardless of its potential value without further assessment of the governing facts.</w:t>
      </w:r>
    </w:p>
    <w:p>
      <w:pPr>
        <w:pStyle w:val="QuestionNumber"/>
        <w:keepNext/>
        <w:spacing w:before="140"/>
      </w:pPr>
      <w:r>
        <w:t xml:space="preserve">16. </w:t>
      </w:r>
      <w:r>
        <w:rPr>
          <w:b w:val="0"/>
          <w:color w:val="111111"/>
        </w:rP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Option"/>
        <w:keepNext/>
        <w:ind w:left="317" w:hanging="317"/>
      </w:pPr>
      <w:r>
        <w:rPr>
          <w:b/>
        </w:rPr>
        <w:t xml:space="preserve">A. </w:t>
      </w:r>
      <w:r>
        <w:t>Notify every client and the BBS immediately, then determine what happened before confirming legal authority and the permitted scope without first resolving the underlying legal or clinical issue.</w:t>
      </w:r>
    </w:p>
    <w:p>
      <w:pPr>
        <w:pStyle w:val="Option"/>
        <w:keepNext/>
        <w:ind w:left="317" w:hanging="317"/>
      </w:pPr>
      <w:r>
        <w:rPr>
          <w:b/>
        </w:rPr>
        <w:t xml:space="preserve">B. </w:t>
      </w:r>
      <w:r>
        <w:t>Replace the laptops but leave the shared accounts, vendor, and backup practices unchanged to remove the immediate administrative concern.</w:t>
      </w:r>
    </w:p>
    <w:p>
      <w:pPr>
        <w:pStyle w:val="Option"/>
        <w:keepNext/>
        <w:ind w:left="317" w:hanging="317"/>
      </w:pPr>
      <w:r>
        <w:rPr>
          <w:b/>
        </w:rPr>
        <w:t xml:space="preserve">C. </w:t>
      </w:r>
      <w:r>
        <w:t>Wait for proof that records were stolen because preventive action could alarm clients until a complaint, injury, or clearer problem occurs while treating that single factor as controlling.</w:t>
      </w:r>
    </w:p>
    <w:p>
      <w:pPr>
        <w:pStyle w:val="Option"/>
        <w:keepNext w:val="0"/>
        <w:ind w:left="317" w:hanging="317"/>
      </w:pPr>
      <w:r>
        <w:rPr>
          <w:b/>
        </w:rPr>
        <w:t xml:space="preserve">D. </w:t>
      </w:r>
      <w:r>
        <w:t>Contain the incident, preserve evidence, assess the access and information involved, correct account and device controls, review the vendor and BAA, test continuity, and determine notification duties.</w:t>
      </w:r>
    </w:p>
    <w:p>
      <w:pPr>
        <w:pStyle w:val="QuestionNumber"/>
        <w:keepNext/>
        <w:spacing w:before="140"/>
      </w:pPr>
      <w:r>
        <w:t xml:space="preserve">17. </w:t>
      </w:r>
      <w:r>
        <w:rPr>
          <w:b w:val="0"/>
          <w:color w:val="111111"/>
        </w:rPr>
        <w:t>During a case review, a clinician must distinguish verified information from implicit bias, explicit bias, stereotyping, and confirmation bias. Which situation best illustrates confirmation bias?</w:t>
      </w:r>
    </w:p>
    <w:p>
      <w:pPr>
        <w:pStyle w:val="Option"/>
        <w:keepNext/>
        <w:ind w:left="317" w:hanging="317"/>
      </w:pPr>
      <w:r>
        <w:rPr>
          <w:b/>
        </w:rPr>
        <w:t xml:space="preserve">A. </w:t>
      </w:r>
      <w:r>
        <w:t>A therapist forms an early belief that a client is manipulative and later notices only information supporting that belief while dismissing evidence of fear and trauma.</w:t>
      </w:r>
    </w:p>
    <w:p>
      <w:pPr>
        <w:pStyle w:val="Option"/>
        <w:keepNext/>
        <w:ind w:left="317" w:hanging="317"/>
      </w:pPr>
      <w:r>
        <w:rPr>
          <w:b/>
        </w:rPr>
        <w:t xml:space="preserve">B. </w:t>
      </w:r>
      <w:r>
        <w:t>A therapist revises an initial impression after receiving contradictory information without further assessment of the governing facts.</w:t>
      </w:r>
    </w:p>
    <w:p>
      <w:pPr>
        <w:pStyle w:val="Option"/>
        <w:keepNext/>
        <w:ind w:left="317" w:hanging="317"/>
      </w:pPr>
      <w:r>
        <w:rPr>
          <w:b/>
        </w:rPr>
        <w:t xml:space="preserve">C. </w:t>
      </w:r>
      <w:r>
        <w:t>A therapist asks the client to explain the meaning of an unfamiliar behavior without further assessment of the governing facts while treating that single factor as controlling.</w:t>
      </w:r>
    </w:p>
    <w:p>
      <w:pPr>
        <w:pStyle w:val="Option"/>
        <w:keepNext w:val="0"/>
        <w:ind w:left="317" w:hanging="317"/>
      </w:pPr>
      <w:r>
        <w:rPr>
          <w:b/>
        </w:rPr>
        <w:t xml:space="preserve">D. </w:t>
      </w:r>
      <w:r>
        <w:t>A therapist seeks consultation that challenges the clinician’s original conclusion without further assessment of the governing facts.</w:t>
      </w:r>
    </w:p>
    <w:p>
      <w:pPr>
        <w:pStyle w:val="QuestionNumber"/>
        <w:keepNext/>
        <w:spacing w:before="140"/>
      </w:pPr>
      <w:r>
        <w:t xml:space="preserve">18. </w:t>
      </w:r>
      <w:r>
        <w:rPr>
          <w:b w:val="0"/>
          <w:color w:val="111111"/>
        </w:rPr>
        <w:t>A therapist sends a current client romantic and sexually suggestive messages after sessions. No physical contact has occurred.</w:t>
        <w:br/>
        <w:t>Which analysis is most accurate?</w:t>
      </w:r>
    </w:p>
    <w:p>
      <w:pPr>
        <w:pStyle w:val="Option"/>
        <w:keepNext/>
        <w:ind w:left="317" w:hanging="317"/>
      </w:pPr>
      <w:r>
        <w:rPr>
          <w:b/>
        </w:rPr>
        <w:t xml:space="preserve">A. </w:t>
      </w:r>
      <w:r>
        <w:t>No misconduct exists because physical sexual contact never occurred without further assessment of the governing facts.</w:t>
      </w:r>
    </w:p>
    <w:p>
      <w:pPr>
        <w:pStyle w:val="Option"/>
        <w:keepNext/>
        <w:ind w:left="317" w:hanging="317"/>
      </w:pPr>
      <w:r>
        <w:rPr>
          <w:b/>
        </w:rPr>
        <w:t xml:space="preserve">B. </w:t>
      </w:r>
      <w:r>
        <w:t>The messages may constitute sexual solicitation or sexual misconduct even without physical contact.</w:t>
      </w:r>
    </w:p>
    <w:p>
      <w:pPr>
        <w:pStyle w:val="Option"/>
        <w:keepNext/>
        <w:ind w:left="317" w:hanging="317"/>
      </w:pPr>
      <w:r>
        <w:rPr>
          <w:b/>
        </w:rPr>
        <w:t xml:space="preserve">C. </w:t>
      </w:r>
      <w:r>
        <w:t>The communication is acceptable because it occurred outside scheduled sessions without further assessment of the governing facts.</w:t>
      </w:r>
    </w:p>
    <w:p>
      <w:pPr>
        <w:pStyle w:val="Option"/>
        <w:keepNext w:val="0"/>
        <w:ind w:left="317" w:hanging="317"/>
      </w:pPr>
      <w:r>
        <w:rPr>
          <w:b/>
        </w:rPr>
        <w:t xml:space="preserve">D. </w:t>
      </w:r>
      <w:r>
        <w:t>The client should decide whether the messages are professionally appropriate because the person's preference is treated as controlling.</w:t>
      </w:r>
    </w:p>
    <w:p>
      <w:pPr>
        <w:pStyle w:val="QuestionNumber"/>
        <w:keepNext/>
        <w:spacing w:before="140"/>
      </w:pPr>
      <w:r>
        <w:t xml:space="preserve">19. </w:t>
      </w:r>
      <w:r>
        <w:rPr>
          <w:b w:val="0"/>
          <w:color w:val="111111"/>
        </w:rPr>
        <w:t>A small practice securely stores all paper records in one basement room. The area has flooded twice, but the practice has no off-site backup, disaster plan, or recovery procedure.</w:t>
        <w:br/>
        <w:t>Which response is most appropriate?</w:t>
      </w:r>
    </w:p>
    <w:p>
      <w:pPr>
        <w:pStyle w:val="Option"/>
        <w:keepNext/>
        <w:ind w:left="317" w:hanging="317"/>
      </w:pPr>
      <w:r>
        <w:rPr>
          <w:b/>
        </w:rPr>
        <w:t xml:space="preserve">A. </w:t>
      </w:r>
      <w:r>
        <w:t>Continue using the room because locked storage is the only relevant security concern without additional assessment or consultation.</w:t>
      </w:r>
    </w:p>
    <w:p>
      <w:pPr>
        <w:pStyle w:val="Option"/>
        <w:keepNext/>
        <w:ind w:left="317" w:hanging="317"/>
      </w:pPr>
      <w:r>
        <w:rPr>
          <w:b/>
        </w:rPr>
        <w:t xml:space="preserve">B. </w:t>
      </w:r>
      <w:r>
        <w:t>Develop safeguards addressing foreseeable loss, including safer storage, backups when possible, disaster planning, and recovery procedures.</w:t>
      </w:r>
    </w:p>
    <w:p>
      <w:pPr>
        <w:pStyle w:val="Option"/>
        <w:keepNext/>
        <w:ind w:left="317" w:hanging="317"/>
      </w:pPr>
      <w:r>
        <w:rPr>
          <w:b/>
        </w:rPr>
        <w:t xml:space="preserve">C. </w:t>
      </w:r>
      <w:r>
        <w:t>Destroy older records immediately to reduce the amount at risk to remove the immediate administrative concern.</w:t>
      </w:r>
    </w:p>
    <w:p>
      <w:pPr>
        <w:pStyle w:val="Option"/>
        <w:keepNext w:val="0"/>
        <w:ind w:left="317" w:hanging="317"/>
      </w:pPr>
      <w:r>
        <w:rPr>
          <w:b/>
        </w:rPr>
        <w:t xml:space="preserve">D. </w:t>
      </w:r>
      <w:r>
        <w:t>Ask clients to keep their own copies in case the practice loses the originals and rely on that response instead of professional judgment.</w:t>
      </w:r>
    </w:p>
    <w:p>
      <w:pPr>
        <w:pStyle w:val="QuestionNumber"/>
        <w:keepNext/>
        <w:spacing w:before="140"/>
      </w:pPr>
      <w:r>
        <w:t xml:space="preserve">20. </w:t>
      </w:r>
      <w:r>
        <w:rPr>
          <w:b w:val="0"/>
          <w:color w:val="111111"/>
        </w:rPr>
        <w:t>A therapist has extensive experience treating adults and is asked to treat a six-year-old with complex developmental and behavioral concerns. The service may be legally permitted, but the therapist has no child-development training. What should the therapist evaluate first?</w:t>
      </w:r>
    </w:p>
    <w:p>
      <w:pPr>
        <w:pStyle w:val="Option"/>
        <w:keepNext/>
        <w:ind w:left="317" w:hanging="317"/>
      </w:pPr>
      <w:r>
        <w:rPr>
          <w:b/>
        </w:rPr>
        <w:t xml:space="preserve">A. </w:t>
      </w:r>
      <w:r>
        <w:t>Whether the parent is willing to pay privately because family status is treated as automatic authority.</w:t>
      </w:r>
    </w:p>
    <w:p>
      <w:pPr>
        <w:pStyle w:val="Option"/>
        <w:keepNext/>
        <w:ind w:left="317" w:hanging="317"/>
      </w:pPr>
      <w:r>
        <w:rPr>
          <w:b/>
        </w:rPr>
        <w:t xml:space="preserve">B. </w:t>
      </w:r>
      <w:r>
        <w:t>Whether the clinician generally enjoys working with children without further assessment of the governing facts.</w:t>
      </w:r>
    </w:p>
    <w:p>
      <w:pPr>
        <w:pStyle w:val="Option"/>
        <w:keepNext/>
        <w:ind w:left="317" w:hanging="317"/>
      </w:pPr>
      <w:r>
        <w:rPr>
          <w:b/>
        </w:rPr>
        <w:t xml:space="preserve">C. </w:t>
      </w:r>
      <w:r>
        <w:t>Whether the clinician has the population-specific knowledge and skill needed to provide safe and effective care.</w:t>
      </w:r>
    </w:p>
    <w:p>
      <w:pPr>
        <w:pStyle w:val="Option"/>
        <w:keepNext w:val="0"/>
        <w:ind w:left="317" w:hanging="317"/>
      </w:pPr>
      <w:r>
        <w:rPr>
          <w:b/>
        </w:rPr>
        <w:t xml:space="preserve">D. </w:t>
      </w:r>
      <w:r>
        <w:t>Whether the clinician has held a license for at least ten years because legal authorization is treated as proof of competence.</w:t>
      </w:r>
    </w:p>
    <w:p>
      <w:pPr>
        <w:pStyle w:val="QuestionNumber"/>
        <w:keepNext/>
        <w:spacing w:before="140"/>
      </w:pPr>
      <w:r>
        <w:t xml:space="preserve">21. </w:t>
      </w:r>
      <w:r>
        <w:rPr>
          <w:b w:val="0"/>
          <w:color w:val="111111"/>
        </w:rPr>
        <w:t>A clinician faces incomplete facts, possible client harm, organizational pressure, a strong personal reaction, and conflicting options. What response BEST reflects sound judgment?</w:t>
      </w:r>
    </w:p>
    <w:p>
      <w:pPr>
        <w:pStyle w:val="Option"/>
        <w:keepNext/>
        <w:ind w:left="317" w:hanging="317"/>
      </w:pPr>
      <w:r>
        <w:rPr>
          <w:b/>
        </w:rPr>
        <w:t xml:space="preserve">A. </w:t>
      </w:r>
      <w:r>
        <w:t>Address immediate safety, identify the controlling duties, consider autonomy and least-restrictive options, consult as needed, and document the reasoning.</w:t>
      </w:r>
    </w:p>
    <w:p>
      <w:pPr>
        <w:pStyle w:val="Option"/>
        <w:keepNext/>
        <w:ind w:left="317" w:hanging="317"/>
      </w:pPr>
      <w:r>
        <w:rPr>
          <w:b/>
        </w:rPr>
        <w:t xml:space="preserve">B. </w:t>
      </w:r>
      <w:r>
        <w:t>Follow the client’s preference because autonomy overrides every other professional duty.</w:t>
      </w:r>
    </w:p>
    <w:p>
      <w:pPr>
        <w:pStyle w:val="Option"/>
        <w:keepNext/>
        <w:ind w:left="317" w:hanging="317"/>
      </w:pPr>
      <w:r>
        <w:rPr>
          <w:b/>
        </w:rPr>
        <w:t xml:space="preserve">C. </w:t>
      </w:r>
      <w:r>
        <w:t>Choose the most restrictive intervention before assessing urgency or available alternatives.</w:t>
      </w:r>
    </w:p>
    <w:p>
      <w:pPr>
        <w:pStyle w:val="Option"/>
        <w:keepNext w:val="0"/>
        <w:ind w:left="317" w:hanging="317"/>
      </w:pPr>
      <w:r>
        <w:rPr>
          <w:b/>
        </w:rPr>
        <w:t xml:space="preserve">D. </w:t>
      </w:r>
      <w:r>
        <w:t>Delay action until every legal and ethical uncertainty has been resolved conclusively while treating that response as sufficient without further analysis.</w:t>
      </w:r>
    </w:p>
    <w:p>
      <w:pPr>
        <w:pStyle w:val="QuestionNumber"/>
        <w:keepNext/>
        <w:spacing w:before="140"/>
      </w:pPr>
      <w:r>
        <w:t xml:space="preserve">22. </w:t>
      </w:r>
      <w:r>
        <w:rPr>
          <w:b w:val="0"/>
          <w:color w:val="111111"/>
        </w:rPr>
        <w:t>After a brief recommendation, a client says, “You are the expert. I do not want to know anything else—just decide for me.” What should the therapist do?</w:t>
      </w:r>
    </w:p>
    <w:p>
      <w:pPr>
        <w:pStyle w:val="Option"/>
        <w:keepNext/>
        <w:ind w:left="317" w:hanging="317"/>
      </w:pPr>
      <w:r>
        <w:rPr>
          <w:b/>
        </w:rPr>
        <w:t xml:space="preserve">A. </w:t>
      </w:r>
      <w:r>
        <w:t>Treat the statement as permanent consent to any future intervention without further assessment of the governing facts.</w:t>
      </w:r>
    </w:p>
    <w:p>
      <w:pPr>
        <w:pStyle w:val="Option"/>
        <w:keepNext/>
        <w:ind w:left="317" w:hanging="317"/>
      </w:pPr>
      <w:r>
        <w:rPr>
          <w:b/>
        </w:rPr>
        <w:t xml:space="preserve">B. </w:t>
      </w:r>
      <w:r>
        <w:t>Refuse treatment because clients may never rely heavily on professional guidance without further assessment of the governing facts while treating that single factor as controlling.</w:t>
      </w:r>
    </w:p>
    <w:p>
      <w:pPr>
        <w:pStyle w:val="Option"/>
        <w:keepNext/>
        <w:ind w:left="317" w:hanging="317"/>
      </w:pPr>
      <w:r>
        <w:rPr>
          <w:b/>
        </w:rPr>
        <w:t xml:space="preserve">C. </w:t>
      </w:r>
      <w:r>
        <w:t>Choose any intervention the clinician prefers because authority has been transferred without further assessment of the governing facts.</w:t>
      </w:r>
    </w:p>
    <w:p>
      <w:pPr>
        <w:pStyle w:val="Option"/>
        <w:keepNext w:val="0"/>
        <w:ind w:left="317" w:hanging="317"/>
      </w:pPr>
      <w:r>
        <w:rPr>
          <w:b/>
        </w:rPr>
        <w:t xml:space="preserve">D. </w:t>
      </w:r>
      <w:r>
        <w:t>Explore the client’s preference, provide the information reasonably necessary for the decision, and determine whether the choice to defer is informed and voluntary.</w:t>
      </w:r>
    </w:p>
    <w:p>
      <w:pPr>
        <w:pStyle w:val="QuestionNumber"/>
        <w:keepNext/>
        <w:spacing w:before="140"/>
      </w:pPr>
      <w:r>
        <w:t xml:space="preserve">23. </w:t>
      </w:r>
      <w:r>
        <w:rPr>
          <w:b w:val="0"/>
          <w:color w:val="111111"/>
        </w:rPr>
        <w:t>A therapist has increasing fatigue and several delayed notes. Judgment and client safety remain intact, and the therapist can reduce the schedule, obtain treatment, and use weekly consultation. What is the strongest response?</w:t>
      </w:r>
    </w:p>
    <w:p>
      <w:pPr>
        <w:pStyle w:val="Option"/>
        <w:keepNext/>
        <w:ind w:left="317" w:hanging="317"/>
      </w:pPr>
      <w:r>
        <w:rPr>
          <w:b/>
        </w:rPr>
        <w:t xml:space="preserve">A. </w:t>
      </w:r>
      <w:r>
        <w:t>Implement a monitored, proportionate plan and escalate if functioning does not remain safe.</w:t>
      </w:r>
    </w:p>
    <w:p>
      <w:pPr>
        <w:pStyle w:val="Option"/>
        <w:keepNext/>
        <w:ind w:left="317" w:hanging="317"/>
      </w:pPr>
      <w:r>
        <w:rPr>
          <w:b/>
        </w:rPr>
        <w:t xml:space="preserve">B. </w:t>
      </w:r>
      <w:r>
        <w:t>Continue unchanged because no client has complained without additional assessment or consultation.</w:t>
      </w:r>
    </w:p>
    <w:p>
      <w:pPr>
        <w:pStyle w:val="Option"/>
        <w:keepNext/>
        <w:ind w:left="317" w:hanging="317"/>
      </w:pPr>
      <w:r>
        <w:rPr>
          <w:b/>
        </w:rPr>
        <w:t xml:space="preserve">C. </w:t>
      </w:r>
      <w:r>
        <w:t>Permanently close the practice before assessing whether support is effective without further assessment of the governing facts.</w:t>
      </w:r>
    </w:p>
    <w:p>
      <w:pPr>
        <w:pStyle w:val="Option"/>
        <w:keepNext w:val="0"/>
        <w:ind w:left="317" w:hanging="317"/>
      </w:pPr>
      <w:r>
        <w:rPr>
          <w:b/>
        </w:rPr>
        <w:t xml:space="preserve">D. </w:t>
      </w:r>
      <w:r>
        <w:t>Tell every client the clinician’s diagnosis before making any schedule change before confirming legal authority and the permitted scope.</w:t>
      </w:r>
    </w:p>
    <w:p>
      <w:pPr>
        <w:pStyle w:val="QuestionNumber"/>
        <w:keepNext/>
        <w:spacing w:before="140"/>
      </w:pPr>
      <w:r>
        <w:t xml:space="preserve">24. </w:t>
      </w:r>
      <w:r>
        <w:rPr>
          <w:b w:val="0"/>
          <w:color w:val="111111"/>
        </w:rPr>
        <w:t>A therapist:</w:t>
        <w:br/>
        <w:t>Frequently answers one client’s nonurgent messages after midnight.</w:t>
        <w:br/>
        <w:t>Shares increasingly personal information.</w:t>
        <w:br/>
        <w:t>Feels unusually protective and wants the client’s approval.</w:t>
        <w:br/>
        <w:t>Makes repeated undocumented exceptions.</w:t>
        <w:br/>
        <w:t>Notices that the client is becoming dependent.</w:t>
        <w:br/>
        <w:t>Becomes defensive when a colleague raises concerns.</w:t>
        <w:br/>
        <w:t>What is the best response?</w:t>
      </w:r>
    </w:p>
    <w:p>
      <w:pPr>
        <w:pStyle w:val="Option"/>
        <w:keepNext/>
        <w:ind w:left="317" w:hanging="317"/>
      </w:pPr>
      <w:r>
        <w:rPr>
          <w:b/>
        </w:rPr>
        <w:t xml:space="preserve">A. </w:t>
      </w:r>
      <w:r>
        <w:t>Identify the conduct and pattern, clarify whose needs are served, assess dependency and client impact, examine objectivity and power, seek consultation, and restore appropriate boundaries.</w:t>
      </w:r>
    </w:p>
    <w:p>
      <w:pPr>
        <w:pStyle w:val="Option"/>
        <w:keepNext/>
        <w:ind w:left="317" w:hanging="317"/>
      </w:pPr>
      <w:r>
        <w:rPr>
          <w:b/>
        </w:rPr>
        <w:t xml:space="preserve">B. </w:t>
      </w:r>
      <w:r>
        <w:t>Continue the arrangement because the client has not complained without additional assessment or consultation.</w:t>
      </w:r>
    </w:p>
    <w:p>
      <w:pPr>
        <w:pStyle w:val="Option"/>
        <w:keepNext/>
        <w:ind w:left="317" w:hanging="317"/>
      </w:pPr>
      <w:r>
        <w:rPr>
          <w:b/>
        </w:rPr>
        <w:t xml:space="preserve">C. </w:t>
      </w:r>
      <w:r>
        <w:t>Ask the client whether the clinician’s behavior is ethical and follow the client’s decision and rely on that response instead of professional judgment.</w:t>
      </w:r>
    </w:p>
    <w:p>
      <w:pPr>
        <w:pStyle w:val="Option"/>
        <w:keepNext w:val="0"/>
        <w:ind w:left="317" w:hanging="317"/>
      </w:pPr>
      <w:r>
        <w:rPr>
          <w:b/>
        </w:rPr>
        <w:t xml:space="preserve">D. </w:t>
      </w:r>
      <w:r>
        <w:t>Conceal the arrangement more carefully to protect the client from judgment by others to remove the immediate administrative concern.</w:t>
      </w:r>
    </w:p>
    <w:p>
      <w:pPr>
        <w:pStyle w:val="QuestionNumber"/>
        <w:keepNext/>
        <w:spacing w:before="140"/>
      </w:pPr>
      <w:r>
        <w:t xml:space="preserve">25. </w:t>
      </w:r>
      <w:r>
        <w:rPr>
          <w:b w:val="0"/>
          <w:color w:val="111111"/>
        </w:rPr>
        <w:t>A registered AMFT starts telehealth with a new client, omits the Notice, misrepresents independent licensure, gives no telehealth disclosures, fails to disclose a major cancellation fee, and uses a noncompliant social-media profile. What is the best corrective response?</w:t>
      </w:r>
    </w:p>
    <w:p>
      <w:pPr>
        <w:pStyle w:val="Option"/>
        <w:keepNext/>
        <w:ind w:left="317" w:hanging="317"/>
      </w:pPr>
      <w:r>
        <w:rPr>
          <w:b/>
        </w:rPr>
        <w:t xml:space="preserve">A. </w:t>
      </w:r>
      <w:r>
        <w:t>Obtain one new signature and leave the practices unchanged because the existing paperwork is treated as conclusive.</w:t>
      </w:r>
    </w:p>
    <w:p>
      <w:pPr>
        <w:pStyle w:val="Option"/>
        <w:keepNext/>
        <w:ind w:left="317" w:hanging="317"/>
      </w:pPr>
      <w:r>
        <w:rPr>
          <w:b/>
        </w:rPr>
        <w:t xml:space="preserve">B. </w:t>
      </w:r>
      <w:r>
        <w:t>Provide only the supervisor’s name without further assessment of the governing facts.</w:t>
      </w:r>
    </w:p>
    <w:p>
      <w:pPr>
        <w:pStyle w:val="Option"/>
        <w:keepNext/>
        <w:ind w:left="317" w:hanging="317"/>
      </w:pPr>
      <w:r>
        <w:rPr>
          <w:b/>
        </w:rPr>
        <w:t xml:space="preserve">C. </w:t>
      </w:r>
      <w:r>
        <w:t>Stop documenting the omissions before considering a less disruptive protective response.</w:t>
      </w:r>
    </w:p>
    <w:p>
      <w:pPr>
        <w:pStyle w:val="Option"/>
        <w:keepNext w:val="0"/>
        <w:ind w:left="317" w:hanging="317"/>
      </w:pPr>
      <w:r>
        <w:rPr>
          <w:b/>
        </w:rPr>
        <w:t xml:space="preserve">D. </w:t>
      </w:r>
      <w:r>
        <w:t>Correct each applicable framework: Notice, registered AMFT status, telehealth initiation/session duties, financial disclosure, and advertising.</w:t>
      </w:r>
    </w:p>
    <w:p>
      <w:pPr>
        <w:pStyle w:val="QuestionNumber"/>
        <w:keepNext/>
        <w:spacing w:before="140"/>
      </w:pPr>
      <w:r>
        <w:t xml:space="preserve">26. </w:t>
      </w:r>
      <w:r>
        <w:rPr>
          <w:b w:val="0"/>
          <w:color w:val="111111"/>
        </w:rPr>
        <w:t>At every telehealth session, a therapist asks, 'Are you in the same place as usual?' The client says yes, and the therapist documents 'client at home.' Which statement is most accurate?</w:t>
      </w:r>
    </w:p>
    <w:p>
      <w:pPr>
        <w:pStyle w:val="Option"/>
        <w:keepNext/>
        <w:ind w:left="317" w:hanging="317"/>
      </w:pPr>
      <w:r>
        <w:rPr>
          <w:b/>
        </w:rPr>
        <w:t xml:space="preserve">A. </w:t>
      </w:r>
      <w:r>
        <w:t>The practice is sufficient because the clinician knows the client's permanent address without further assessment of the governing facts.</w:t>
      </w:r>
    </w:p>
    <w:p>
      <w:pPr>
        <w:pStyle w:val="Option"/>
        <w:keepNext/>
        <w:ind w:left="317" w:hanging="317"/>
      </w:pPr>
      <w:r>
        <w:rPr>
          <w:b/>
        </w:rPr>
        <w:t xml:space="preserve">B. </w:t>
      </w:r>
      <w:r>
        <w:t>The practice does not satisfy the requirement to verbally obtain and document the client's name and present location at the beginning of each session.</w:t>
      </w:r>
    </w:p>
    <w:p>
      <w:pPr>
        <w:pStyle w:val="Option"/>
        <w:keepNext/>
        <w:ind w:left="317" w:hanging="317"/>
      </w:pPr>
      <w:r>
        <w:rPr>
          <w:b/>
        </w:rPr>
        <w:t xml:space="preserve">C. </w:t>
      </w:r>
      <w:r>
        <w:t>The clinician only needs the client's city and state when treatment is ongoing without further assessment of the governing facts while treating that single factor as controlling.</w:t>
      </w:r>
    </w:p>
    <w:p>
      <w:pPr>
        <w:pStyle w:val="Option"/>
        <w:keepNext w:val="0"/>
        <w:ind w:left="317" w:hanging="317"/>
      </w:pPr>
      <w:r>
        <w:rPr>
          <w:b/>
        </w:rPr>
        <w:t xml:space="preserve">D. </w:t>
      </w:r>
      <w:r>
        <w:t>The practice is sufficient unless the client has a history of emergencies without further assessment of the governing facts.</w:t>
      </w:r>
    </w:p>
    <w:p>
      <w:pPr>
        <w:pStyle w:val="QuestionNumber"/>
        <w:keepNext/>
        <w:spacing w:before="140"/>
      </w:pPr>
      <w:r>
        <w:t xml:space="preserve">27. </w:t>
      </w:r>
      <w:r>
        <w:rPr>
          <w:b w:val="0"/>
          <w:color w:val="111111"/>
        </w:rPr>
        <w:t>A clinician observes a coworker slurring speech, appearing confused, and preparing to conduct an emergency risk assessment. What is the best initial response?</w:t>
      </w:r>
    </w:p>
    <w:p>
      <w:pPr>
        <w:pStyle w:val="Option"/>
        <w:keepNext/>
        <w:ind w:left="317" w:hanging="317"/>
      </w:pPr>
      <w:r>
        <w:rPr>
          <w:b/>
        </w:rPr>
        <w:t xml:space="preserve">A. </w:t>
      </w:r>
      <w:r>
        <w:t>Wait until the clinician can diagnose the coworker’s condition until a complaint, injury, or clearer problem occurs.</w:t>
      </w:r>
    </w:p>
    <w:p>
      <w:pPr>
        <w:pStyle w:val="Option"/>
        <w:keepNext/>
        <w:ind w:left="317" w:hanging="317"/>
      </w:pPr>
      <w:r>
        <w:rPr>
          <w:b/>
        </w:rPr>
        <w:t xml:space="preserve">B. </w:t>
      </w:r>
      <w:r>
        <w:t>Protect immediate client safety and follow appropriate supervisory or workplace procedures.</w:t>
      </w:r>
    </w:p>
    <w:p>
      <w:pPr>
        <w:pStyle w:val="Option"/>
        <w:keepNext/>
        <w:ind w:left="317" w:hanging="317"/>
      </w:pPr>
      <w:r>
        <w:rPr>
          <w:b/>
        </w:rPr>
        <w:t xml:space="preserve">C. </w:t>
      </w:r>
      <w:r>
        <w:t>Discuss the suspected diagnosis with the waiting client without further assessment of the governing facts.</w:t>
      </w:r>
    </w:p>
    <w:p>
      <w:pPr>
        <w:pStyle w:val="Option"/>
        <w:keepNext w:val="0"/>
        <w:ind w:left="317" w:hanging="317"/>
      </w:pPr>
      <w:r>
        <w:rPr>
          <w:b/>
        </w:rPr>
        <w:t xml:space="preserve">D. </w:t>
      </w:r>
      <w:r>
        <w:t>Ignore the behavior to protect the coworker’s reputation until a complaint, injury, or clearer problem occurs.</w:t>
      </w:r>
    </w:p>
    <w:p>
      <w:pPr>
        <w:pStyle w:val="QuestionNumber"/>
        <w:keepNext/>
        <w:spacing w:before="140"/>
      </w:pPr>
      <w:r>
        <w:t xml:space="preserve">28. </w:t>
      </w:r>
      <w:r>
        <w:rPr>
          <w:b w:val="0"/>
          <w:color w:val="111111"/>
        </w:rPr>
        <w:t>A therapist asks a current client who is a contractor to remodel the therapist’s kitchen in exchange for psychotherapy sessions.</w:t>
        <w:br/>
        <w:t>What is the strongest analysis?</w:t>
      </w:r>
    </w:p>
    <w:p>
      <w:pPr>
        <w:pStyle w:val="Option"/>
        <w:keepNext/>
        <w:ind w:left="317" w:hanging="317"/>
      </w:pPr>
      <w:r>
        <w:rPr>
          <w:b/>
        </w:rPr>
        <w:t xml:space="preserve">A. </w:t>
      </w:r>
      <w:r>
        <w:t>The arrangement is acceptable because both parties receive something valuable without further assessment of the governing facts.</w:t>
      </w:r>
    </w:p>
    <w:p>
      <w:pPr>
        <w:pStyle w:val="Option"/>
        <w:keepNext/>
        <w:ind w:left="317" w:hanging="317"/>
      </w:pPr>
      <w:r>
        <w:rPr>
          <w:b/>
        </w:rPr>
        <w:t xml:space="preserve">B. </w:t>
      </w:r>
      <w:r>
        <w:t>The arrangement is prohibited solely because the client performs physical labor without further assessment of the governing facts.</w:t>
      </w:r>
    </w:p>
    <w:p>
      <w:pPr>
        <w:pStyle w:val="Option"/>
        <w:keepNext/>
        <w:ind w:left="317" w:hanging="317"/>
      </w:pPr>
      <w:r>
        <w:rPr>
          <w:b/>
        </w:rPr>
        <w:t xml:space="preserve">C. </w:t>
      </w:r>
      <w:r>
        <w:t>The arrangement creates bartering and additional customer-contractor roles that may produce financial pressure, valuation disputes, impaired objectivity, and treatment complications.</w:t>
      </w:r>
    </w:p>
    <w:p>
      <w:pPr>
        <w:pStyle w:val="Option"/>
        <w:keepNext w:val="0"/>
        <w:ind w:left="317" w:hanging="317"/>
      </w:pPr>
      <w:r>
        <w:rPr>
          <w:b/>
        </w:rPr>
        <w:t xml:space="preserve">D. </w:t>
      </w:r>
      <w:r>
        <w:t>The arrangement is appropriate as long as construction discussions occur outside therapy sessions without further assessment of the governing facts.</w:t>
      </w:r>
    </w:p>
    <w:p>
      <w:pPr>
        <w:pStyle w:val="QuestionNumber"/>
        <w:keepNext/>
        <w:spacing w:before="140"/>
      </w:pPr>
      <w:r>
        <w:t xml:space="preserve">29. </w:t>
      </w:r>
      <w:r>
        <w:rPr>
          <w:b w:val="0"/>
          <w:color w:val="111111"/>
        </w:rPr>
        <w:t>During a session, a client describes a specific violent threat, identifies an intended victim, reports access to a weapon, and states an intention to act soon. The therapist conducts a risk assessment, consults, initiates legally and clinically appropriate protective actions, coordinates emergency intervention, and schedules follow-up.</w:t>
        <w:br/>
        <w:t>The therapist later notices that the electronic note still contains copied language from the previous session stating, “Client denied violent thoughts,” and the note does not describe the current assessment or actions.</w:t>
        <w:br/>
        <w:t>What is the most appropriate response?</w:t>
      </w:r>
    </w:p>
    <w:p>
      <w:pPr>
        <w:pStyle w:val="Option"/>
        <w:keepNext/>
        <w:ind w:left="317" w:hanging="317"/>
      </w:pPr>
      <w:r>
        <w:rPr>
          <w:b/>
        </w:rPr>
        <w:t xml:space="preserve">A. </w:t>
      </w:r>
      <w:r>
        <w:t>Leave the note unchanged because the emergency intervention is documented elsewhere without further assessment of the governing facts.</w:t>
      </w:r>
    </w:p>
    <w:p>
      <w:pPr>
        <w:pStyle w:val="Option"/>
        <w:keepNext/>
        <w:ind w:left="317" w:hanging="317"/>
      </w:pPr>
      <w:r>
        <w:rPr>
          <w:b/>
        </w:rPr>
        <w:t xml:space="preserve">B. </w:t>
      </w:r>
      <w:r>
        <w:t>Delete the entire note and create a new one dated on the day of the threatening statement to remove the immediate administrative concern.</w:t>
      </w:r>
    </w:p>
    <w:p>
      <w:pPr>
        <w:pStyle w:val="Option"/>
        <w:keepNext/>
        <w:ind w:left="317" w:hanging="317"/>
      </w:pPr>
      <w:r>
        <w:rPr>
          <w:b/>
        </w:rPr>
        <w:t xml:space="preserve">C. </w:t>
      </w:r>
      <w:r>
        <w:t>Document only that emergency services were contacted and remove all mention of the threat as though documentation alone resolves the underlying issue.</w:t>
      </w:r>
    </w:p>
    <w:p>
      <w:pPr>
        <w:pStyle w:val="Option"/>
        <w:keepNext w:val="0"/>
        <w:ind w:left="317" w:hanging="317"/>
      </w:pPr>
      <w:r>
        <w:rPr>
          <w:b/>
        </w:rPr>
        <w:t xml:space="preserve">D. </w:t>
      </w:r>
      <w:r>
        <w:t>Transparently correct the inaccurate copied language and document the clinically relevant threat information, assessment, reasoning, consultation, protective actions, and disposition.</w:t>
      </w:r>
    </w:p>
    <w:p>
      <w:pPr>
        <w:pStyle w:val="QuestionNumber"/>
        <w:keepNext/>
        <w:spacing w:before="140"/>
      </w:pPr>
      <w:r>
        <w:t xml:space="preserve">30. </w:t>
      </w:r>
      <w:r>
        <w:rPr>
          <w:b w:val="0"/>
          <w:color w:val="111111"/>
        </w:rP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Option"/>
        <w:keepNext/>
        <w:ind w:left="317" w:hanging="317"/>
      </w:pPr>
      <w:r>
        <w:rPr>
          <w:b/>
        </w:rPr>
        <w:t xml:space="preserve">A. </w:t>
      </w:r>
      <w:r>
        <w:t>Public information is automatically reliable clinical evidence without further assessment of the governing facts.</w:t>
      </w:r>
    </w:p>
    <w:p>
      <w:pPr>
        <w:pStyle w:val="Option"/>
        <w:keepNext/>
        <w:ind w:left="317" w:hanging="317"/>
      </w:pPr>
      <w:r>
        <w:rPr>
          <w:b/>
        </w:rPr>
        <w:t xml:space="preserve">B. </w:t>
      </w:r>
      <w:r>
        <w:t>The clinician may search and use it for any reason because no password was required without further assessment of the governing facts.</w:t>
      </w:r>
    </w:p>
    <w:p>
      <w:pPr>
        <w:pStyle w:val="Option"/>
        <w:keepNext/>
        <w:ind w:left="317" w:hanging="317"/>
      </w:pPr>
      <w:r>
        <w:rPr>
          <w:b/>
        </w:rPr>
        <w:t xml:space="preserve">C. </w:t>
      </w:r>
      <w:r>
        <w:t>Public availability does not establish clinical necessity, accuracy, or appropriateness; the clinician should evaluate purpose, reliability, impact, and documentation.</w:t>
      </w:r>
    </w:p>
    <w:p>
      <w:pPr>
        <w:pStyle w:val="Option"/>
        <w:keepNext w:val="0"/>
        <w:ind w:left="317" w:hanging="317"/>
      </w:pPr>
      <w:r>
        <w:rPr>
          <w:b/>
        </w:rPr>
        <w:t xml:space="preserve">D. </w:t>
      </w:r>
      <w:r>
        <w:t>The clinician must never consider public information, even during an imminent safety emergency without further assessment of the governing facts.</w:t>
      </w:r>
    </w:p>
    <w:p>
      <w:pPr>
        <w:pStyle w:val="QuestionNumber"/>
        <w:keepNext/>
        <w:spacing w:before="140"/>
      </w:pPr>
      <w:r>
        <w:t xml:space="preserve">31. </w:t>
      </w:r>
      <w:r>
        <w:rPr>
          <w:b w:val="0"/>
          <w:color w:val="111111"/>
        </w:rPr>
        <w:t>A therapist removes a client’s name from a training example but includes the client’s rare diagnosis, unusual occupation, small hometown, and a highly publicized family event.</w:t>
        <w:br/>
        <w:t>What is the strongest concern?</w:t>
      </w:r>
    </w:p>
    <w:p>
      <w:pPr>
        <w:pStyle w:val="Option"/>
        <w:keepNext/>
        <w:ind w:left="317" w:hanging="317"/>
      </w:pPr>
      <w:r>
        <w:rPr>
          <w:b/>
        </w:rPr>
        <w:t xml:space="preserve">A. </w:t>
      </w:r>
      <w:r>
        <w:t>No privacy concern exists because the name was removed without further assessment of the governing facts.</w:t>
      </w:r>
    </w:p>
    <w:p>
      <w:pPr>
        <w:pStyle w:val="Option"/>
        <w:keepNext/>
        <w:ind w:left="317" w:hanging="317"/>
      </w:pPr>
      <w:r>
        <w:rPr>
          <w:b/>
        </w:rPr>
        <w:t xml:space="preserve">B. </w:t>
      </w:r>
      <w:r>
        <w:t>The information is automatically anonymous if the clinician changes the client’s age.</w:t>
      </w:r>
    </w:p>
    <w:p>
      <w:pPr>
        <w:pStyle w:val="Option"/>
        <w:keepNext/>
        <w:ind w:left="317" w:hanging="317"/>
      </w:pPr>
      <w:r>
        <w:rPr>
          <w:b/>
        </w:rPr>
        <w:t xml:space="preserve">C. </w:t>
      </w:r>
      <w:r>
        <w:t>Training use always eliminates confidentiality obligations without further assessment of the governing facts.</w:t>
      </w:r>
    </w:p>
    <w:p>
      <w:pPr>
        <w:pStyle w:val="Option"/>
        <w:keepNext w:val="0"/>
        <w:ind w:left="317" w:hanging="317"/>
      </w:pPr>
      <w:r>
        <w:rPr>
          <w:b/>
        </w:rPr>
        <w:t xml:space="preserve">D. </w:t>
      </w:r>
      <w:r>
        <w:t>The combination of details may still allow others to identify the client.</w:t>
      </w:r>
    </w:p>
    <w:p>
      <w:pPr>
        <w:pStyle w:val="QuestionNumber"/>
        <w:keepNext/>
        <w:spacing w:before="140"/>
      </w:pPr>
      <w:r>
        <w:t xml:space="preserve">32. </w:t>
      </w:r>
      <w:r>
        <w:rPr>
          <w:b w:val="0"/>
          <w:color w:val="111111"/>
        </w:rPr>
        <w:t>A clinician assumes that a client’s repeated family consultation reflects dependency and poor boundaries. The client explains that family decision-making is a central cultural value. What should the clinician do first?</w:t>
      </w:r>
    </w:p>
    <w:p>
      <w:pPr>
        <w:pStyle w:val="Option"/>
        <w:keepNext/>
        <w:ind w:left="317" w:hanging="317"/>
      </w:pPr>
      <w:r>
        <w:rPr>
          <w:b/>
        </w:rPr>
        <w:t xml:space="preserve">A. </w:t>
      </w:r>
      <w:r>
        <w:t>Diagnose a dependency problem because individual decision-making is the healthier norm.</w:t>
      </w:r>
    </w:p>
    <w:p>
      <w:pPr>
        <w:pStyle w:val="Option"/>
        <w:keepNext/>
        <w:ind w:left="317" w:hanging="317"/>
      </w:pPr>
      <w:r>
        <w:rPr>
          <w:b/>
        </w:rPr>
        <w:t xml:space="preserve">B. </w:t>
      </w:r>
      <w:r>
        <w:t>Exclude the family from treatment so the client can develop independence without outside influence.</w:t>
      </w:r>
    </w:p>
    <w:p>
      <w:pPr>
        <w:pStyle w:val="Option"/>
        <w:keepNext/>
        <w:ind w:left="317" w:hanging="317"/>
      </w:pPr>
      <w:r>
        <w:rPr>
          <w:b/>
        </w:rPr>
        <w:t xml:space="preserve">C. </w:t>
      </w:r>
      <w:r>
        <w:t>Examine the assumption, ask what family involvement means to the client, and gather individualized clinical information.</w:t>
      </w:r>
    </w:p>
    <w:p>
      <w:pPr>
        <w:pStyle w:val="Option"/>
        <w:keepNext w:val="0"/>
        <w:ind w:left="317" w:hanging="317"/>
      </w:pPr>
      <w:r>
        <w:rPr>
          <w:b/>
        </w:rPr>
        <w:t xml:space="preserve">D. </w:t>
      </w:r>
      <w:r>
        <w:t>Refer the client solely because the clinician and client hold different values about family roles.</w:t>
      </w:r>
    </w:p>
    <w:p>
      <w:pPr>
        <w:pStyle w:val="QuestionNumber"/>
        <w:keepNext/>
        <w:spacing w:before="140"/>
      </w:pPr>
      <w:r>
        <w:t xml:space="preserve">33. </w:t>
      </w:r>
      <w:r>
        <w:rPr>
          <w:b w:val="0"/>
          <w:color w:val="111111"/>
        </w:rPr>
        <w:t>After a significant clinical decision, a therapist must determine what accountability requires in consultation, follow-through, and documentation. Which statement BEST describes professional responsibility?</w:t>
      </w:r>
    </w:p>
    <w:p>
      <w:pPr>
        <w:pStyle w:val="Option"/>
        <w:keepNext/>
        <w:ind w:left="317" w:hanging="317"/>
      </w:pPr>
      <w:r>
        <w:rPr>
          <w:b/>
        </w:rPr>
        <w:t xml:space="preserve">A. </w:t>
      </w:r>
      <w:r>
        <w:t>Guaranteeing a favorable outcome for every client without further assessment of the governing facts.</w:t>
      </w:r>
    </w:p>
    <w:p>
      <w:pPr>
        <w:pStyle w:val="Option"/>
        <w:keepNext/>
        <w:ind w:left="317" w:hanging="317"/>
      </w:pPr>
      <w:r>
        <w:rPr>
          <w:b/>
        </w:rPr>
        <w:t xml:space="preserve">B. </w:t>
      </w:r>
      <w:r>
        <w:t>Following personal preference whenever law is unclear without further assessment of the governing facts.</w:t>
      </w:r>
    </w:p>
    <w:p>
      <w:pPr>
        <w:pStyle w:val="Option"/>
        <w:keepNext/>
        <w:ind w:left="317" w:hanging="317"/>
      </w:pPr>
      <w:r>
        <w:rPr>
          <w:b/>
        </w:rPr>
        <w:t xml:space="preserve">C. </w:t>
      </w:r>
      <w:r>
        <w:t>Transferring all duties to a consultant before considering a less disruptive protective response.</w:t>
      </w:r>
    </w:p>
    <w:p>
      <w:pPr>
        <w:pStyle w:val="Option"/>
        <w:keepNext w:val="0"/>
        <w:ind w:left="317" w:hanging="317"/>
      </w:pPr>
      <w:r>
        <w:rPr>
          <w:b/>
        </w:rPr>
        <w:t xml:space="preserve">D. </w:t>
      </w:r>
      <w:r>
        <w:t>Meeting the ethical, legal, clinical, and role-based duties that apply to the service.</w:t>
      </w:r>
    </w:p>
    <w:p>
      <w:pPr>
        <w:pStyle w:val="QuestionNumber"/>
        <w:keepNext/>
        <w:spacing w:before="140"/>
      </w:pPr>
      <w:r>
        <w:t xml:space="preserve">34. </w:t>
      </w:r>
      <w:r>
        <w:rPr>
          <w:b w:val="0"/>
          <w:color w:val="111111"/>
        </w:rP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Option"/>
        <w:keepNext/>
        <w:ind w:left="317" w:hanging="317"/>
      </w:pPr>
      <w:r>
        <w:rPr>
          <w:b/>
        </w:rPr>
        <w:t xml:space="preserve">A. </w:t>
      </w:r>
      <w:r>
        <w:t>Pause implementation, clarify the intervention and role changes, explain the new risk and reasonable options, assess understanding and voluntariness, determine whether the client agrees, and document the significant discussion.</w:t>
      </w:r>
    </w:p>
    <w:p>
      <w:pPr>
        <w:pStyle w:val="Option"/>
        <w:keepNext/>
        <w:ind w:left="317" w:hanging="317"/>
      </w:pPr>
      <w:r>
        <w:rPr>
          <w:b/>
        </w:rPr>
        <w:t xml:space="preserve">B. </w:t>
      </w:r>
      <w:r>
        <w:t>Continue because the client signed informed-consent documents at intake because the existing paperwork is treated as conclusive.</w:t>
      </w:r>
    </w:p>
    <w:p>
      <w:pPr>
        <w:pStyle w:val="Option"/>
        <w:keepNext/>
        <w:ind w:left="317" w:hanging="317"/>
      </w:pPr>
      <w:r>
        <w:rPr>
          <w:b/>
        </w:rPr>
        <w:t xml:space="preserve">C. </w:t>
      </w:r>
      <w:r>
        <w:t>Ask the client to sign a new form without discussing the changes because the existing paperwork is treated as conclusive while treating that single factor as controlling.</w:t>
      </w:r>
    </w:p>
    <w:p>
      <w:pPr>
        <w:pStyle w:val="Option"/>
        <w:keepNext w:val="0"/>
        <w:ind w:left="317" w:hanging="317"/>
      </w:pPr>
      <w:r>
        <w:rPr>
          <w:b/>
        </w:rPr>
        <w:t xml:space="preserve">D. </w:t>
      </w:r>
      <w:r>
        <w:t>Terminate immediately because the original consent no longer covers the plan before considering a less disruptive protective response.</w:t>
      </w:r>
    </w:p>
    <w:p>
      <w:pPr>
        <w:pStyle w:val="QuestionNumber"/>
        <w:keepNext/>
        <w:spacing w:before="140"/>
      </w:pPr>
      <w:r>
        <w:t xml:space="preserve">35. </w:t>
      </w:r>
      <w:r>
        <w:rPr>
          <w:b w:val="0"/>
          <w:color w:val="111111"/>
        </w:rPr>
        <w:t>A client shows repeated deterioration, missed safety follow-up, and increasing dependence on crisis messages. The clinician continues the same plan without reassessment because no single event appears catastrophic. What is the primary ethical concern?</w:t>
      </w:r>
    </w:p>
    <w:p>
      <w:pPr>
        <w:pStyle w:val="Option"/>
        <w:keepNext/>
        <w:ind w:left="317" w:hanging="317"/>
      </w:pPr>
      <w:r>
        <w:rPr>
          <w:b/>
        </w:rPr>
        <w:t xml:space="preserve">A. </w:t>
      </w:r>
      <w:r>
        <w:t>The clinician is required to terminate immediately whenever a client sends repeated messages.</w:t>
      </w:r>
    </w:p>
    <w:p>
      <w:pPr>
        <w:pStyle w:val="Option"/>
        <w:keepNext/>
        <w:ind w:left="317" w:hanging="317"/>
      </w:pPr>
      <w:r>
        <w:rPr>
          <w:b/>
        </w:rPr>
        <w:t xml:space="preserve">B. </w:t>
      </w:r>
      <w:r>
        <w:t>The client’s dependency removes the client’s right to participate in treatment decisions.</w:t>
      </w:r>
    </w:p>
    <w:p>
      <w:pPr>
        <w:pStyle w:val="Option"/>
        <w:keepNext/>
        <w:ind w:left="317" w:hanging="317"/>
      </w:pPr>
      <w:r>
        <w:rPr>
          <w:b/>
        </w:rPr>
        <w:t xml:space="preserve">C. </w:t>
      </w:r>
      <w:r>
        <w:t>Failure to reassess and respond to a foreseeable pattern may expose the client to avoidable harm.</w:t>
      </w:r>
    </w:p>
    <w:p>
      <w:pPr>
        <w:pStyle w:val="Option"/>
        <w:keepNext w:val="0"/>
        <w:ind w:left="317" w:hanging="317"/>
      </w:pPr>
      <w:r>
        <w:rPr>
          <w:b/>
        </w:rPr>
        <w:t xml:space="preserve">D. </w:t>
      </w:r>
      <w:r>
        <w:t>The absence of a single catastrophic event proves that the existing plan remains adequate.</w:t>
      </w:r>
    </w:p>
    <w:p>
      <w:pPr>
        <w:pStyle w:val="QuestionNumber"/>
        <w:keepNext/>
        <w:spacing w:before="140"/>
      </w:pPr>
      <w:r>
        <w:t xml:space="preserve">36. </w:t>
      </w:r>
      <w:r>
        <w:rPr>
          <w:b w:val="0"/>
          <w:color w:val="111111"/>
        </w:rPr>
        <w:t>A clinician smells strongly of alcohol, is slurring speech, and is preparing to begin a session with a client at acute suicide risk. What is the strongest initial response by the clinical manager?</w:t>
      </w:r>
    </w:p>
    <w:p>
      <w:pPr>
        <w:pStyle w:val="Option"/>
        <w:keepNext/>
        <w:ind w:left="317" w:hanging="317"/>
      </w:pPr>
      <w:r>
        <w:rPr>
          <w:b/>
        </w:rPr>
        <w:t xml:space="preserve">A. </w:t>
      </w:r>
      <w:r>
        <w:t>Prevent the clinician from conducting the session, arrange qualified coverage, and address immediate client safety through the established process.</w:t>
      </w:r>
    </w:p>
    <w:p>
      <w:pPr>
        <w:pStyle w:val="Option"/>
        <w:keepNext/>
        <w:ind w:left="317" w:hanging="317"/>
      </w:pPr>
      <w:r>
        <w:rPr>
          <w:b/>
        </w:rPr>
        <w:t xml:space="preserve">B. </w:t>
      </w:r>
      <w:r>
        <w:t>Wait for laboratory confirmation before changing the assignment until a complaint, injury, or clearer problem occurs.</w:t>
      </w:r>
    </w:p>
    <w:p>
      <w:pPr>
        <w:pStyle w:val="Option"/>
        <w:keepNext/>
        <w:ind w:left="317" w:hanging="317"/>
      </w:pPr>
      <w:r>
        <w:rPr>
          <w:b/>
        </w:rPr>
        <w:t xml:space="preserve">C. </w:t>
      </w:r>
      <w:r>
        <w:t>Allow the session because removing the clinician could be embarrassing without further assessment of the governing facts.</w:t>
      </w:r>
    </w:p>
    <w:p>
      <w:pPr>
        <w:pStyle w:val="Option"/>
        <w:keepNext w:val="0"/>
        <w:ind w:left="317" w:hanging="317"/>
      </w:pPr>
      <w:r>
        <w:rPr>
          <w:b/>
        </w:rPr>
        <w:t xml:space="preserve">D. </w:t>
      </w:r>
      <w:r>
        <w:t>Publicly diagnose the clinician with alcohol use disorder without further assessment of the governing facts.</w:t>
      </w:r>
    </w:p>
    <w:p>
      <w:pPr>
        <w:pStyle w:val="QuestionNumber"/>
        <w:keepNext/>
        <w:spacing w:before="140"/>
      </w:pPr>
      <w:r>
        <w:t xml:space="preserve">37. </w:t>
      </w:r>
      <w:r>
        <w:rPr>
          <w:b w:val="0"/>
          <w:color w:val="111111"/>
        </w:rPr>
        <w:t>A therapist reviews a current custody order and determines that one parent has authority to authorize the minor’s outpatient treatment.</w:t>
        <w:br/>
        <w:t>What should the therapist generally document?</w:t>
      </w:r>
    </w:p>
    <w:p>
      <w:pPr>
        <w:pStyle w:val="Option"/>
        <w:keepNext/>
        <w:ind w:left="317" w:hanging="317"/>
      </w:pPr>
      <w:r>
        <w:rPr>
          <w:b/>
        </w:rPr>
        <w:t xml:space="preserve">A. </w:t>
      </w:r>
      <w:r>
        <w:t>Only the name of the parent who attended intake because family status is treated as automatic authority.</w:t>
      </w:r>
    </w:p>
    <w:p>
      <w:pPr>
        <w:pStyle w:val="Option"/>
        <w:keepNext/>
        <w:ind w:left="317" w:hanging="317"/>
      </w:pPr>
      <w:r>
        <w:rPr>
          <w:b/>
        </w:rPr>
        <w:t xml:space="preserve">B. </w:t>
      </w:r>
      <w:r>
        <w:t>Nothing, because custody information should never appear in a clinical record without further assessment of the governing facts.</w:t>
      </w:r>
    </w:p>
    <w:p>
      <w:pPr>
        <w:pStyle w:val="Option"/>
        <w:keepNext/>
        <w:ind w:left="317" w:hanging="317"/>
      </w:pPr>
      <w:r>
        <w:rPr>
          <w:b/>
        </w:rPr>
        <w:t xml:space="preserve">C. </w:t>
      </w:r>
      <w:r>
        <w:t>Only the clinician’s conclusion that consent was valid without further assessment of the governing facts.</w:t>
      </w:r>
    </w:p>
    <w:p>
      <w:pPr>
        <w:pStyle w:val="Option"/>
        <w:keepNext w:val="0"/>
        <w:ind w:left="317" w:hanging="317"/>
      </w:pPr>
      <w:r>
        <w:rPr>
          <w:b/>
        </w:rPr>
        <w:t xml:space="preserve">D. </w:t>
      </w:r>
      <w:r>
        <w:t>The information reviewed, the relevant authority identified, and the basis for proceeding with treatment.</w:t>
      </w:r>
    </w:p>
    <w:p>
      <w:pPr>
        <w:pStyle w:val="QuestionNumber"/>
        <w:keepNext/>
        <w:spacing w:before="140"/>
      </w:pPr>
      <w:r>
        <w:t xml:space="preserve">38. </w:t>
      </w:r>
      <w:r>
        <w:rPr>
          <w:b w:val="0"/>
          <w:color w:val="111111"/>
        </w:rPr>
        <w:t>A company pays for an independent evaluation of an employee. Which statement is most accurate?</w:t>
      </w:r>
    </w:p>
    <w:p>
      <w:pPr>
        <w:pStyle w:val="Option"/>
        <w:keepNext/>
        <w:ind w:left="317" w:hanging="317"/>
      </w:pPr>
      <w:r>
        <w:rPr>
          <w:b/>
        </w:rPr>
        <w:t xml:space="preserve">A. </w:t>
      </w:r>
      <w:r>
        <w:t>The company automatically becomes the therapy client without further assessment of the governing facts.</w:t>
      </w:r>
    </w:p>
    <w:p>
      <w:pPr>
        <w:pStyle w:val="Option"/>
        <w:keepNext/>
        <w:ind w:left="317" w:hanging="317"/>
      </w:pPr>
      <w:r>
        <w:rPr>
          <w:b/>
        </w:rPr>
        <w:t xml:space="preserve">B. </w:t>
      </w:r>
      <w:r>
        <w:t>The evaluator must clarify who requested the service, who receives the report, what information is authorized, and what rights the employee retains.</w:t>
      </w:r>
    </w:p>
    <w:p>
      <w:pPr>
        <w:pStyle w:val="Option"/>
        <w:keepNext/>
        <w:ind w:left="317" w:hanging="317"/>
      </w:pPr>
      <w:r>
        <w:rPr>
          <w:b/>
        </w:rPr>
        <w:t xml:space="preserve">C. </w:t>
      </w:r>
      <w:r>
        <w:t>The employee automatically controls all information because the employee is examined without further assessment of the governing facts while treating that single factor as controlling.</w:t>
      </w:r>
    </w:p>
    <w:p>
      <w:pPr>
        <w:pStyle w:val="Option"/>
        <w:keepNext w:val="0"/>
        <w:ind w:left="317" w:hanging="317"/>
      </w:pPr>
      <w:r>
        <w:rPr>
          <w:b/>
        </w:rPr>
        <w:t xml:space="preserve">D. </w:t>
      </w:r>
      <w:r>
        <w:t>Payment authorizes release of the employee’s entire treatment history without further assessment of the governing facts.</w:t>
      </w:r>
    </w:p>
    <w:p>
      <w:pPr>
        <w:pStyle w:val="QuestionNumber"/>
        <w:keepNext/>
        <w:spacing w:before="140"/>
      </w:pPr>
      <w:r>
        <w:t xml:space="preserve">39. </w:t>
      </w:r>
      <w:r>
        <w:rPr>
          <w:b w:val="0"/>
          <w:color w:val="111111"/>
        </w:rPr>
        <w:t>A therapist reports burnout-related symptoms, but the immediate question is whether current functioning remains safe and competent. Which statement is most accurate about compassion fatigue?</w:t>
      </w:r>
    </w:p>
    <w:p>
      <w:pPr>
        <w:pStyle w:val="Option"/>
        <w:keepNext/>
        <w:ind w:left="317" w:hanging="317"/>
      </w:pPr>
      <w:r>
        <w:rPr>
          <w:b/>
        </w:rPr>
        <w:t xml:space="preserve">A. </w:t>
      </w:r>
      <w:r>
        <w:t>It is identical to every form of occupational stress because the existing paperwork is treated as conclusive while treating that single factor as controlling.</w:t>
      </w:r>
    </w:p>
    <w:p>
      <w:pPr>
        <w:pStyle w:val="Option"/>
        <w:keepNext/>
        <w:ind w:left="317" w:hanging="317"/>
      </w:pPr>
      <w:r>
        <w:rPr>
          <w:b/>
        </w:rPr>
        <w:t xml:space="preserve">B. </w:t>
      </w:r>
      <w:r>
        <w:t>It is a formal diagnosis that automatically requires leave because the existing paperwork is treated as conclusive.</w:t>
      </w:r>
    </w:p>
    <w:p>
      <w:pPr>
        <w:pStyle w:val="Option"/>
        <w:keepNext/>
        <w:ind w:left="317" w:hanging="317"/>
      </w:pPr>
      <w:r>
        <w:rPr>
          <w:b/>
        </w:rPr>
        <w:t xml:space="preserve">C. </w:t>
      </w:r>
      <w:r>
        <w:t>It is a broad term often used for the combined burden of burnout and secondary traumatic stress, and the terminology may overlap.</w:t>
      </w:r>
    </w:p>
    <w:p>
      <w:pPr>
        <w:pStyle w:val="Option"/>
        <w:keepNext w:val="0"/>
        <w:ind w:left="317" w:hanging="317"/>
      </w:pPr>
      <w:r>
        <w:rPr>
          <w:b/>
        </w:rPr>
        <w:t xml:space="preserve">D. </w:t>
      </w:r>
      <w:r>
        <w:t>It can occur only after direct personal exposure to trauma without further assessment of the governing facts.</w:t>
      </w:r>
    </w:p>
    <w:p>
      <w:pPr>
        <w:pStyle w:val="QuestionNumber"/>
        <w:keepNext/>
        <w:spacing w:before="140"/>
      </w:pPr>
      <w:r>
        <w:t xml:space="preserve">40. </w:t>
      </w:r>
      <w:r>
        <w:rPr>
          <w:b w:val="0"/>
          <w:color w:val="111111"/>
        </w:rPr>
        <w:t>A group practice is evaluating electronic-record systems for long-term storage and wants to preserve an accurate history of every change.</w:t>
        <w:br/>
        <w:t>Which system feature or practice most clearly threatens record integrity?</w:t>
      </w:r>
    </w:p>
    <w:p>
      <w:pPr>
        <w:pStyle w:val="Option"/>
        <w:keepNext/>
        <w:ind w:left="317" w:hanging="317"/>
      </w:pPr>
      <w:r>
        <w:rPr>
          <w:b/>
        </w:rPr>
        <w:t xml:space="preserve">A. </w:t>
      </w:r>
      <w:r>
        <w:t>A system allows records to be altered without preserving an audit trail or reliable history of changes.</w:t>
      </w:r>
    </w:p>
    <w:p>
      <w:pPr>
        <w:pStyle w:val="Option"/>
        <w:keepNext/>
        <w:ind w:left="317" w:hanging="317"/>
      </w:pPr>
      <w:r>
        <w:rPr>
          <w:b/>
        </w:rPr>
        <w:t xml:space="preserve">B. </w:t>
      </w:r>
      <w:r>
        <w:t>Records are organized by client name and date of service as though documentation alone resolves the underlying issue.</w:t>
      </w:r>
    </w:p>
    <w:p>
      <w:pPr>
        <w:pStyle w:val="Option"/>
        <w:keepNext/>
        <w:ind w:left="317" w:hanging="317"/>
      </w:pPr>
      <w:r>
        <w:rPr>
          <w:b/>
        </w:rPr>
        <w:t xml:space="preserve">C. </w:t>
      </w:r>
      <w:r>
        <w:t>The practice maintains secure backups without further assessment of the governing facts.</w:t>
      </w:r>
    </w:p>
    <w:p>
      <w:pPr>
        <w:pStyle w:val="Option"/>
        <w:keepNext w:val="0"/>
        <w:ind w:left="317" w:hanging="317"/>
      </w:pPr>
      <w:r>
        <w:rPr>
          <w:b/>
        </w:rPr>
        <w:t xml:space="preserve">D. </w:t>
      </w:r>
      <w:r>
        <w:t>Access is limited according to professional role without further assessment of the governing facts.</w:t>
      </w:r>
    </w:p>
    <w:p>
      <w:pPr>
        <w:pStyle w:val="QuestionNumber"/>
        <w:keepNext/>
        <w:spacing w:before="140"/>
      </w:pPr>
      <w:r>
        <w:t xml:space="preserve">41. </w:t>
      </w:r>
      <w:r>
        <w:rPr>
          <w:b w:val="0"/>
          <w:color w:val="111111"/>
        </w:rPr>
        <w:t>During a supervisory review, the parties must determine whether the plan and feedback process satisfy California’s accountability requirements. Which statement about required supervision by technology is most accurate under the current California BBS framework?</w:t>
      </w:r>
    </w:p>
    <w:p>
      <w:pPr>
        <w:pStyle w:val="Option"/>
        <w:keepNext/>
        <w:ind w:left="317" w:hanging="317"/>
      </w:pPr>
      <w:r>
        <w:rPr>
          <w:b/>
        </w:rPr>
        <w:t xml:space="preserve">A. </w:t>
      </w:r>
      <w:r>
        <w:t>Any telephone call counts as individual supervision if the case is discussed without further assessment of the governing facts while treating that single factor as controlling.</w:t>
      </w:r>
    </w:p>
    <w:p>
      <w:pPr>
        <w:pStyle w:val="Option"/>
        <w:keepNext/>
        <w:ind w:left="317" w:hanging="317"/>
      </w:pPr>
      <w:r>
        <w:rPr>
          <w:b/>
        </w:rPr>
        <w:t xml:space="preserve">B. </w:t>
      </w:r>
      <w:r>
        <w:t>Videoconferencing is prohibited in private practice settings without further assessment of the governing facts.</w:t>
      </w:r>
    </w:p>
    <w:p>
      <w:pPr>
        <w:pStyle w:val="Option"/>
        <w:keepNext/>
        <w:ind w:left="317" w:hanging="317"/>
      </w:pPr>
      <w:r>
        <w:rPr>
          <w:b/>
        </w:rPr>
        <w:t xml:space="preserve">C. </w:t>
      </w:r>
      <w:r>
        <w:t>Live two-way videoconferencing may count when the supervisor determines and documents that it is appropriate and protects confidentiality; telephone supervision does not count.</w:t>
      </w:r>
    </w:p>
    <w:p>
      <w:pPr>
        <w:pStyle w:val="Option"/>
        <w:keepNext w:val="0"/>
        <w:ind w:left="317" w:hanging="317"/>
      </w:pPr>
      <w:r>
        <w:rPr>
          <w:b/>
        </w:rPr>
        <w:t xml:space="preserve">D. </w:t>
      </w:r>
      <w:r>
        <w:t>A text-message exchange counts when it lasts at least one hour without further assessment of the governing facts.</w:t>
      </w:r>
    </w:p>
    <w:p>
      <w:pPr>
        <w:pStyle w:val="QuestionNumber"/>
        <w:keepNext/>
        <w:spacing w:before="140"/>
      </w:pPr>
      <w:r>
        <w:t xml:space="preserve">42. </w:t>
      </w:r>
      <w:r>
        <w:rPr>
          <w:b w:val="0"/>
          <w:color w:val="111111"/>
        </w:rPr>
        <w:t>Before confirming treatment or releasing information in a case involving a couple and an adult child who attended one session, what must the therapist identify first?</w:t>
      </w:r>
    </w:p>
    <w:p>
      <w:pPr>
        <w:pStyle w:val="Option"/>
        <w:keepNext/>
        <w:ind w:left="317" w:hanging="317"/>
      </w:pPr>
      <w:r>
        <w:rPr>
          <w:b/>
        </w:rPr>
        <w:t xml:space="preserve">A. </w:t>
      </w:r>
      <w:r>
        <w:t>Which person made the first payment for services.</w:t>
      </w:r>
    </w:p>
    <w:p>
      <w:pPr>
        <w:pStyle w:val="Option"/>
        <w:keepNext/>
        <w:ind w:left="317" w:hanging="317"/>
      </w:pPr>
      <w:r>
        <w:rPr>
          <w:b/>
        </w:rPr>
        <w:t xml:space="preserve">B. </w:t>
      </w:r>
      <w:r>
        <w:t>Which participant appears most concerned about the family.</w:t>
      </w:r>
    </w:p>
    <w:p>
      <w:pPr>
        <w:pStyle w:val="Option"/>
        <w:keepNext/>
        <w:ind w:left="317" w:hanging="317"/>
      </w:pPr>
      <w:r>
        <w:rPr>
          <w:b/>
        </w:rPr>
        <w:t xml:space="preserve">C. </w:t>
      </w:r>
      <w:r>
        <w:t>Whether the requesting person is related by blood or marriage while treating that response as sufficient without further analysis.</w:t>
      </w:r>
    </w:p>
    <w:p>
      <w:pPr>
        <w:pStyle w:val="Option"/>
        <w:keepNext w:val="0"/>
        <w:ind w:left="317" w:hanging="317"/>
      </w:pPr>
      <w:r>
        <w:rPr>
          <w:b/>
        </w:rPr>
        <w:t xml:space="preserve">D. </w:t>
      </w:r>
      <w:r>
        <w:t>Who the client or clients are, what treatment unit was established, and whose information is involved.</w:t>
      </w:r>
    </w:p>
    <w:p>
      <w:pPr>
        <w:pStyle w:val="QuestionNumber"/>
        <w:keepNext/>
        <w:spacing w:before="140"/>
      </w:pPr>
      <w:r>
        <w:t xml:space="preserve">43. </w:t>
      </w:r>
      <w:r>
        <w:rPr>
          <w:b w:val="0"/>
          <w:color w:val="111111"/>
        </w:rPr>
        <w:t>A therapist asks a current client to serve on a committee that will promote the therapist’s practice. The client agrees but later says, “I did not feel like I could say no.”</w:t>
        <w:br/>
        <w:t>What is the most appropriate response?</w:t>
      </w:r>
    </w:p>
    <w:p>
      <w:pPr>
        <w:pStyle w:val="Option"/>
        <w:keepNext/>
        <w:ind w:left="317" w:hanging="317"/>
      </w:pPr>
      <w:r>
        <w:rPr>
          <w:b/>
        </w:rPr>
        <w:t xml:space="preserve">A. </w:t>
      </w:r>
      <w:r>
        <w:t>Accept the client’s request because expressed consent eliminates multiple-relationship risk.</w:t>
      </w:r>
    </w:p>
    <w:p>
      <w:pPr>
        <w:pStyle w:val="Option"/>
        <w:keepNext/>
        <w:ind w:left="317" w:hanging="317"/>
      </w:pPr>
      <w:r>
        <w:rPr>
          <w:b/>
        </w:rPr>
        <w:t xml:space="preserve">B. </w:t>
      </w:r>
      <w:r>
        <w:t>Document the client’s pressure and proceed if the client signs a detailed waiver while treating that response as sufficient without further analysis.</w:t>
      </w:r>
    </w:p>
    <w:p>
      <w:pPr>
        <w:pStyle w:val="Option"/>
        <w:keepNext/>
        <w:ind w:left="317" w:hanging="317"/>
      </w:pPr>
      <w:r>
        <w:rPr>
          <w:b/>
        </w:rPr>
        <w:t xml:space="preserve">C. </w:t>
      </w:r>
      <w:r>
        <w:t>Maintain the boundary, explore the meaning of the request, assess risk and power, and consult when needed.</w:t>
      </w:r>
    </w:p>
    <w:p>
      <w:pPr>
        <w:pStyle w:val="Option"/>
        <w:keepNext w:val="0"/>
        <w:ind w:left="317" w:hanging="317"/>
      </w:pPr>
      <w:r>
        <w:rPr>
          <w:b/>
        </w:rPr>
        <w:t xml:space="preserve">D. </w:t>
      </w:r>
      <w:r>
        <w:t>Terminate immediately whenever a client asks for a relationship outside therapy.</w:t>
      </w:r>
    </w:p>
    <w:p>
      <w:pPr>
        <w:pStyle w:val="QuestionNumber"/>
        <w:keepNext/>
        <w:spacing w:before="140"/>
      </w:pPr>
      <w:r>
        <w:t xml:space="preserve">44. </w:t>
      </w:r>
      <w:r>
        <w:rPr>
          <w:b w:val="0"/>
          <w:color w:val="111111"/>
        </w:rPr>
        <w:t>A therapist consults with an experienced clinician about a complicated treatment decision. The consultation materially affects the therapist’s plan.</w:t>
        <w:br/>
        <w:t>Which documentation approach is most appropriate?</w:t>
      </w:r>
    </w:p>
    <w:p>
      <w:pPr>
        <w:pStyle w:val="Option"/>
        <w:keepNext/>
        <w:ind w:left="317" w:hanging="317"/>
      </w:pPr>
      <w:r>
        <w:rPr>
          <w:b/>
        </w:rPr>
        <w:t xml:space="preserve">A. </w:t>
      </w:r>
      <w:r>
        <w:t>Record a word-for-word transcript of the entire consultation as though documentation alone resolves the underlying issue.</w:t>
      </w:r>
    </w:p>
    <w:p>
      <w:pPr>
        <w:pStyle w:val="Option"/>
        <w:keepNext/>
        <w:ind w:left="317" w:hanging="317"/>
      </w:pPr>
      <w:r>
        <w:rPr>
          <w:b/>
        </w:rPr>
        <w:t xml:space="preserve">B. </w:t>
      </w:r>
      <w:r>
        <w:t>Document the date, purpose, general issues discussed, relevant recommendations, and actions taken.</w:t>
      </w:r>
    </w:p>
    <w:p>
      <w:pPr>
        <w:pStyle w:val="Option"/>
        <w:keepNext/>
        <w:ind w:left="317" w:hanging="317"/>
      </w:pPr>
      <w:r>
        <w:rPr>
          <w:b/>
        </w:rPr>
        <w:t xml:space="preserve">C. </w:t>
      </w:r>
      <w:r>
        <w:t>Omit the consultation because the consultant did not meet the client.</w:t>
      </w:r>
    </w:p>
    <w:p>
      <w:pPr>
        <w:pStyle w:val="Option"/>
        <w:keepNext w:val="0"/>
        <w:ind w:left="317" w:hanging="317"/>
      </w:pPr>
      <w:r>
        <w:rPr>
          <w:b/>
        </w:rPr>
        <w:t xml:space="preserve">D. </w:t>
      </w:r>
      <w:r>
        <w:t>Document only the consultant’s name and no other information as though documentation alone resolves the underlying issue.</w:t>
      </w:r>
    </w:p>
    <w:p>
      <w:pPr>
        <w:pStyle w:val="QuestionNumber"/>
        <w:keepNext/>
        <w:spacing w:before="140"/>
      </w:pPr>
      <w:r>
        <w:t xml:space="preserve">45. </w:t>
      </w:r>
      <w:r>
        <w:rPr>
          <w:b w:val="0"/>
          <w:color w:val="111111"/>
        </w:rP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Option"/>
        <w:keepNext/>
        <w:ind w:left="317" w:hanging="317"/>
      </w:pPr>
      <w:r>
        <w:rPr>
          <w:b/>
        </w:rPr>
        <w:t xml:space="preserve">A. </w:t>
      </w:r>
      <w:r>
        <w:t>Whether the clinician has ever requested accommodation without further assessment of the governing facts.</w:t>
      </w:r>
    </w:p>
    <w:p>
      <w:pPr>
        <w:pStyle w:val="Option"/>
        <w:keepNext/>
        <w:ind w:left="317" w:hanging="317"/>
      </w:pPr>
      <w:r>
        <w:rPr>
          <w:b/>
        </w:rPr>
        <w:t xml:space="preserve">B. </w:t>
      </w:r>
      <w:r>
        <w:t>Whether the licentiate may be unable to practice safely because physical illness affecting competency impairs the ability to practice.</w:t>
      </w:r>
    </w:p>
    <w:p>
      <w:pPr>
        <w:pStyle w:val="Option"/>
        <w:keepNext/>
        <w:ind w:left="317" w:hanging="317"/>
      </w:pPr>
      <w:r>
        <w:rPr>
          <w:b/>
        </w:rPr>
        <w:t xml:space="preserve">C. </w:t>
      </w:r>
      <w:r>
        <w:t>Whether coworkers know the medical diagnosis without further assessment of the governing facts.</w:t>
      </w:r>
    </w:p>
    <w:p>
      <w:pPr>
        <w:pStyle w:val="Option"/>
        <w:keepNext w:val="0"/>
        <w:ind w:left="317" w:hanging="317"/>
      </w:pPr>
      <w:r>
        <w:rPr>
          <w:b/>
        </w:rPr>
        <w:t xml:space="preserve">D. </w:t>
      </w:r>
      <w:r>
        <w:t>Whether the clinician has taken any sick leave without further assessment of the governing facts while treating that single factor as controlling.</w:t>
      </w:r>
    </w:p>
    <w:p>
      <w:pPr>
        <w:pStyle w:val="QuestionNumber"/>
        <w:keepNext/>
        <w:spacing w:before="140"/>
      </w:pPr>
      <w:r>
        <w:t xml:space="preserve">46. </w:t>
      </w:r>
      <w:r>
        <w:rPr>
          <w:b w:val="0"/>
          <w:color w:val="111111"/>
        </w:rP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Option"/>
        <w:keepNext/>
        <w:ind w:left="317" w:hanging="317"/>
      </w:pPr>
      <w:r>
        <w:rPr>
          <w:b/>
        </w:rPr>
        <w:t xml:space="preserve">A. </w:t>
      </w:r>
      <w:r>
        <w:t>Continue because clients prefer having many communication options because the person's preference is treated as controlling.</w:t>
      </w:r>
    </w:p>
    <w:p>
      <w:pPr>
        <w:pStyle w:val="Option"/>
        <w:keepNext/>
        <w:ind w:left="317" w:hanging="317"/>
      </w:pPr>
      <w:r>
        <w:rPr>
          <w:b/>
        </w:rPr>
        <w:t xml:space="preserve">B. </w:t>
      </w:r>
      <w:r>
        <w:t>Eliminate every form of electronic communication immediately, regardless of client access needs because the existing paperwork is treated as conclusive.</w:t>
      </w:r>
    </w:p>
    <w:p>
      <w:pPr>
        <w:pStyle w:val="Option"/>
        <w:keepNext/>
        <w:ind w:left="317" w:hanging="317"/>
      </w:pPr>
      <w:r>
        <w:rPr>
          <w:b/>
        </w:rPr>
        <w:t xml:space="preserve">C. </w:t>
      </w:r>
      <w:r>
        <w:t>Add a disclaimer stating that the clinician is not responsible for any electronic message without further assessment of the governing facts.</w:t>
      </w:r>
    </w:p>
    <w:p>
      <w:pPr>
        <w:pStyle w:val="Option"/>
        <w:keepNext w:val="0"/>
        <w:ind w:left="317" w:hanging="317"/>
      </w:pPr>
      <w:r>
        <w:rPr>
          <w:b/>
        </w:rPr>
        <w:t xml:space="preserve">D. </w:t>
      </w:r>
      <w:r>
        <w:t>Reevaluate the communication system, establish clear purposes, boundaries, response times, emergency procedures, and use appropriate safeguards and approved channels.</w:t>
      </w:r>
    </w:p>
    <w:p>
      <w:pPr>
        <w:pStyle w:val="QuestionNumber"/>
        <w:keepNext/>
        <w:spacing w:before="140"/>
      </w:pPr>
      <w:r>
        <w:t xml:space="preserve">47. </w:t>
      </w:r>
      <w:r>
        <w:rPr>
          <w:b w:val="0"/>
          <w:color w:val="111111"/>
        </w:rPr>
        <w:t>A 15-year-old requests outpatient psychotherapy without a parent. The clinician believes the adolescent is mature enough to participate intelligently, reports credible fear of retaliation if a parent is involved, and does not request medication. No immediate emergency is present. What is the best response?</w:t>
      </w:r>
    </w:p>
    <w:p>
      <w:pPr>
        <w:pStyle w:val="Option"/>
        <w:keepNext/>
        <w:ind w:left="317" w:hanging="317"/>
      </w:pPr>
      <w:r>
        <w:rPr>
          <w:b/>
        </w:rPr>
        <w:t xml:space="preserve">A. </w:t>
      </w:r>
      <w:r>
        <w:t>Require parental consent because a minor can never authorize outpatient psychotherapy independently without first resolving the underlying legal or clinical issue.</w:t>
      </w:r>
    </w:p>
    <w:p>
      <w:pPr>
        <w:pStyle w:val="Option"/>
        <w:keepNext/>
        <w:ind w:left="317" w:hanging="317"/>
      </w:pPr>
      <w:r>
        <w:rPr>
          <w:b/>
        </w:rPr>
        <w:t xml:space="preserve">B. </w:t>
      </w:r>
      <w:r>
        <w:t>Confirm the statutory criteria, document maturity and the parent-involvement decision, obtain the minor’s consent, and proceed within the service limits.</w:t>
      </w:r>
    </w:p>
    <w:p>
      <w:pPr>
        <w:pStyle w:val="Option"/>
        <w:keepNext/>
        <w:ind w:left="317" w:hanging="317"/>
      </w:pPr>
      <w:r>
        <w:rPr>
          <w:b/>
        </w:rPr>
        <w:t xml:space="preserve">C. </w:t>
      </w:r>
      <w:r>
        <w:t>Begin treatment without documenting the parent-involvement analysis because confidentiality controls the entire decision.</w:t>
      </w:r>
    </w:p>
    <w:p>
      <w:pPr>
        <w:pStyle w:val="Option"/>
        <w:keepNext w:val="0"/>
        <w:ind w:left="317" w:hanging="317"/>
      </w:pPr>
      <w:r>
        <w:rPr>
          <w:b/>
        </w:rPr>
        <w:t xml:space="preserve">D. </w:t>
      </w:r>
      <w:r>
        <w:t>Authorize psychotherapy and psychotropic medication because maturity for counseling establishes authority for both services.</w:t>
      </w:r>
    </w:p>
    <w:p>
      <w:pPr>
        <w:pStyle w:val="QuestionNumber"/>
        <w:keepNext/>
        <w:spacing w:before="140"/>
      </w:pPr>
      <w:r>
        <w:t xml:space="preserve">48. </w:t>
      </w:r>
      <w:r>
        <w:rPr>
          <w:b w:val="0"/>
          <w:color w:val="111111"/>
        </w:rPr>
        <w:t>A therapist is highly effective with adults but has never worked with young children. The therapist is asked to treat a six-year-old with developmental and behavioral concerns. What is the best initial analysis?</w:t>
      </w:r>
    </w:p>
    <w:p>
      <w:pPr>
        <w:pStyle w:val="Option"/>
        <w:keepNext/>
        <w:ind w:left="317" w:hanging="317"/>
      </w:pPr>
      <w:r>
        <w:rPr>
          <w:b/>
        </w:rPr>
        <w:t xml:space="preserve">A. </w:t>
      </w:r>
      <w:r>
        <w:t>Determine whether the clinician has the child-development knowledge, practical skills, and preparation needed for this population and presentation.</w:t>
      </w:r>
    </w:p>
    <w:p>
      <w:pPr>
        <w:pStyle w:val="Option"/>
        <w:keepNext/>
        <w:ind w:left="317" w:hanging="317"/>
      </w:pPr>
      <w:r>
        <w:rPr>
          <w:b/>
        </w:rPr>
        <w:t xml:space="preserve">B. </w:t>
      </w:r>
      <w:r>
        <w:t>Assume that all psychotherapy skills transfer automatically across age groups without further assessment of the governing facts.</w:t>
      </w:r>
    </w:p>
    <w:p>
      <w:pPr>
        <w:pStyle w:val="Option"/>
        <w:keepNext/>
        <w:ind w:left="317" w:hanging="317"/>
      </w:pPr>
      <w:r>
        <w:rPr>
          <w:b/>
        </w:rPr>
        <w:t xml:space="preserve">C. </w:t>
      </w:r>
      <w:r>
        <w:t>Accept the case because the parent has requested the clinician specifically because family status is treated as automatic authority.</w:t>
      </w:r>
    </w:p>
    <w:p>
      <w:pPr>
        <w:pStyle w:val="Option"/>
        <w:keepNext w:val="0"/>
        <w:ind w:left="317" w:hanging="317"/>
      </w:pPr>
      <w:r>
        <w:rPr>
          <w:b/>
        </w:rPr>
        <w:t xml:space="preserve">D. </w:t>
      </w:r>
      <w:r>
        <w:t>Conclude that the clinician can never develop competence to work with children without further assessment of the governing facts.</w:t>
      </w:r>
    </w:p>
    <w:p>
      <w:pPr>
        <w:pStyle w:val="QuestionNumber"/>
        <w:keepNext/>
        <w:spacing w:before="140"/>
      </w:pPr>
      <w:r>
        <w:t xml:space="preserve">49. </w:t>
      </w:r>
      <w:r>
        <w:rPr>
          <w:b w:val="0"/>
          <w:color w:val="111111"/>
        </w:rPr>
        <w:t>A therapist appropriately extends one session to address an immediate safety concern. During the following months, the therapist begins providing routine late-night access, meeting the client socially, sharing personal problems, and concealing the contact from colleagues. The client becomes increasingly dependent and confused about whether the therapist is a clinician or friend.</w:t>
        <w:br/>
        <w:t>Which analysis and response are most appropriate?</w:t>
      </w:r>
    </w:p>
    <w:p>
      <w:pPr>
        <w:pStyle w:val="Option"/>
        <w:keepNext/>
        <w:ind w:left="317" w:hanging="317"/>
      </w:pPr>
      <w:r>
        <w:rPr>
          <w:b/>
        </w:rPr>
        <w:t xml:space="preserve">A. </w:t>
      </w:r>
      <w:r>
        <w:t>The entire relationship was unethical from the moment the original session was extended without further assessment of the governing facts.</w:t>
      </w:r>
    </w:p>
    <w:p>
      <w:pPr>
        <w:pStyle w:val="Option"/>
        <w:keepNext/>
        <w:ind w:left="317" w:hanging="317"/>
      </w:pPr>
      <w:r>
        <w:rPr>
          <w:b/>
        </w:rPr>
        <w:t xml:space="preserve">B. </w:t>
      </w:r>
      <w:r>
        <w:t>All of the conduct remains appropriate because the initial exception served a clinical purpose without further assessment of the governing facts while treating that single factor as controlling.</w:t>
      </w:r>
    </w:p>
    <w:p>
      <w:pPr>
        <w:pStyle w:val="Option"/>
        <w:keepNext/>
        <w:ind w:left="317" w:hanging="317"/>
      </w:pPr>
      <w:r>
        <w:rPr>
          <w:b/>
        </w:rPr>
        <w:t xml:space="preserve">C. </w:t>
      </w:r>
      <w:r>
        <w:t>The initial extension may have been a justified crossing, but the later repeated, personal, secretive, and dependency-producing conduct suggests boundary erosion or violation requiring prompt corrective and protective action.</w:t>
      </w:r>
    </w:p>
    <w:p>
      <w:pPr>
        <w:pStyle w:val="Option"/>
        <w:keepNext w:val="0"/>
        <w:ind w:left="317" w:hanging="317"/>
      </w:pPr>
      <w:r>
        <w:rPr>
          <w:b/>
        </w:rPr>
        <w:t xml:space="preserve">D. </w:t>
      </w:r>
      <w:r>
        <w:t>No action is necessary because the client has not filed a complaint without further assessment of the governing facts.</w:t>
      </w:r>
    </w:p>
    <w:p>
      <w:pPr>
        <w:pStyle w:val="QuestionNumber"/>
        <w:keepNext/>
        <w:spacing w:before="140"/>
      </w:pPr>
      <w:r>
        <w:t xml:space="preserve">50. </w:t>
      </w:r>
      <w:r>
        <w:rPr>
          <w:b w:val="0"/>
          <w:color w:val="111111"/>
        </w:rPr>
        <w:t>A therapist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therapist’s psychotherapy notes.</w:t>
        <w:br/>
        <w:t>What is the most appropriate response?</w:t>
      </w:r>
    </w:p>
    <w:p>
      <w:pPr>
        <w:pStyle w:val="Option"/>
        <w:keepNext/>
        <w:ind w:left="317" w:hanging="317"/>
      </w:pPr>
      <w:r>
        <w:rPr>
          <w:b/>
        </w:rPr>
        <w:t xml:space="preserve">A. </w:t>
      </w:r>
      <w:r>
        <w:t>Send the complete record because the attorney was named and one partner signed because the existing paperwork is treated as conclusive.</w:t>
      </w:r>
    </w:p>
    <w:p>
      <w:pPr>
        <w:pStyle w:val="Option"/>
        <w:keepNext/>
        <w:ind w:left="317" w:hanging="317"/>
      </w:pPr>
      <w:r>
        <w:rPr>
          <w:b/>
        </w:rPr>
        <w:t xml:space="preserve">B. </w:t>
      </w:r>
      <w:r>
        <w:t>Send attendance dates, the full record, and psychotherapy notes because the purpose is legal representation without further assessment of the governing facts while treating that single factor as controlling.</w:t>
      </w:r>
    </w:p>
    <w:p>
      <w:pPr>
        <w:pStyle w:val="Option"/>
        <w:keepNext/>
        <w:ind w:left="317" w:hanging="317"/>
      </w:pPr>
      <w:r>
        <w:rPr>
          <w:b/>
        </w:rPr>
        <w:t xml:space="preserve">C. </w:t>
      </w:r>
      <w:r>
        <w:t>Refuse every future request involving the couple without further assessment of the governing facts.</w:t>
      </w:r>
    </w:p>
    <w:p>
      <w:pPr>
        <w:pStyle w:val="Option"/>
        <w:keepNext w:val="0"/>
        <w:ind w:left="317" w:hanging="317"/>
      </w:pPr>
      <w:r>
        <w:rPr>
          <w:b/>
        </w:rPr>
        <w:t xml:space="preserve">D. </w:t>
      </w:r>
      <w:r>
        <w:t>Do not rely on the expired authorization, identify the authority required for a current disclosure, evaluate both partners’ rights and information, and separately analyze psychotherapy-note request.</w:t>
      </w:r>
    </w:p>
    <w:p>
      <w:r>
        <w:br w:type="page"/>
      </w:r>
    </w:p>
    <w:p>
      <w:pPr>
        <w:pStyle w:val="Title"/>
        <w:jc w:val="center"/>
      </w:pPr>
      <w:r>
        <w:t>DETACHABLE ANSWER SHEET</w:t>
      </w:r>
    </w:p>
    <w:p>
      <w:pPr>
        <w:pStyle w:val="Subtitle"/>
        <w:jc w:val="center"/>
      </w:pPr>
      <w:r>
        <w:t>Practice Examination B</w:t>
      </w:r>
    </w:p>
    <w:tbl>
      <w:tblPr>
        <w:tblW w:type="auto" w:w="0"/>
        <w:jc w:val="center"/>
        <w:tblLayout w:type="fixed"/>
        <w:tblLook w:firstColumn="1" w:firstRow="1" w:lastColumn="0" w:lastRow="0" w:noHBand="0" w:noVBand="1" w:val="04A0"/>
      </w:tblPr>
      <w:tblGrid>
        <w:gridCol w:w="2585"/>
        <w:gridCol w:w="2585"/>
        <w:gridCol w:w="2585"/>
        <w:gridCol w:w="2585"/>
      </w:tblGrid>
      <w:tr>
        <w:trPr>
          <w:tblHeader w:val="true"/>
        </w:trP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Name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Date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Start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End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bl>
    <w:p/>
    <w:p>
      <w:pPr>
        <w:jc w:val="center"/>
      </w:pPr>
      <w:r>
        <w:rPr>
          <w:sz w:val="18"/>
        </w:rPr>
        <w:t>Mark one answer for each question. Use an X or a checkmark in the selected box.</w:t>
      </w:r>
    </w:p>
    <w:tbl>
      <w:tblPr>
        <w:tblW w:type="auto" w:w="0"/>
        <w:jc w:val="center"/>
        <w:tblLayout w:type="fixed"/>
        <w:tblLook w:firstColumn="1" w:firstRow="1" w:lastColumn="0" w:lastRow="0" w:noHBand="0" w:noVBand="1" w:val="04A0"/>
      </w:tblPr>
      <w:tblGrid>
        <w:gridCol w:w="1034"/>
        <w:gridCol w:w="1034"/>
        <w:gridCol w:w="1034"/>
        <w:gridCol w:w="1034"/>
        <w:gridCol w:w="1034"/>
        <w:gridCol w:w="1034"/>
        <w:gridCol w:w="1034"/>
        <w:gridCol w:w="1034"/>
        <w:gridCol w:w="1034"/>
        <w:gridCol w:w="1034"/>
      </w:tblGrid>
      <w:tr>
        <w:trPr>
          <w:tblHeader w:val="true"/>
        </w:trPr>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31</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32</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33</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34</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35</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41</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42</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43</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44</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45</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bl>
    <w:p>
      <w:pPr>
        <w:spacing w:before="160"/>
      </w:pPr>
      <w:r>
        <w:rPr>
          <w:b/>
        </w:rPr>
        <w:t>Raw Score: ______ / 50     Percentage: ______%     Questions Flagged for Review: ____________________</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Practice Examination B Learner Booklet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