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276" w:lineRule="auto"/>
        <w:jc w:val="center"/>
      </w:pPr>
      <w:r>
        <w:drawing>
          <wp:inline xmlns:a="http://schemas.openxmlformats.org/drawingml/2006/main" xmlns:pic="http://schemas.openxmlformats.org/drawingml/2006/picture">
            <wp:extent cx="2560320" cy="1850718"/>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1"/>
                    <a:stretch>
                      <a:fillRect/>
                    </a:stretch>
                  </pic:blipFill>
                  <pic:spPr>
                    <a:xfrm>
                      <a:off x="0" y="0"/>
                      <a:ext cx="2560320" cy="1850718"/>
                    </a:xfrm>
                    <a:prstGeom prst="rect"/>
                  </pic:spPr>
                </pic:pic>
              </a:graphicData>
            </a:graphic>
          </wp:inline>
        </w:drawing>
      </w:r>
    </w:p>
    <w:p>
      <w:pPr>
        <w:jc w:val="center"/>
      </w:pPr>
      <w:r>
        <w:rPr>
          <w:rFonts w:ascii="Aptos" w:hAnsi="Aptos"/>
          <w:b/>
          <w:i w:val="0"/>
          <w:color w:val="087F78"/>
          <w:sz w:val="20"/>
        </w:rPr>
        <w:t>CALIFORNIA LAW &amp; ETHICS EXAM PREPARATION</w:t>
      </w:r>
    </w:p>
    <w:p>
      <w:pPr>
        <w:pStyle w:val="Title"/>
        <w:jc w:val="center"/>
      </w:pPr>
      <w:r>
        <w:t>LMFT Practice Act, AMFT Professional Identity &amp;</w:t>
        <w:br/>
        <w:t>California Examination Distinctions</w:t>
      </w:r>
    </w:p>
    <w:p>
      <w:pPr>
        <w:pStyle w:val="Subtitle"/>
        <w:jc w:val="center"/>
      </w:pPr>
      <w:r>
        <w:t>Learner-Facing Instructional Module</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700"/>
        <w:gridCol w:w="6540"/>
      </w:tblGrid>
      <w:tr>
        <w:trPr>
          <w:tblHeader w:val="true"/>
          <w:cantSplit/>
        </w:trPr>
        <w:tc>
          <w:tcPr>
            <w:tcW w:type="dxa" w:w="27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8"/>
              </w:rPr>
              <w:t>Program control</w:t>
            </w:r>
          </w:p>
        </w:tc>
        <w:tc>
          <w:tcPr>
            <w:tcW w:type="dxa" w:w="65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8"/>
              </w:rPr>
              <w:t>Approved identity</w:t>
            </w:r>
          </w:p>
        </w:tc>
      </w:tr>
      <w:tr>
        <w:trPr>
          <w:cantSplit/>
        </w:trPr>
        <w:tc>
          <w:tcPr>
            <w:tcW w:type="dxa" w:w="27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Program</w:t>
            </w:r>
          </w:p>
        </w:tc>
        <w:tc>
          <w:tcPr>
            <w:tcW w:type="dxa" w:w="65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CTA LMFT California Law &amp; Ethics Exam Preparation Program</w:t>
            </w:r>
          </w:p>
        </w:tc>
      </w:tr>
      <w:tr>
        <w:trPr>
          <w:cantSplit/>
        </w:trPr>
        <w:tc>
          <w:tcPr>
            <w:tcW w:type="dxa" w:w="27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Program code</w:t>
            </w:r>
          </w:p>
        </w:tc>
        <w:tc>
          <w:tcPr>
            <w:tcW w:type="dxa" w:w="65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CTA-EP-001</w:t>
            </w:r>
          </w:p>
        </w:tc>
      </w:tr>
      <w:tr>
        <w:trPr>
          <w:cantSplit/>
        </w:trPr>
        <w:tc>
          <w:tcPr>
            <w:tcW w:type="dxa" w:w="27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Audience</w:t>
            </w:r>
          </w:p>
        </w:tc>
        <w:tc>
          <w:tcPr>
            <w:tcW w:type="dxa" w:w="65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LMFT and AMFT candidates only</w:t>
            </w:r>
          </w:p>
        </w:tc>
      </w:tr>
      <w:tr>
        <w:trPr>
          <w:cantSplit/>
        </w:trPr>
        <w:tc>
          <w:tcPr>
            <w:tcW w:type="dxa" w:w="27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Classification</w:t>
            </w:r>
          </w:p>
        </w:tc>
        <w:tc>
          <w:tcPr>
            <w:tcW w:type="dxa" w:w="65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Exam Preparation Program | No CE Credit</w:t>
            </w:r>
          </w:p>
        </w:tc>
      </w:tr>
      <w:tr>
        <w:trPr>
          <w:cantSplit/>
        </w:trPr>
        <w:tc>
          <w:tcPr>
            <w:tcW w:type="dxa" w:w="27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Placement</w:t>
            </w:r>
          </w:p>
        </w:tc>
        <w:tc>
          <w:tcPr>
            <w:tcW w:type="dxa" w:w="65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Required after orientation and before Workbook 1</w:t>
            </w:r>
          </w:p>
        </w:tc>
      </w:tr>
      <w:tr>
        <w:trPr>
          <w:cantSplit/>
        </w:trPr>
        <w:tc>
          <w:tcPr>
            <w:tcW w:type="dxa" w:w="27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Version / status</w:t>
            </w:r>
          </w:p>
        </w:tc>
        <w:tc>
          <w:tcPr>
            <w:tcW w:type="dxa" w:w="65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v1.1 | Final Internal | August 3, 2026</w:t>
            </w:r>
          </w:p>
        </w:tc>
      </w:tr>
    </w:tbl>
    <w:p>
      <w:pPr>
        <w:keepNext w:val="0"/>
        <w:spacing w:before="0" w:after="0" w:line="240" w:lineRule="auto"/>
      </w:pP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PROGRAM BOUNDARY  </w:t>
      </w:r>
      <w:r>
        <w:rPr>
          <w:rFonts w:ascii="Aptos" w:hAnsi="Aptos"/>
          <w:b w:val="0"/>
          <w:i w:val="0"/>
          <w:color w:val="0B2545"/>
          <w:sz w:val="20"/>
        </w:rPr>
        <w:t>This module prepares learners for the LMFT California Law and Ethics Examination. It is not a continuing-education course, does not award CE credit or a CE certificate, and does not prepare learners for the California LMFT Clinical Examination or the AMFTRB National Examination.</w:t>
      </w:r>
    </w:p>
    <w:p>
      <w:pPr>
        <w:jc w:val="center"/>
      </w:pPr>
      <w:r>
        <w:rPr>
          <w:rFonts w:ascii="Aptos" w:hAnsi="Aptos"/>
          <w:b/>
          <w:i w:val="0"/>
          <w:color w:val="087F78"/>
          <w:sz w:val="22"/>
        </w:rPr>
        <w:t>Teaching Clinicians How to Think.™</w:t>
      </w:r>
    </w:p>
    <w:p>
      <w:r>
        <w:br w:type="page"/>
      </w:r>
    </w:p>
    <w:p>
      <w:pPr>
        <w:pStyle w:val="Heading1"/>
      </w:pPr>
      <w:r>
        <w:t>Contents and Learning Path</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500"/>
        <w:gridCol w:w="7740"/>
      </w:tblGrid>
      <w:tr>
        <w:trPr>
          <w:tblHeader w:val="true"/>
          <w:cantSplit/>
        </w:trPr>
        <w:tc>
          <w:tcPr>
            <w:tcW w:type="dxa" w:w="15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8"/>
              </w:rPr>
              <w:t>Part</w:t>
            </w:r>
          </w:p>
        </w:tc>
        <w:tc>
          <w:tcPr>
            <w:tcW w:type="dxa" w:w="77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8"/>
              </w:rPr>
              <w:t>Focus</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Start here</w:t>
            </w:r>
          </w:p>
        </w:tc>
        <w:tc>
          <w:tcPr>
            <w:tcW w:type="dxa" w:w="77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Module purpose, learning objectives, and readiness preview</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Unit 1</w:t>
            </w:r>
          </w:p>
        </w:tc>
        <w:tc>
          <w:tcPr>
            <w:tcW w:type="dxa" w:w="77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Authority, Practice Act architecture, and source hierarchy</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Unit 2</w:t>
            </w:r>
          </w:p>
        </w:tc>
        <w:tc>
          <w:tcPr>
            <w:tcW w:type="dxa" w:w="77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LMFT scope and professional identity</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Unit 3</w:t>
            </w:r>
          </w:p>
        </w:tc>
        <w:tc>
          <w:tcPr>
            <w:tcW w:type="dxa" w:w="77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Protected titles, client notice, and advertising</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Unit 4</w:t>
            </w:r>
          </w:p>
        </w:tc>
        <w:tc>
          <w:tcPr>
            <w:tcW w:type="dxa" w:w="77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Supervised practice and role accountability</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Unit 5</w:t>
            </w:r>
          </w:p>
        </w:tc>
        <w:tc>
          <w:tcPr>
            <w:tcW w:type="dxa" w:w="77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Work settings, employment, payment, and business boundaries</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Unit 6</w:t>
            </w:r>
          </w:p>
        </w:tc>
        <w:tc>
          <w:tcPr>
            <w:tcW w:type="dxa" w:w="77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Professional responsibility and enforcement</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Unit 7</w:t>
            </w:r>
          </w:p>
        </w:tc>
        <w:tc>
          <w:tcPr>
            <w:tcW w:type="dxa" w:w="77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AMFT registration and California examination pathway</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Unit 8</w:t>
            </w:r>
          </w:p>
        </w:tc>
        <w:tc>
          <w:tcPr>
            <w:tcW w:type="dxa" w:w="77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Examination distinctions and integrated application</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Finish</w:t>
            </w:r>
          </w:p>
        </w:tc>
        <w:tc>
          <w:tcPr>
            <w:tcW w:type="dxa" w:w="77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Rapid review, readiness gate, source register, and learner notices</w:t>
            </w:r>
          </w:p>
        </w:tc>
      </w:tr>
    </w:tbl>
    <w:p>
      <w:pPr>
        <w:keepNext w:val="0"/>
        <w:spacing w:before="0" w:after="0" w:line="240" w:lineRule="auto"/>
      </w:pPr>
    </w:p>
    <w:p>
      <w:pPr>
        <w:keepNext w:val="0"/>
        <w:spacing w:before="0" w:after="120" w:line="276" w:lineRule="auto"/>
      </w:pPr>
      <w:r>
        <w:rPr>
          <w:rFonts w:ascii="Aptos" w:hAnsi="Aptos"/>
          <w:b w:val="0"/>
          <w:i w:val="0"/>
          <w:sz w:val="21"/>
        </w:rPr>
        <w:t>The separate 25-question license-specific assessment follows this module. It is not reproduced here. The short “Pause and Decide” exercises in this module are instructional practice and provide immediate reasoning feedback.</w:t>
      </w:r>
    </w:p>
    <w:p>
      <w:pPr>
        <w:pStyle w:val="Heading2"/>
      </w:pPr>
      <w:r>
        <w:t>Module Purpose</w:t>
      </w:r>
    </w:p>
    <w:p>
      <w:pPr>
        <w:keepNext w:val="0"/>
        <w:spacing w:before="0" w:after="120" w:line="276" w:lineRule="auto"/>
      </w:pPr>
      <w:r>
        <w:rPr>
          <w:rFonts w:ascii="Aptos" w:hAnsi="Aptos"/>
          <w:b w:val="0"/>
          <w:i w:val="0"/>
          <w:sz w:val="21"/>
        </w:rPr>
        <w:t>The nine-workbook core teaches broad California law-and-ethics reasoning. This module adds the LMFT- and AMFT-specific legal identity needed to use that core accurately. It teaches you to identify your role, locate the controlling LMFT rule, evaluate whether a setting and service are lawful, and distinguish the California Law and Ethics Examination from separate clinical-examination requirements.</w:t>
      </w:r>
    </w:p>
    <w:p>
      <w:pPr>
        <w:keepNext w:val="0"/>
        <w:spacing w:before="0" w:after="120" w:line="276" w:lineRule="auto"/>
      </w:pPr>
      <w:r>
        <w:rPr>
          <w:rFonts w:ascii="Aptos" w:hAnsi="Aptos"/>
          <w:b w:val="0"/>
          <w:i w:val="0"/>
          <w:sz w:val="21"/>
        </w:rPr>
        <w:t>This is not an exhaustive licensing handbook. It concentrates on high-yield distinctions that commonly change the best answer: license status, work setting, supervision, disclosure, advertising, payment flow, examination status, and current-versus-pending law.</w:t>
      </w:r>
    </w:p>
    <w:p>
      <w:pPr>
        <w:pStyle w:val="Heading2"/>
      </w:pPr>
      <w:r>
        <w:t>Learning Objectives</w:t>
      </w:r>
    </w:p>
    <w:p>
      <w:pPr>
        <w:pStyle w:val="CTABullet"/>
      </w:pPr>
      <w:r>
        <w:rPr>
          <w:rFonts w:ascii="Aptos" w:hAnsi="Aptos"/>
          <w:b w:val="0"/>
          <w:i w:val="0"/>
          <w:sz w:val="21"/>
        </w:rPr>
        <w:t>Locate and prioritize California statutes, Title 16 regulations, and current BBS guidance for an LMFT-specific question.</w:t>
      </w:r>
    </w:p>
    <w:p>
      <w:pPr>
        <w:pStyle w:val="CTABullet"/>
      </w:pPr>
      <w:r>
        <w:rPr>
          <w:rFonts w:ascii="Aptos" w:hAnsi="Aptos"/>
          <w:b w:val="0"/>
          <w:i w:val="0"/>
          <w:sz w:val="21"/>
        </w:rPr>
        <w:t>Differentiate LMFT, registered AMFT, MFT trainee, applicant for associate registration, and applicant for licensure.</w:t>
      </w:r>
    </w:p>
    <w:p>
      <w:pPr>
        <w:pStyle w:val="CTABullet"/>
      </w:pPr>
      <w:r>
        <w:rPr>
          <w:rFonts w:ascii="Aptos" w:hAnsi="Aptos"/>
          <w:b w:val="0"/>
          <w:i w:val="0"/>
          <w:sz w:val="21"/>
        </w:rPr>
        <w:t>Apply the statutory LMFT scope of practice while separating scope, competence, and present legal authority.</w:t>
      </w:r>
    </w:p>
    <w:p>
      <w:pPr>
        <w:pStyle w:val="CTABullet"/>
      </w:pPr>
      <w:r>
        <w:rPr>
          <w:rFonts w:ascii="Aptos" w:hAnsi="Aptos"/>
          <w:b w:val="0"/>
          <w:i w:val="0"/>
          <w:sz w:val="21"/>
        </w:rPr>
        <w:t>Distinguish independent LMFT practice from supervised AMFT practice.</w:t>
      </w:r>
    </w:p>
    <w:p>
      <w:pPr>
        <w:pStyle w:val="CTABullet"/>
      </w:pPr>
      <w:r>
        <w:rPr>
          <w:rFonts w:ascii="Aptos" w:hAnsi="Aptos"/>
          <w:b w:val="0"/>
          <w:i w:val="0"/>
          <w:sz w:val="21"/>
        </w:rPr>
        <w:t>Select compliant AMFT client disclosures, titles, abbreviations, and advertising elements.</w:t>
      </w:r>
    </w:p>
    <w:p>
      <w:pPr>
        <w:pStyle w:val="CTABullet"/>
      </w:pPr>
      <w:r>
        <w:rPr>
          <w:rFonts w:ascii="Aptos" w:hAnsi="Aptos"/>
          <w:b w:val="0"/>
          <w:i w:val="0"/>
          <w:sz w:val="21"/>
        </w:rPr>
        <w:t>Evaluate work settings, employment or volunteer status, payment, business interest, and service location.</w:t>
      </w:r>
    </w:p>
    <w:p>
      <w:pPr>
        <w:pStyle w:val="CTABullet"/>
      </w:pPr>
      <w:r>
        <w:rPr>
          <w:rFonts w:ascii="Aptos" w:hAnsi="Aptos"/>
          <w:b w:val="0"/>
          <w:i w:val="0"/>
          <w:sz w:val="21"/>
        </w:rPr>
        <w:t>Assign supervisor and supervisee duties accurately in a role-specific scenario.</w:t>
      </w:r>
    </w:p>
    <w:p>
      <w:pPr>
        <w:pStyle w:val="CTABullet"/>
      </w:pPr>
      <w:r>
        <w:rPr>
          <w:rFonts w:ascii="Aptos" w:hAnsi="Aptos"/>
          <w:b w:val="0"/>
          <w:i w:val="0"/>
          <w:sz w:val="21"/>
        </w:rPr>
        <w:t>Recognize unauthorized practice, status misrepresentation, advertising violations, and related professional-conduct concerns.</w:t>
      </w:r>
    </w:p>
    <w:p>
      <w:pPr>
        <w:pStyle w:val="CTABullet"/>
      </w:pPr>
      <w:r>
        <w:rPr>
          <w:rFonts w:ascii="Aptos" w:hAnsi="Aptos"/>
          <w:b w:val="0"/>
          <w:i w:val="0"/>
          <w:sz w:val="21"/>
        </w:rPr>
        <w:t>Sequence AMFT registration-renewal and Law and Ethics examination obligations.</w:t>
      </w:r>
    </w:p>
    <w:p>
      <w:pPr>
        <w:pStyle w:val="CTABullet"/>
      </w:pPr>
      <w:r>
        <w:rPr>
          <w:rFonts w:ascii="Aptos" w:hAnsi="Aptos"/>
          <w:b w:val="0"/>
          <w:i w:val="0"/>
          <w:sz w:val="21"/>
        </w:rPr>
        <w:t>Distinguish the Law and Ethics Examination from the clinical examination used for LMFT licensure.</w:t>
      </w:r>
    </w:p>
    <w:p>
      <w:pPr>
        <w:pStyle w:val="CTABullet"/>
      </w:pPr>
      <w:r>
        <w:rPr>
          <w:rFonts w:ascii="Aptos" w:hAnsi="Aptos"/>
          <w:b w:val="0"/>
          <w:i w:val="0"/>
          <w:sz w:val="21"/>
        </w:rPr>
        <w:t>Explain the pending AMFTRB transition without treating it as current law.</w:t>
      </w:r>
    </w:p>
    <w:p>
      <w:pPr>
        <w:pStyle w:val="CTABullet"/>
      </w:pPr>
      <w:r>
        <w:rPr>
          <w:rFonts w:ascii="Aptos" w:hAnsi="Aptos"/>
          <w:b w:val="0"/>
          <w:i w:val="0"/>
          <w:sz w:val="21"/>
        </w:rPr>
        <w:t>Use the CTA LMFT decision sequence in integrated scenarios.</w:t>
      </w:r>
    </w:p>
    <w:p>
      <w:pPr>
        <w:pStyle w:val="Heading2"/>
      </w:pPr>
      <w:r>
        <w:t>Readiness Preview</w:t>
      </w:r>
    </w:p>
    <w:p>
      <w:pPr>
        <w:keepNext w:val="0"/>
        <w:spacing w:before="0" w:after="120" w:line="276" w:lineRule="auto"/>
      </w:pPr>
      <w:r>
        <w:rPr>
          <w:rFonts w:ascii="Aptos" w:hAnsi="Aptos"/>
          <w:b w:val="0"/>
          <w:i w:val="0"/>
          <w:sz w:val="21"/>
        </w:rPr>
        <w:t>Before studying, mark each statement True or False. Do not worry about your score; revisit the statements after Unit 8.</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700"/>
        <w:gridCol w:w="7460"/>
        <w:gridCol w:w="1080"/>
      </w:tblGrid>
      <w:tr>
        <w:trPr>
          <w:tblHeader w:val="true"/>
          <w:cantSplit/>
        </w:trPr>
        <w:tc>
          <w:tcPr>
            <w:tcW w:type="dxa" w:w="7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Item</w:t>
            </w:r>
          </w:p>
        </w:tc>
        <w:tc>
          <w:tcPr>
            <w:tcW w:type="dxa" w:w="746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Statement</w:t>
            </w:r>
          </w:p>
        </w:tc>
        <w:tc>
          <w:tcPr>
            <w:tcW w:type="dxa" w:w="108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Key</w:t>
            </w:r>
          </w:p>
        </w:tc>
      </w:tr>
      <w:tr>
        <w:trPr>
          <w:cantSplit/>
        </w:trPr>
        <w:tc>
          <w:tcPr>
            <w:tcW w:type="dxa" w:w="7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1</w:t>
            </w:r>
          </w:p>
        </w:tc>
        <w:tc>
          <w:tcPr>
            <w:tcW w:type="dxa" w:w="74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If a service is within the LMFT scope, a registered AMFT may provide it independently.</w:t>
            </w:r>
          </w:p>
        </w:tc>
        <w:tc>
          <w:tcPr>
            <w:tcW w:type="dxa" w:w="10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False</w:t>
            </w:r>
          </w:p>
        </w:tc>
      </w:tr>
      <w:tr>
        <w:trPr>
          <w:cantSplit/>
        </w:trPr>
        <w:tc>
          <w:tcPr>
            <w:tcW w:type="dxa" w:w="70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2</w:t>
            </w:r>
          </w:p>
        </w:tc>
        <w:tc>
          <w:tcPr>
            <w:tcW w:type="dxa" w:w="746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An AMFT may use “AMFT” by itself in an advertisement if the registration number appears.</w:t>
            </w:r>
          </w:p>
        </w:tc>
        <w:tc>
          <w:tcPr>
            <w:tcW w:type="dxa" w:w="108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False</w:t>
            </w:r>
          </w:p>
        </w:tc>
      </w:tr>
      <w:tr>
        <w:trPr>
          <w:cantSplit/>
        </w:trPr>
        <w:tc>
          <w:tcPr>
            <w:tcW w:type="dxa" w:w="7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3</w:t>
            </w:r>
          </w:p>
        </w:tc>
        <w:tc>
          <w:tcPr>
            <w:tcW w:type="dxa" w:w="74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Passing the Law and Ethics Examination is the same as becoming eligible for the clinical examination.</w:t>
            </w:r>
          </w:p>
        </w:tc>
        <w:tc>
          <w:tcPr>
            <w:tcW w:type="dxa" w:w="10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False</w:t>
            </w:r>
          </w:p>
        </w:tc>
      </w:tr>
      <w:tr>
        <w:trPr>
          <w:cantSplit/>
        </w:trPr>
        <w:tc>
          <w:tcPr>
            <w:tcW w:type="dxa" w:w="70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4</w:t>
            </w:r>
          </w:p>
        </w:tc>
        <w:tc>
          <w:tcPr>
            <w:tcW w:type="dxa" w:w="746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An AMFT may accept direct payment from a client if the employer approves.</w:t>
            </w:r>
          </w:p>
        </w:tc>
        <w:tc>
          <w:tcPr>
            <w:tcW w:type="dxa" w:w="108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False</w:t>
            </w:r>
          </w:p>
        </w:tc>
      </w:tr>
      <w:tr>
        <w:trPr>
          <w:cantSplit/>
        </w:trPr>
        <w:tc>
          <w:tcPr>
            <w:tcW w:type="dxa" w:w="7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5</w:t>
            </w:r>
          </w:p>
        </w:tc>
        <w:tc>
          <w:tcPr>
            <w:tcW w:type="dxa" w:w="74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 proposed July 1, 2027 AMFTRB transition does not change today’s Law and Ethics Examination requirement.</w:t>
            </w:r>
          </w:p>
        </w:tc>
        <w:tc>
          <w:tcPr>
            <w:tcW w:type="dxa" w:w="10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True</w:t>
            </w:r>
          </w:p>
        </w:tc>
      </w:tr>
    </w:tbl>
    <w:p>
      <w:pPr>
        <w:keepNext w:val="0"/>
        <w:spacing w:before="0" w:after="0" w:line="240" w:lineRule="auto"/>
      </w:pPr>
    </w:p>
    <w:p>
      <w:r>
        <w:br w:type="page"/>
      </w:r>
    </w:p>
    <w:p>
      <w:pPr>
        <w:pStyle w:val="Heading2"/>
      </w:pPr>
      <w:r>
        <w:t>The CTA LMFT Decision Sequence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REASONING FRAMEWORK  </w:t>
      </w:r>
      <w:r>
        <w:rPr>
          <w:rFonts w:ascii="Aptos" w:hAnsi="Aptos"/>
          <w:b w:val="0"/>
          <w:i w:val="0"/>
          <w:color w:val="0B2545"/>
          <w:sz w:val="20"/>
        </w:rPr>
        <w:t>STATUS → SETTING → SCOPE → SOURCE → SAFEGUARD → STEP → RECORD</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600"/>
        <w:gridCol w:w="7640"/>
      </w:tblGrid>
      <w:tr>
        <w:trPr>
          <w:tblHeader w:val="true"/>
          <w:cantSplit/>
        </w:trPr>
        <w:tc>
          <w:tcPr>
            <w:tcW w:type="dxa" w:w="16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8"/>
              </w:rPr>
              <w:t>Step</w:t>
            </w:r>
          </w:p>
        </w:tc>
        <w:tc>
          <w:tcPr>
            <w:tcW w:type="dxa" w:w="76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8"/>
              </w:rPr>
              <w:t>Question to answer</w:t>
            </w:r>
          </w:p>
        </w:tc>
      </w:tr>
      <w:tr>
        <w:trPr>
          <w:cantSplit/>
        </w:trPr>
        <w:tc>
          <w:tcPr>
            <w:tcW w:type="dxa" w:w="1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STATUS</w:t>
            </w:r>
          </w:p>
        </w:tc>
        <w:tc>
          <w:tcPr>
            <w:tcW w:type="dxa" w:w="76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Who is acting: LMFT, registered AMFT, trainee, registration applicant, licensure applicant, supervisor, employer, or another person?</w:t>
            </w:r>
          </w:p>
        </w:tc>
      </w:tr>
      <w:tr>
        <w:trPr>
          <w:cantSplit/>
        </w:trPr>
        <w:tc>
          <w:tcPr>
            <w:tcW w:type="dxa" w:w="1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SETTING</w:t>
            </w:r>
          </w:p>
        </w:tc>
        <w:tc>
          <w:tcPr>
            <w:tcW w:type="dxa" w:w="76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Is the setting exempt or nonexempt? Is it a private practice or professional corporation? Is this status permitted there?</w:t>
            </w:r>
          </w:p>
        </w:tc>
      </w:tr>
      <w:tr>
        <w:trPr>
          <w:cantSplit/>
        </w:trPr>
        <w:tc>
          <w:tcPr>
            <w:tcW w:type="dxa" w:w="1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SCOPE</w:t>
            </w:r>
          </w:p>
        </w:tc>
        <w:tc>
          <w:tcPr>
            <w:tcW w:type="dxa" w:w="76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Is the service within LMFT practice, within this person’s competence, and within the person’s current authority?</w:t>
            </w:r>
          </w:p>
        </w:tc>
      </w:tr>
      <w:tr>
        <w:trPr>
          <w:cantSplit/>
        </w:trPr>
        <w:tc>
          <w:tcPr>
            <w:tcW w:type="dxa" w:w="1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SOURCE</w:t>
            </w:r>
          </w:p>
        </w:tc>
        <w:tc>
          <w:tcPr>
            <w:tcW w:type="dxa" w:w="76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Which current statute, regulation, BBS instruction, or ethical standard controls? Is any source only proposed or outdated?</w:t>
            </w:r>
          </w:p>
        </w:tc>
      </w:tr>
      <w:tr>
        <w:trPr>
          <w:cantSplit/>
        </w:trPr>
        <w:tc>
          <w:tcPr>
            <w:tcW w:type="dxa" w:w="1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SAFEGUARD</w:t>
            </w:r>
          </w:p>
        </w:tc>
        <w:tc>
          <w:tcPr>
            <w:tcW w:type="dxa" w:w="76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Whom or what does the rule protect: client, couple, family, treatment unit, supervisee, public, or record integrity?</w:t>
            </w:r>
          </w:p>
        </w:tc>
      </w:tr>
      <w:tr>
        <w:trPr>
          <w:cantSplit/>
        </w:trPr>
        <w:tc>
          <w:tcPr>
            <w:tcW w:type="dxa" w:w="1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STEP</w:t>
            </w:r>
          </w:p>
        </w:tc>
        <w:tc>
          <w:tcPr>
            <w:tcW w:type="dxa" w:w="76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What is the best legally supportable next action, in the correct sequence?</w:t>
            </w:r>
          </w:p>
        </w:tc>
      </w:tr>
      <w:tr>
        <w:trPr>
          <w:cantSplit/>
        </w:trPr>
        <w:tc>
          <w:tcPr>
            <w:tcW w:type="dxa" w:w="1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RECORD</w:t>
            </w:r>
          </w:p>
        </w:tc>
        <w:tc>
          <w:tcPr>
            <w:tcW w:type="dxa" w:w="76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What notice, supervision communication, documentation, verification, or follow-up must be completed?</w:t>
            </w:r>
          </w:p>
        </w:tc>
      </w:tr>
    </w:tbl>
    <w:p>
      <w:pPr>
        <w:keepNext w:val="0"/>
        <w:spacing w:before="0" w:after="0" w:line="240" w:lineRule="auto"/>
      </w:pP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CTA EXAM TIP  </w:t>
      </w:r>
      <w:r>
        <w:rPr>
          <w:rFonts w:ascii="Aptos" w:hAnsi="Aptos"/>
          <w:b w:val="0"/>
          <w:i w:val="0"/>
          <w:color w:val="0B2545"/>
          <w:sz w:val="20"/>
        </w:rPr>
        <w:t>Start with STATUS. Many distractors sound ethical in the abstract but are assigned to the wrong professional role or assume independent authority the person does not have.</w:t>
      </w:r>
    </w:p>
    <w:p>
      <w:r>
        <w:br w:type="page"/>
      </w:r>
    </w:p>
    <w:p>
      <w:pPr>
        <w:pStyle w:val="Heading1"/>
      </w:pPr>
      <w:r>
        <w:t>Unit 1</w:t>
      </w:r>
    </w:p>
    <w:p>
      <w:pPr>
        <w:pStyle w:val="Title"/>
      </w:pPr>
      <w:r>
        <w:t>Authority, Practice Act Architecture, and Source Hierarchy</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BIG IDEA  </w:t>
      </w:r>
      <w:r>
        <w:rPr>
          <w:rFonts w:ascii="Aptos" w:hAnsi="Aptos"/>
          <w:b w:val="0"/>
          <w:i w:val="0"/>
          <w:color w:val="0B2545"/>
          <w:sz w:val="20"/>
        </w:rPr>
        <w:t>The best answer begins with the most specific current authority that governs the person, setting, and conduct in the question.</w:t>
      </w:r>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LEGAL ANCHORS  </w:t>
      </w:r>
      <w:r>
        <w:rPr>
          <w:rFonts w:ascii="Aptos" w:hAnsi="Aptos"/>
          <w:b w:val="0"/>
          <w:i w:val="0"/>
          <w:color w:val="0B2545"/>
          <w:sz w:val="20"/>
        </w:rPr>
        <w:t>Business and Professions Code (BPC) §§ 4980–4980.06; Title 16, Division 18 of the California Code of Regulations; current BBS publications.</w:t>
      </w:r>
    </w:p>
    <w:p>
      <w:pPr>
        <w:pStyle w:val="Heading2"/>
      </w:pPr>
      <w:r>
        <w:t>Five Source Types—and What Each Can Do</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500"/>
        <w:gridCol w:w="3300"/>
        <w:gridCol w:w="4440"/>
      </w:tblGrid>
      <w:tr>
        <w:trPr>
          <w:tblHeader w:val="true"/>
          <w:cantSplit/>
        </w:trPr>
        <w:tc>
          <w:tcPr>
            <w:tcW w:type="dxa" w:w="15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Source</w:t>
            </w:r>
          </w:p>
        </w:tc>
        <w:tc>
          <w:tcPr>
            <w:tcW w:type="dxa" w:w="33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Meaning</w:t>
            </w:r>
          </w:p>
        </w:tc>
        <w:tc>
          <w:tcPr>
            <w:tcW w:type="dxa" w:w="44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Exam use</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Statute</w:t>
            </w:r>
          </w:p>
        </w:tc>
        <w:tc>
          <w:tcPr>
            <w:tcW w:type="dxa" w:w="33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Enacted law in the Business and Professions Code.</w:t>
            </w:r>
          </w:p>
        </w:tc>
        <w:tc>
          <w:tcPr>
            <w:tcW w:type="dxa" w:w="44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Defines legal duties, titles, scope, registration, examinations, and discipline.</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Regulation</w:t>
            </w:r>
          </w:p>
        </w:tc>
        <w:tc>
          <w:tcPr>
            <w:tcW w:type="dxa" w:w="330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Rules adopted under statutory authority in Title 16.</w:t>
            </w:r>
          </w:p>
        </w:tc>
        <w:tc>
          <w:tcPr>
            <w:tcW w:type="dxa" w:w="44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Implements statutes, including advertising and supervision procedures.</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Official BBS guidance</w:t>
            </w:r>
          </w:p>
        </w:tc>
        <w:tc>
          <w:tcPr>
            <w:tcW w:type="dxa" w:w="33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Current Board webpages, forms, handbooks, and FAQs.</w:t>
            </w:r>
          </w:p>
        </w:tc>
        <w:tc>
          <w:tcPr>
            <w:tcW w:type="dxa" w:w="44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Explains present procedures and how the Board administers requirements.</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Professional ethics</w:t>
            </w:r>
          </w:p>
        </w:tc>
        <w:tc>
          <w:tcPr>
            <w:tcW w:type="dxa" w:w="330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Profession-specific ethical standards.</w:t>
            </w:r>
          </w:p>
        </w:tc>
        <w:tc>
          <w:tcPr>
            <w:tcW w:type="dxa" w:w="44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Guides professional judgment but does not override California law.</w:t>
            </w:r>
          </w:p>
        </w:tc>
      </w:tr>
      <w:tr>
        <w:trPr>
          <w:cantSplit/>
        </w:trPr>
        <w:tc>
          <w:tcPr>
            <w:tcW w:type="dxa" w:w="15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Employer policy</w:t>
            </w:r>
          </w:p>
        </w:tc>
        <w:tc>
          <w:tcPr>
            <w:tcW w:type="dxa" w:w="33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Agency or practice rules.</w:t>
            </w:r>
          </w:p>
        </w:tc>
        <w:tc>
          <w:tcPr>
            <w:tcW w:type="dxa" w:w="44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May be stricter, but cannot authorize conduct prohibited by law.</w:t>
            </w:r>
          </w:p>
        </w:tc>
      </w:tr>
    </w:tbl>
    <w:p>
      <w:pPr>
        <w:keepNext w:val="0"/>
        <w:spacing w:before="0" w:after="0" w:line="240" w:lineRule="auto"/>
      </w:pPr>
    </w:p>
    <w:p>
      <w:pPr>
        <w:keepNext w:val="0"/>
        <w:spacing w:before="0" w:after="120" w:line="276" w:lineRule="auto"/>
      </w:pPr>
      <w:r>
        <w:rPr>
          <w:rFonts w:ascii="Aptos" w:hAnsi="Aptos"/>
          <w:b w:val="0"/>
          <w:i w:val="0"/>
          <w:sz w:val="21"/>
        </w:rPr>
        <w:t>A proposed statute, draft regulation, agenda item, or future implementation plan is not a current enforceable rule merely because a Board is considering it. The exam-relevant task is to identify whether the question asks about current law or a pending change.</w:t>
      </w:r>
    </w:p>
    <w:p>
      <w:pPr>
        <w:pStyle w:val="Heading2"/>
      </w:pPr>
      <w:r>
        <w:t>How to Resolve an Apparent Conflict</w:t>
      </w:r>
    </w:p>
    <w:p>
      <w:pPr>
        <w:pStyle w:val="CTANumber"/>
        <w:numPr>
          <w:ilvl w:val="0"/>
          <w:numId w:val="100"/>
        </w:numPr>
      </w:pPr>
      <w:r>
        <w:rPr>
          <w:rFonts w:ascii="Aptos" w:hAnsi="Aptos"/>
          <w:b w:val="0"/>
          <w:i w:val="0"/>
          <w:sz w:val="21"/>
        </w:rPr>
        <w:t>Identify the person’s exact legal status and the conduct at issue.</w:t>
      </w:r>
    </w:p>
    <w:p>
      <w:pPr>
        <w:pStyle w:val="CTANumber"/>
        <w:numPr>
          <w:ilvl w:val="0"/>
          <w:numId w:val="100"/>
        </w:numPr>
      </w:pPr>
      <w:r>
        <w:rPr>
          <w:rFonts w:ascii="Aptos" w:hAnsi="Aptos"/>
          <w:b w:val="0"/>
          <w:i w:val="0"/>
          <w:sz w:val="21"/>
        </w:rPr>
        <w:t>Locate the current profession-specific statute and any implementing regulation.</w:t>
      </w:r>
    </w:p>
    <w:p>
      <w:pPr>
        <w:pStyle w:val="CTANumber"/>
        <w:numPr>
          <w:ilvl w:val="0"/>
          <w:numId w:val="100"/>
        </w:numPr>
      </w:pPr>
      <w:r>
        <w:rPr>
          <w:rFonts w:ascii="Aptos" w:hAnsi="Aptos"/>
          <w:b w:val="0"/>
          <w:i w:val="0"/>
          <w:sz w:val="21"/>
        </w:rPr>
        <w:t>Use current BBS guidance for application, renewal, scheduling, and other administrative procedures.</w:t>
      </w:r>
    </w:p>
    <w:p>
      <w:pPr>
        <w:pStyle w:val="CTANumber"/>
        <w:numPr>
          <w:ilvl w:val="0"/>
          <w:numId w:val="100"/>
        </w:numPr>
      </w:pPr>
      <w:r>
        <w:rPr>
          <w:rFonts w:ascii="Aptos" w:hAnsi="Aptos"/>
          <w:b w:val="0"/>
          <w:i w:val="0"/>
          <w:sz w:val="21"/>
        </w:rPr>
        <w:t>Use ethics and employer policy to supplement—not replace—the controlling legal rule.</w:t>
      </w:r>
    </w:p>
    <w:p>
      <w:pPr>
        <w:pStyle w:val="CTANumber"/>
        <w:numPr>
          <w:ilvl w:val="0"/>
          <w:numId w:val="100"/>
        </w:numPr>
      </w:pPr>
      <w:r>
        <w:rPr>
          <w:rFonts w:ascii="Aptos" w:hAnsi="Aptos"/>
          <w:b w:val="0"/>
          <w:i w:val="0"/>
          <w:sz w:val="21"/>
        </w:rPr>
        <w:t>If the source is proposed, label it pending and apply the rule currently in effect.</w:t>
      </w:r>
    </w:p>
    <w:p>
      <w:pPr>
        <w:keepNext w:val="0"/>
        <w:spacing w:before="60" w:after="160" w:line="269" w:lineRule="auto"/>
        <w:ind w:left="140" w:right="140"/>
        <w:shd w:fill="FFF7E6"/>
        <w:pBdr>
          <w:top w:val="single" w:sz="8" w:space="3" w:color="D8A63C"/>
          <w:left w:val="single" w:sz="8" w:space="3" w:color="D8A63C"/>
          <w:bottom w:val="single" w:sz="8" w:space="3" w:color="D8A63C"/>
          <w:right w:val="single" w:sz="8" w:space="3" w:color="D8A63C"/>
        </w:pBdr>
      </w:pPr>
      <w:r>
        <w:rPr>
          <w:rFonts w:ascii="Aptos" w:hAnsi="Aptos"/>
          <w:b/>
          <w:i w:val="0"/>
          <w:color w:val="9A6A00"/>
          <w:sz w:val="19"/>
        </w:rPr>
        <w:t xml:space="preserve">COMMON TRAP  </w:t>
      </w:r>
      <w:r>
        <w:rPr>
          <w:rFonts w:ascii="Aptos" w:hAnsi="Aptos"/>
          <w:b w:val="0"/>
          <w:i w:val="0"/>
          <w:color w:val="0B2545"/>
          <w:sz w:val="20"/>
        </w:rPr>
        <w:t>Choosing a familiar general ethics principle before identifying a specific LMFT Practice Act requirement.</w:t>
      </w:r>
    </w:p>
    <w:p>
      <w:pPr>
        <w:keepNext w:val="0"/>
        <w:spacing w:before="60" w:after="160" w:line="269" w:lineRule="auto"/>
        <w:ind w:left="140" w:right="140"/>
        <w:shd w:fill="E8EEF5"/>
        <w:pBdr>
          <w:top w:val="single" w:sz="8" w:space="3" w:color="7E9DBA"/>
          <w:left w:val="single" w:sz="8" w:space="3" w:color="7E9DBA"/>
          <w:bottom w:val="single" w:sz="8" w:space="3" w:color="7E9DBA"/>
          <w:right w:val="single" w:sz="8" w:space="3" w:color="7E9DBA"/>
        </w:pBdr>
      </w:pPr>
      <w:r>
        <w:rPr>
          <w:rFonts w:ascii="Aptos" w:hAnsi="Aptos"/>
          <w:b/>
          <w:i w:val="0"/>
          <w:color w:val="0B2545"/>
          <w:sz w:val="19"/>
        </w:rPr>
        <w:t xml:space="preserve">PAUSE AND DECIDE  </w:t>
      </w:r>
      <w:r>
        <w:rPr>
          <w:rFonts w:ascii="Aptos" w:hAnsi="Aptos"/>
          <w:b w:val="0"/>
          <w:i w:val="0"/>
          <w:color w:val="0B2545"/>
          <w:sz w:val="20"/>
        </w:rPr>
        <w:t>An agency policy says an AMFT may describe herself as an “independent therapist” after two years of experience. Which source controls?</w:t>
      </w:r>
    </w:p>
    <w:p>
      <w:pPr>
        <w:keepNext w:val="0"/>
        <w:spacing w:before="0" w:after="160" w:line="276" w:lineRule="auto"/>
      </w:pPr>
      <w:r>
        <w:rPr>
          <w:rFonts w:ascii="Aptos" w:hAnsi="Aptos"/>
          <w:b/>
          <w:i w:val="0"/>
          <w:color w:val="087F78"/>
          <w:sz w:val="21"/>
        </w:rPr>
        <w:t xml:space="preserve">Reasoning review. </w:t>
      </w:r>
      <w:r>
        <w:rPr>
          <w:rFonts w:ascii="Aptos" w:hAnsi="Aptos"/>
          <w:b w:val="0"/>
          <w:i w:val="0"/>
          <w:sz w:val="21"/>
        </w:rPr>
        <w:t>Current California statute and regulation control the AMFT’s status and advertising. Employer policy cannot convert registration into independent licensure. The status description must be corrected before services are advertised that way.</w:t>
      </w:r>
    </w:p>
    <w:p>
      <w:pPr>
        <w:pStyle w:val="Heading2"/>
      </w:pPr>
      <w:r>
        <w:t>Unit 1 Quick Check</w:t>
      </w:r>
    </w:p>
    <w:p>
      <w:pPr>
        <w:pStyle w:val="CTABullet"/>
      </w:pPr>
      <w:r>
        <w:rPr>
          <w:rFonts w:ascii="Aptos" w:hAnsi="Aptos"/>
          <w:b w:val="0"/>
          <w:i w:val="0"/>
          <w:sz w:val="21"/>
        </w:rPr>
        <w:t>Can you distinguish a statute from a regulation and from BBS procedure?</w:t>
      </w:r>
    </w:p>
    <w:p>
      <w:pPr>
        <w:pStyle w:val="CTABullet"/>
      </w:pPr>
      <w:r>
        <w:rPr>
          <w:rFonts w:ascii="Aptos" w:hAnsi="Aptos"/>
          <w:b w:val="0"/>
          <w:i w:val="0"/>
          <w:sz w:val="21"/>
        </w:rPr>
        <w:t>Can you identify a proposed change and keep it out of a current-rule answer?</w:t>
      </w:r>
    </w:p>
    <w:p>
      <w:pPr>
        <w:pStyle w:val="CTABullet"/>
      </w:pPr>
      <w:r>
        <w:rPr>
          <w:rFonts w:ascii="Aptos" w:hAnsi="Aptos"/>
          <w:b w:val="0"/>
          <w:i w:val="0"/>
          <w:sz w:val="21"/>
        </w:rPr>
        <w:t>Can you explain why an employer policy cannot create legal authority?</w:t>
      </w:r>
    </w:p>
    <w:p>
      <w:r>
        <w:br w:type="page"/>
      </w:r>
    </w:p>
    <w:p>
      <w:pPr>
        <w:pStyle w:val="Heading1"/>
      </w:pPr>
      <w:r>
        <w:t>Unit 2</w:t>
      </w:r>
    </w:p>
    <w:p>
      <w:pPr>
        <w:pStyle w:val="Title"/>
      </w:pPr>
      <w:r>
        <w:t>LMFT Scope and Systemic Professional Identity</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BIG IDEA  </w:t>
      </w:r>
      <w:r>
        <w:rPr>
          <w:rFonts w:ascii="Aptos" w:hAnsi="Aptos"/>
          <w:b w:val="0"/>
          <w:i w:val="0"/>
          <w:color w:val="0B2545"/>
          <w:sz w:val="20"/>
        </w:rPr>
        <w:t>Scope answers what the profession may do. It does not, by itself, answer whether this individual may do it now, in this setting, without supervision.</w:t>
      </w:r>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LEGAL ANCHORS  </w:t>
      </w:r>
      <w:r>
        <w:rPr>
          <w:rFonts w:ascii="Aptos" w:hAnsi="Aptos"/>
          <w:b w:val="0"/>
          <w:i w:val="0"/>
          <w:color w:val="0B2545"/>
          <w:sz w:val="20"/>
        </w:rPr>
        <w:t>BPC §§ 4980.02, 4980.03, 4980.06, 4980.10, 4980.30, 4980.42–4980.44.</w:t>
      </w:r>
    </w:p>
    <w:p>
      <w:pPr>
        <w:pStyle w:val="Heading2"/>
      </w:pPr>
      <w:r>
        <w:t>The LMFT Scope</w:t>
      </w:r>
    </w:p>
    <w:p>
      <w:pPr>
        <w:keepNext w:val="0"/>
        <w:spacing w:before="0" w:after="120" w:line="276" w:lineRule="auto"/>
      </w:pPr>
      <w:r>
        <w:rPr>
          <w:rFonts w:ascii="Aptos" w:hAnsi="Aptos"/>
          <w:b w:val="0"/>
          <w:i w:val="0"/>
          <w:sz w:val="21"/>
        </w:rPr>
        <w:t>California defines marriage and family therapy through the application of psychotherapeutic and family-systems theories, principles, and methods. The profession serves individuals, couples, and groups and addresses relational issues, emotional disorders, behavioral problems, mental illness, substance-use concerns, and intrapersonal and interpersonal behavior.</w:t>
      </w:r>
    </w:p>
    <w:p>
      <w:pPr>
        <w:keepNext w:val="0"/>
        <w:spacing w:before="0" w:after="120" w:line="276" w:lineRule="auto"/>
      </w:pPr>
      <w:r>
        <w:rPr>
          <w:rFonts w:ascii="Aptos" w:hAnsi="Aptos"/>
          <w:b w:val="0"/>
          <w:i w:val="0"/>
          <w:sz w:val="21"/>
        </w:rPr>
        <w:t>The statutory description includes assessment, evaluation, prognosis, treatment planning and evaluation, individual/relationship/family/group interventions, relational therapy, psychotherapy, client education, clinical case management, consultation, and supervision. On an examination, this supports a systemic professional identity; it does not mean every person holding an LMFT-related status may perform every listed task under every condition.</w:t>
      </w:r>
    </w:p>
    <w:p>
      <w:pPr>
        <w:pStyle w:val="Heading2"/>
      </w:pPr>
      <w:r>
        <w:t>Three Questions the Exam Often Collapses</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400"/>
        <w:gridCol w:w="3300"/>
        <w:gridCol w:w="3540"/>
      </w:tblGrid>
      <w:tr>
        <w:trPr>
          <w:tblHeader w:val="true"/>
          <w:cantSplit/>
        </w:trPr>
        <w:tc>
          <w:tcPr>
            <w:tcW w:type="dxa" w:w="24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Question</w:t>
            </w:r>
          </w:p>
        </w:tc>
        <w:tc>
          <w:tcPr>
            <w:tcW w:type="dxa" w:w="33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What it tests</w:t>
            </w:r>
          </w:p>
        </w:tc>
        <w:tc>
          <w:tcPr>
            <w:tcW w:type="dxa" w:w="35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Example</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Profession-wide scope</w:t>
            </w:r>
          </w:p>
        </w:tc>
        <w:tc>
          <w:tcPr>
            <w:tcW w:type="dxa" w:w="33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Is this service part of marriage and family therapy?</w:t>
            </w:r>
          </w:p>
        </w:tc>
        <w:tc>
          <w:tcPr>
            <w:tcW w:type="dxa" w:w="35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Relational therapy is within the profession’s scope.</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Individual competence</w:t>
            </w:r>
          </w:p>
        </w:tc>
        <w:tc>
          <w:tcPr>
            <w:tcW w:type="dxa" w:w="330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Does this person have adequate education, training, and experience?</w:t>
            </w:r>
          </w:p>
        </w:tc>
        <w:tc>
          <w:tcPr>
            <w:tcW w:type="dxa" w:w="35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 clinician may need training or consultation before using a specialized method.</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Present legal authority</w:t>
            </w:r>
          </w:p>
        </w:tc>
        <w:tc>
          <w:tcPr>
            <w:tcW w:type="dxa" w:w="33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May this person perform the service now, in this setting, with this status?</w:t>
            </w:r>
          </w:p>
        </w:tc>
        <w:tc>
          <w:tcPr>
            <w:tcW w:type="dxa" w:w="35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An AMFT may provide psychotherapy only under lawful employment/volunteer and supervision conditions.</w:t>
            </w:r>
          </w:p>
        </w:tc>
      </w:tr>
    </w:tbl>
    <w:p>
      <w:pPr>
        <w:keepNext w:val="0"/>
        <w:spacing w:before="0" w:after="0" w:line="240" w:lineRule="auto"/>
      </w:pPr>
    </w:p>
    <w:p>
      <w:pPr>
        <w:pStyle w:val="Heading2"/>
      </w:pPr>
      <w:r>
        <w:t>Know the Role Before Applying the Rule</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300"/>
        <w:gridCol w:w="6940"/>
      </w:tblGrid>
      <w:tr>
        <w:trPr>
          <w:tblHeader w:val="true"/>
          <w:cantSplit/>
        </w:trPr>
        <w:tc>
          <w:tcPr>
            <w:tcW w:type="dxa" w:w="23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Status</w:t>
            </w:r>
          </w:p>
        </w:tc>
        <w:tc>
          <w:tcPr>
            <w:tcW w:type="dxa" w:w="69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Exam-relevant meaning</w:t>
            </w:r>
          </w:p>
        </w:tc>
      </w:tr>
      <w:tr>
        <w:trPr>
          <w:cantSplit/>
        </w:trPr>
        <w:tc>
          <w:tcPr>
            <w:tcW w:type="dxa" w:w="23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LMFT</w:t>
            </w:r>
          </w:p>
        </w:tc>
        <w:tc>
          <w:tcPr>
            <w:tcW w:type="dxa" w:w="69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Licensed person; may practice independently within scope and competence, subject to all applicable law.</w:t>
            </w:r>
          </w:p>
        </w:tc>
      </w:tr>
      <w:tr>
        <w:trPr>
          <w:cantSplit/>
        </w:trPr>
        <w:tc>
          <w:tcPr>
            <w:tcW w:type="dxa" w:w="23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Registered AMFT</w:t>
            </w:r>
          </w:p>
        </w:tc>
        <w:tc>
          <w:tcPr>
            <w:tcW w:type="dxa" w:w="69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Unlicensed associate with a qualifying degree and active Board registration; practices under supervision in a lawful employment or volunteer arrangement.</w:t>
            </w:r>
          </w:p>
        </w:tc>
      </w:tr>
      <w:tr>
        <w:trPr>
          <w:cantSplit/>
        </w:trPr>
        <w:tc>
          <w:tcPr>
            <w:tcW w:type="dxa" w:w="23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MFT trainee</w:t>
            </w:r>
          </w:p>
        </w:tc>
        <w:tc>
          <w:tcPr>
            <w:tcW w:type="dxa" w:w="69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Unlicensed student in a qualifying degree program who has met the statutory coursework threshold; services are part of a supervised course of study coordinated with the school.</w:t>
            </w:r>
          </w:p>
        </w:tc>
      </w:tr>
      <w:tr>
        <w:trPr>
          <w:cantSplit/>
        </w:trPr>
        <w:tc>
          <w:tcPr>
            <w:tcW w:type="dxa" w:w="23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Applicant for AMFT registration</w:t>
            </w:r>
          </w:p>
        </w:tc>
        <w:tc>
          <w:tcPr>
            <w:tcW w:type="dxa" w:w="69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Postdegree person awaiting registration; a narrow 90-day rule may allow credit in a qualifying non-private-practice setting if every condition is met and registration is later granted.</w:t>
            </w:r>
          </w:p>
        </w:tc>
      </w:tr>
      <w:tr>
        <w:trPr>
          <w:cantSplit/>
        </w:trPr>
        <w:tc>
          <w:tcPr>
            <w:tcW w:type="dxa" w:w="23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Applicant for licensure</w:t>
            </w:r>
          </w:p>
        </w:tc>
        <w:tc>
          <w:tcPr>
            <w:tcW w:type="dxa" w:w="69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Unlicensed person who has completed the required education and supervised experience; remains under supervision while providing services until licensed.</w:t>
            </w:r>
          </w:p>
        </w:tc>
      </w:tr>
    </w:tbl>
    <w:p>
      <w:pPr>
        <w:keepNext w:val="0"/>
        <w:spacing w:before="0" w:after="0" w:line="240" w:lineRule="auto"/>
      </w:pP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LMFT LENS  </w:t>
      </w:r>
      <w:r>
        <w:rPr>
          <w:rFonts w:ascii="Aptos" w:hAnsi="Aptos"/>
          <w:b w:val="0"/>
          <w:i w:val="0"/>
          <w:color w:val="0B2545"/>
          <w:sz w:val="20"/>
        </w:rPr>
        <w:t>Relational and systemic thinking informs clinical reasoning, but legal authority still turns on STATUS, SETTING, and SOURCE. A strong answer protects the treatment unit without erasing each participant’s rights or the clinician’s role limits.</w:t>
      </w:r>
    </w:p>
    <w:p>
      <w:pPr>
        <w:keepNext w:val="0"/>
        <w:spacing w:before="60" w:after="160" w:line="269" w:lineRule="auto"/>
        <w:ind w:left="140" w:right="140"/>
        <w:shd w:fill="E8EEF5"/>
        <w:pBdr>
          <w:top w:val="single" w:sz="8" w:space="3" w:color="7E9DBA"/>
          <w:left w:val="single" w:sz="8" w:space="3" w:color="7E9DBA"/>
          <w:bottom w:val="single" w:sz="8" w:space="3" w:color="7E9DBA"/>
          <w:right w:val="single" w:sz="8" w:space="3" w:color="7E9DBA"/>
        </w:pBdr>
      </w:pPr>
      <w:r>
        <w:rPr>
          <w:rFonts w:ascii="Aptos" w:hAnsi="Aptos"/>
          <w:b/>
          <w:i w:val="0"/>
          <w:color w:val="0B2545"/>
          <w:sz w:val="19"/>
        </w:rPr>
        <w:t xml:space="preserve">PAUSE AND DECIDE  </w:t>
      </w:r>
      <w:r>
        <w:rPr>
          <w:rFonts w:ascii="Aptos" w:hAnsi="Aptos"/>
          <w:b w:val="0"/>
          <w:i w:val="0"/>
          <w:color w:val="0B2545"/>
          <w:sz w:val="20"/>
        </w:rPr>
        <w:t>A registered AMFT has strong training in couples therapy and is offered a weekend office to see couples under her own business name. Is competence enough?</w:t>
      </w:r>
    </w:p>
    <w:p>
      <w:pPr>
        <w:keepNext w:val="0"/>
        <w:spacing w:before="0" w:after="160" w:line="276" w:lineRule="auto"/>
      </w:pPr>
      <w:r>
        <w:rPr>
          <w:rFonts w:ascii="Aptos" w:hAnsi="Aptos"/>
          <w:b/>
          <w:i w:val="0"/>
          <w:color w:val="087F78"/>
          <w:sz w:val="21"/>
        </w:rPr>
        <w:t xml:space="preserve">Reasoning review. </w:t>
      </w:r>
      <w:r>
        <w:rPr>
          <w:rFonts w:ascii="Aptos" w:hAnsi="Aptos"/>
          <w:b w:val="0"/>
          <w:i w:val="0"/>
          <w:sz w:val="21"/>
        </w:rPr>
        <w:t>No. The service may be within LMFT scope and within her competence, but the arrangement suggests independent practice, a proprietary business interest, and possible direct client payment. Present authority and setting must be resolved before any service begins.</w:t>
      </w:r>
    </w:p>
    <w:p>
      <w:pPr>
        <w:keepNext w:val="0"/>
        <w:spacing w:before="60" w:after="160" w:line="269" w:lineRule="auto"/>
        <w:ind w:left="140" w:right="140"/>
        <w:shd w:fill="FFF7E6"/>
        <w:pBdr>
          <w:top w:val="single" w:sz="8" w:space="3" w:color="D8A63C"/>
          <w:left w:val="single" w:sz="8" w:space="3" w:color="D8A63C"/>
          <w:bottom w:val="single" w:sz="8" w:space="3" w:color="D8A63C"/>
          <w:right w:val="single" w:sz="8" w:space="3" w:color="D8A63C"/>
        </w:pBdr>
      </w:pPr>
      <w:r>
        <w:rPr>
          <w:rFonts w:ascii="Aptos" w:hAnsi="Aptos"/>
          <w:b/>
          <w:i w:val="0"/>
          <w:color w:val="9A6A00"/>
          <w:sz w:val="19"/>
        </w:rPr>
        <w:t xml:space="preserve">COMMON TRAP  </w:t>
      </w:r>
      <w:r>
        <w:rPr>
          <w:rFonts w:ascii="Aptos" w:hAnsi="Aptos"/>
          <w:b w:val="0"/>
          <w:i w:val="0"/>
          <w:color w:val="0B2545"/>
          <w:sz w:val="20"/>
        </w:rPr>
        <w:t>Treating “within scope” as equivalent to “permitted independently.”</w:t>
      </w:r>
    </w:p>
    <w:p>
      <w:pPr>
        <w:pStyle w:val="Heading2"/>
      </w:pPr>
      <w:r>
        <w:t>Unit 2 Quick Check</w:t>
      </w:r>
    </w:p>
    <w:p>
      <w:pPr>
        <w:pStyle w:val="CTABullet"/>
      </w:pPr>
      <w:r>
        <w:rPr>
          <w:rFonts w:ascii="Aptos" w:hAnsi="Aptos"/>
          <w:b w:val="0"/>
          <w:i w:val="0"/>
          <w:sz w:val="21"/>
        </w:rPr>
        <w:t>Can you state the LMFT systemic scope without reducing it to generic counseling?</w:t>
      </w:r>
    </w:p>
    <w:p>
      <w:pPr>
        <w:pStyle w:val="CTABullet"/>
      </w:pPr>
      <w:r>
        <w:rPr>
          <w:rFonts w:ascii="Aptos" w:hAnsi="Aptos"/>
          <w:b w:val="0"/>
          <w:i w:val="0"/>
          <w:sz w:val="21"/>
        </w:rPr>
        <w:t>Can you separate scope, competence, and authority?</w:t>
      </w:r>
    </w:p>
    <w:p>
      <w:pPr>
        <w:pStyle w:val="CTABullet"/>
      </w:pPr>
      <w:r>
        <w:rPr>
          <w:rFonts w:ascii="Aptos" w:hAnsi="Aptos"/>
          <w:b w:val="0"/>
          <w:i w:val="0"/>
          <w:sz w:val="21"/>
        </w:rPr>
        <w:t>Can you distinguish registration from licensure?</w:t>
      </w:r>
    </w:p>
    <w:p>
      <w:r>
        <w:br w:type="page"/>
      </w:r>
    </w:p>
    <w:p>
      <w:pPr>
        <w:pStyle w:val="Heading1"/>
      </w:pPr>
      <w:r>
        <w:t>Unit 3</w:t>
      </w:r>
    </w:p>
    <w:p>
      <w:pPr>
        <w:pStyle w:val="Title"/>
      </w:pPr>
      <w:r>
        <w:t>Protected Titles, Client Notice, and Advertising</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BIG IDEA  </w:t>
      </w:r>
      <w:r>
        <w:rPr>
          <w:rFonts w:ascii="Aptos" w:hAnsi="Aptos"/>
          <w:b w:val="0"/>
          <w:i w:val="0"/>
          <w:color w:val="0B2545"/>
          <w:sz w:val="20"/>
        </w:rPr>
        <w:t>Accurate identity is a public-protection duty. An AMFT must not imply independent licensure, even when a supervisor or employer created the advertisement.</w:t>
      </w:r>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LEGAL ANCHORS  </w:t>
      </w:r>
      <w:r>
        <w:rPr>
          <w:rFonts w:ascii="Aptos" w:hAnsi="Aptos"/>
          <w:b w:val="0"/>
          <w:i w:val="0"/>
          <w:color w:val="0B2545"/>
          <w:sz w:val="20"/>
        </w:rPr>
        <w:t>BPC §§ 4980.03(e), 4980.09, 4980.32, 4980.44, 4980.48; 16 CCR § 1811 (operative April 1, 2026); BBS Advertising Fact Sheet (revised March 2026).</w:t>
      </w:r>
    </w:p>
    <w:p>
      <w:pPr>
        <w:pStyle w:val="Heading2"/>
      </w:pPr>
      <w:r>
        <w:t>Three Different Identity Tasks</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300"/>
        <w:gridCol w:w="3100"/>
        <w:gridCol w:w="3840"/>
      </w:tblGrid>
      <w:tr>
        <w:trPr>
          <w:tblHeader w:val="true"/>
          <w:cantSplit/>
        </w:trPr>
        <w:tc>
          <w:tcPr>
            <w:tcW w:type="dxa" w:w="23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Task</w:t>
            </w:r>
          </w:p>
        </w:tc>
        <w:tc>
          <w:tcPr>
            <w:tcW w:type="dxa" w:w="31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When it applies</w:t>
            </w:r>
          </w:p>
        </w:tc>
        <w:tc>
          <w:tcPr>
            <w:tcW w:type="dxa" w:w="38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Core purpose</w:t>
            </w:r>
          </w:p>
        </w:tc>
      </w:tr>
      <w:tr>
        <w:trPr>
          <w:cantSplit/>
        </w:trPr>
        <w:tc>
          <w:tcPr>
            <w:tcW w:type="dxa" w:w="23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AMFT status disclosure</w:t>
            </w:r>
          </w:p>
        </w:tc>
        <w:tc>
          <w:tcPr>
            <w:tcW w:type="dxa" w:w="31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Before performing mental health and related services.</w:t>
            </w:r>
          </w:p>
        </w:tc>
        <w:tc>
          <w:tcPr>
            <w:tcW w:type="dxa" w:w="38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Tell the client the associate is unlicensed, registered, identified by number and employer, and supervised by an authorized licensed professional.</w:t>
            </w:r>
          </w:p>
        </w:tc>
      </w:tr>
      <w:tr>
        <w:trPr>
          <w:cantSplit/>
        </w:trPr>
        <w:tc>
          <w:tcPr>
            <w:tcW w:type="dxa" w:w="23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BBS notice to clients</w:t>
            </w:r>
          </w:p>
        </w:tc>
        <w:tc>
          <w:tcPr>
            <w:tcW w:type="dxa" w:w="310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Before psychotherapy begins, or as soon as practicably possible afterward.</w:t>
            </w:r>
          </w:p>
        </w:tc>
        <w:tc>
          <w:tcPr>
            <w:tcW w:type="dxa" w:w="38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Provide the Board complaint notice and identifying registration information; document delivery.</w:t>
            </w:r>
          </w:p>
        </w:tc>
      </w:tr>
      <w:tr>
        <w:trPr>
          <w:cantSplit/>
        </w:trPr>
        <w:tc>
          <w:tcPr>
            <w:tcW w:type="dxa" w:w="23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Advertising compliance</w:t>
            </w:r>
          </w:p>
        </w:tc>
        <w:tc>
          <w:tcPr>
            <w:tcW w:type="dxa" w:w="31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Any public communication or material promoting services.</w:t>
            </w:r>
          </w:p>
        </w:tc>
        <w:tc>
          <w:tcPr>
            <w:tcW w:type="dxa" w:w="38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Prevent misleading status and make required identity and supervision information readily visible.</w:t>
            </w:r>
          </w:p>
        </w:tc>
      </w:tr>
    </w:tbl>
    <w:p>
      <w:pPr>
        <w:keepNext w:val="0"/>
        <w:spacing w:before="0" w:after="0" w:line="240" w:lineRule="auto"/>
      </w:pPr>
    </w:p>
    <w:p>
      <w:pPr>
        <w:pStyle w:val="Heading2"/>
      </w:pPr>
      <w:r>
        <w:t>AMFT Client Status Disclosure</w:t>
      </w:r>
    </w:p>
    <w:p>
      <w:pPr>
        <w:keepNext w:val="0"/>
        <w:spacing w:before="0" w:after="120" w:line="276" w:lineRule="auto"/>
      </w:pPr>
      <w:r>
        <w:rPr>
          <w:rFonts w:ascii="Aptos" w:hAnsi="Aptos"/>
          <w:b w:val="0"/>
          <w:i w:val="0"/>
          <w:sz w:val="21"/>
        </w:rPr>
        <w:t>Before providing mental health and related services, an AMFT must identify the unlicensed registered-associate status, provide the registration number and employer name, and state that the person is under supervision by an authorized licensed professional. This oral or written status disclosure is distinct from the separate Board notice required when psychotherapy is initiated.</w:t>
      </w:r>
    </w:p>
    <w:p>
      <w:pPr>
        <w:pStyle w:val="Heading2"/>
      </w:pPr>
      <w:r>
        <w:t>BBS Notice to Clients</w:t>
      </w:r>
    </w:p>
    <w:p>
      <w:pPr>
        <w:keepNext w:val="0"/>
        <w:spacing w:before="0" w:after="120" w:line="276" w:lineRule="auto"/>
      </w:pPr>
      <w:r>
        <w:rPr>
          <w:rFonts w:ascii="Aptos" w:hAnsi="Aptos"/>
          <w:b w:val="0"/>
          <w:i w:val="0"/>
          <w:sz w:val="21"/>
        </w:rPr>
        <w:t>A licensee or registrant initiating psychotherapy must provide the Board’s required complaint notice in at least 12-point type before services begin, or as soon as practicably possible afterward. Since July 1, 2025, the notice also identifies the practitioner’s full filed name, license or registration number and type, and expiration date. Delivery must be documented. Use the current Board wording; do not recreate the notice from memory.</w:t>
      </w:r>
    </w:p>
    <w:p>
      <w:pPr>
        <w:keepNext w:val="0"/>
        <w:spacing w:before="60" w:after="160" w:line="269" w:lineRule="auto"/>
        <w:ind w:left="140" w:right="140"/>
        <w:shd w:fill="F7F7F7"/>
        <w:pBdr>
          <w:top w:val="single" w:sz="8" w:space="3" w:color="97A1AF"/>
          <w:left w:val="single" w:sz="8" w:space="3" w:color="97A1AF"/>
          <w:bottom w:val="single" w:sz="8" w:space="3" w:color="97A1AF"/>
          <w:right w:val="single" w:sz="8" w:space="3" w:color="97A1AF"/>
        </w:pBdr>
      </w:pPr>
      <w:r>
        <w:rPr>
          <w:rFonts w:ascii="Aptos" w:hAnsi="Aptos"/>
          <w:b/>
          <w:i w:val="0"/>
          <w:color w:val="404B5A"/>
          <w:sz w:val="19"/>
        </w:rPr>
        <w:t xml:space="preserve">CURRENT-SOURCE CHECK  </w:t>
      </w:r>
      <w:r>
        <w:rPr>
          <w:rFonts w:ascii="Aptos" w:hAnsi="Aptos"/>
          <w:b w:val="0"/>
          <w:i w:val="0"/>
          <w:color w:val="0B2545"/>
          <w:sz w:val="20"/>
        </w:rPr>
        <w:t>Download the current notice language and verify the Board contact information immediately before publication or clinical use. A study summary is not a substitute for the required notice.</w:t>
      </w:r>
    </w:p>
    <w:p>
      <w:pPr>
        <w:pStyle w:val="Heading2"/>
      </w:pPr>
      <w:r>
        <w:t>AMFT Advertising: Minimum Elements</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600"/>
        <w:gridCol w:w="6640"/>
      </w:tblGrid>
      <w:tr>
        <w:trPr>
          <w:tblHeader w:val="true"/>
          <w:cantSplit/>
        </w:trPr>
        <w:tc>
          <w:tcPr>
            <w:tcW w:type="dxa" w:w="26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Required element</w:t>
            </w:r>
          </w:p>
        </w:tc>
        <w:tc>
          <w:tcPr>
            <w:tcW w:type="dxa" w:w="66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Current rule</w:t>
            </w:r>
          </w:p>
        </w:tc>
      </w:tr>
      <w:tr>
        <w:trPr>
          <w:cantSplit/>
        </w:trPr>
        <w:tc>
          <w:tcPr>
            <w:tcW w:type="dxa" w:w="2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Filed name</w:t>
            </w:r>
          </w:p>
        </w:tc>
        <w:tc>
          <w:tcPr>
            <w:tcW w:type="dxa" w:w="66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First and last name as filed with the Board.</w:t>
            </w:r>
          </w:p>
        </w:tc>
      </w:tr>
      <w:tr>
        <w:trPr>
          <w:cantSplit/>
        </w:trPr>
        <w:tc>
          <w:tcPr>
            <w:tcW w:type="dxa" w:w="2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Registration title</w:t>
            </w:r>
          </w:p>
        </w:tc>
        <w:tc>
          <w:tcPr>
            <w:tcW w:type="dxa" w:w="66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“Registered Associate Marriage and Family Therapist” or “Registered Associate MFT.”</w:t>
            </w:r>
          </w:p>
        </w:tc>
      </w:tr>
      <w:tr>
        <w:trPr>
          <w:cantSplit/>
        </w:trPr>
        <w:tc>
          <w:tcPr>
            <w:tcW w:type="dxa" w:w="2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Registration number</w:t>
            </w:r>
          </w:p>
        </w:tc>
        <w:tc>
          <w:tcPr>
            <w:tcW w:type="dxa" w:w="66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The active AMFT registration number.</w:t>
            </w:r>
          </w:p>
        </w:tc>
      </w:tr>
      <w:tr>
        <w:trPr>
          <w:cantSplit/>
        </w:trPr>
        <w:tc>
          <w:tcPr>
            <w:tcW w:type="dxa" w:w="2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Employer or volunteer entity</w:t>
            </w:r>
          </w:p>
        </w:tc>
        <w:tc>
          <w:tcPr>
            <w:tcW w:type="dxa" w:w="66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The name of the employer or entity for which the AMFT volunteers.</w:t>
            </w:r>
          </w:p>
        </w:tc>
      </w:tr>
      <w:tr>
        <w:trPr>
          <w:cantSplit/>
        </w:trPr>
        <w:tc>
          <w:tcPr>
            <w:tcW w:type="dxa" w:w="2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Supervised status</w:t>
            </w:r>
          </w:p>
        </w:tc>
        <w:tc>
          <w:tcPr>
            <w:tcW w:type="dxa" w:w="66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 statement that the AMFT is supervised by a licensed person.</w:t>
            </w:r>
          </w:p>
        </w:tc>
      </w:tr>
      <w:tr>
        <w:trPr>
          <w:cantSplit/>
        </w:trPr>
        <w:tc>
          <w:tcPr>
            <w:tcW w:type="dxa" w:w="26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AMFT abbreviation</w:t>
            </w:r>
          </w:p>
        </w:tc>
        <w:tc>
          <w:tcPr>
            <w:tcW w:type="dxa" w:w="66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May appear only when “Registered Associate Marriage and Family Therapist” also appears.</w:t>
            </w:r>
          </w:p>
        </w:tc>
      </w:tr>
    </w:tbl>
    <w:p>
      <w:pPr>
        <w:keepNext w:val="0"/>
        <w:spacing w:before="0" w:after="0" w:line="240" w:lineRule="auto"/>
      </w:pPr>
    </w:p>
    <w:p>
      <w:pPr>
        <w:keepNext w:val="0"/>
        <w:spacing w:before="0" w:after="120" w:line="276" w:lineRule="auto"/>
      </w:pPr>
      <w:r>
        <w:rPr>
          <w:rFonts w:ascii="Aptos" w:hAnsi="Aptos"/>
          <w:b w:val="0"/>
          <w:i w:val="0"/>
          <w:sz w:val="21"/>
        </w:rPr>
        <w:t>The Board defines advertising broadly. Websites, professional directories, social-media profiles, electronic communications, business cards, signs, printed materials, and other public communications can qualify. Required information cannot be technically present yet hidden, remote, or difficult for a consumer to find.</w:t>
      </w:r>
    </w:p>
    <w:p>
      <w:pPr>
        <w:pStyle w:val="Heading2"/>
      </w:pPr>
      <w:r>
        <w:t>Complete vs. Incomplete Examples</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4500"/>
        <w:gridCol w:w="4740"/>
      </w:tblGrid>
      <w:tr>
        <w:trPr>
          <w:tblHeader w:val="true"/>
          <w:cantSplit/>
        </w:trPr>
        <w:tc>
          <w:tcPr>
            <w:tcW w:type="dxa" w:w="45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Example</w:t>
            </w:r>
          </w:p>
        </w:tc>
        <w:tc>
          <w:tcPr>
            <w:tcW w:type="dxa" w:w="47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Analysis</w:t>
            </w:r>
          </w:p>
        </w:tc>
      </w:tr>
      <w:tr>
        <w:trPr>
          <w:cantSplit/>
        </w:trPr>
        <w:tc>
          <w:tcPr>
            <w:tcW w:type="dxa" w:w="45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Jordan Lee, Registered Associate Marriage and Family Therapist, AMFT #123456, employed by Harbor Family Center, supervised by a licensed person.</w:t>
            </w:r>
          </w:p>
        </w:tc>
        <w:tc>
          <w:tcPr>
            <w:tcW w:type="dxa" w:w="47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Contains the core identity, number, employer, and supervision elements.</w:t>
            </w:r>
          </w:p>
        </w:tc>
      </w:tr>
      <w:tr>
        <w:trPr>
          <w:cantSplit/>
        </w:trPr>
        <w:tc>
          <w:tcPr>
            <w:tcW w:type="dxa" w:w="450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Jordan Lee, AMFT #123456, Couples Therapist.</w:t>
            </w:r>
          </w:p>
        </w:tc>
        <w:tc>
          <w:tcPr>
            <w:tcW w:type="dxa" w:w="47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Incomplete: “AMFT” cannot stand alone, employer is missing, and supervised status is missing; “Couples Therapist” may compound the impression of independent practice.</w:t>
            </w:r>
          </w:p>
        </w:tc>
      </w:tr>
      <w:tr>
        <w:trPr>
          <w:cantSplit/>
        </w:trPr>
        <w:tc>
          <w:tcPr>
            <w:tcW w:type="dxa" w:w="45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Jordan Lee, Registered Associate MFT, AMFT #123456. Click for supervision details.</w:t>
            </w:r>
          </w:p>
        </w:tc>
        <w:tc>
          <w:tcPr>
            <w:tcW w:type="dxa" w:w="47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Incomplete if employer and supervised status are not in the advertisement itself or are difficult to find.</w:t>
            </w:r>
          </w:p>
        </w:tc>
      </w:tr>
    </w:tbl>
    <w:p>
      <w:pPr>
        <w:keepNext w:val="0"/>
        <w:spacing w:before="0" w:after="0" w:line="240" w:lineRule="auto"/>
      </w:pP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CTA EXAM TIP  </w:t>
      </w:r>
      <w:r>
        <w:rPr>
          <w:rFonts w:ascii="Aptos" w:hAnsi="Aptos"/>
          <w:b w:val="0"/>
          <w:i w:val="0"/>
          <w:color w:val="0B2545"/>
          <w:sz w:val="20"/>
        </w:rPr>
        <w:t>When an item asks what is missing from an AMFT advertisement, check every element. Do not stop after spotting one omission.</w:t>
      </w:r>
    </w:p>
    <w:p>
      <w:pPr>
        <w:keepNext w:val="0"/>
        <w:spacing w:before="60" w:after="160" w:line="269" w:lineRule="auto"/>
        <w:ind w:left="140" w:right="140"/>
        <w:shd w:fill="E8EEF5"/>
        <w:pBdr>
          <w:top w:val="single" w:sz="8" w:space="3" w:color="7E9DBA"/>
          <w:left w:val="single" w:sz="8" w:space="3" w:color="7E9DBA"/>
          <w:bottom w:val="single" w:sz="8" w:space="3" w:color="7E9DBA"/>
          <w:right w:val="single" w:sz="8" w:space="3" w:color="7E9DBA"/>
        </w:pBdr>
      </w:pPr>
      <w:r>
        <w:rPr>
          <w:rFonts w:ascii="Aptos" w:hAnsi="Aptos"/>
          <w:b/>
          <w:i w:val="0"/>
          <w:color w:val="0B2545"/>
          <w:sz w:val="19"/>
        </w:rPr>
        <w:t xml:space="preserve">PAUSE AND DECIDE  </w:t>
      </w:r>
      <w:r>
        <w:rPr>
          <w:rFonts w:ascii="Aptos" w:hAnsi="Aptos"/>
          <w:b w:val="0"/>
          <w:i w:val="0"/>
          <w:color w:val="0B2545"/>
          <w:sz w:val="20"/>
        </w:rPr>
        <w:t>An employer publishes an AMFT’s directory profile without the employer’s own name and without a supervision statement. The AMFT did not write the profile. What is the best response?</w:t>
      </w:r>
    </w:p>
    <w:p>
      <w:pPr>
        <w:keepNext w:val="0"/>
        <w:spacing w:before="0" w:after="160" w:line="276" w:lineRule="auto"/>
      </w:pPr>
      <w:r>
        <w:rPr>
          <w:rFonts w:ascii="Aptos" w:hAnsi="Aptos"/>
          <w:b/>
          <w:i w:val="0"/>
          <w:color w:val="087F78"/>
          <w:sz w:val="21"/>
        </w:rPr>
        <w:t xml:space="preserve">Reasoning review. </w:t>
      </w:r>
      <w:r>
        <w:rPr>
          <w:rFonts w:ascii="Aptos" w:hAnsi="Aptos"/>
          <w:b w:val="0"/>
          <w:i w:val="0"/>
          <w:sz w:val="21"/>
        </w:rPr>
        <w:t>The AMFT should promptly request correction and avoid relying on authorship as a defense. Advertising by or on behalf of an AMFT must be compliant, and the associate should review employer-created advertising that presents the associate’s services.</w:t>
      </w:r>
    </w:p>
    <w:p>
      <w:pPr>
        <w:keepNext w:val="0"/>
        <w:spacing w:before="60" w:after="160" w:line="269" w:lineRule="auto"/>
        <w:ind w:left="140" w:right="140"/>
        <w:shd w:fill="FFF7E6"/>
        <w:pBdr>
          <w:top w:val="single" w:sz="8" w:space="3" w:color="D8A63C"/>
          <w:left w:val="single" w:sz="8" w:space="3" w:color="D8A63C"/>
          <w:bottom w:val="single" w:sz="8" w:space="3" w:color="D8A63C"/>
          <w:right w:val="single" w:sz="8" w:space="3" w:color="D8A63C"/>
        </w:pBdr>
      </w:pPr>
      <w:r>
        <w:rPr>
          <w:rFonts w:ascii="Aptos" w:hAnsi="Aptos"/>
          <w:b/>
          <w:i w:val="0"/>
          <w:color w:val="9A6A00"/>
          <w:sz w:val="19"/>
        </w:rPr>
        <w:t xml:space="preserve">COMMON TRAP  </w:t>
      </w:r>
      <w:r>
        <w:rPr>
          <w:rFonts w:ascii="Aptos" w:hAnsi="Aptos"/>
          <w:b w:val="0"/>
          <w:i w:val="0"/>
          <w:color w:val="0B2545"/>
          <w:sz w:val="20"/>
        </w:rPr>
        <w:t>Assuming a supervisor’s name or license number automatically cures missing associate identity, employer, or supervised-status information.</w:t>
      </w:r>
    </w:p>
    <w:p>
      <w:pPr>
        <w:pStyle w:val="Heading2"/>
      </w:pPr>
      <w:r>
        <w:t>Unit 3 Quick Check</w:t>
      </w:r>
    </w:p>
    <w:p>
      <w:pPr>
        <w:pStyle w:val="CTABullet"/>
      </w:pPr>
      <w:r>
        <w:rPr>
          <w:rFonts w:ascii="Aptos" w:hAnsi="Aptos"/>
          <w:b w:val="0"/>
          <w:i w:val="0"/>
          <w:sz w:val="21"/>
        </w:rPr>
        <w:t>Can you distinguish status disclosure, the BBS notice, and advertising?</w:t>
      </w:r>
    </w:p>
    <w:p>
      <w:pPr>
        <w:pStyle w:val="CTABullet"/>
      </w:pPr>
      <w:r>
        <w:rPr>
          <w:rFonts w:ascii="Aptos" w:hAnsi="Aptos"/>
          <w:b w:val="0"/>
          <w:i w:val="0"/>
          <w:sz w:val="21"/>
        </w:rPr>
        <w:t>Can you list all current AMFT advertising elements?</w:t>
      </w:r>
    </w:p>
    <w:p>
      <w:pPr>
        <w:pStyle w:val="CTABullet"/>
      </w:pPr>
      <w:r>
        <w:rPr>
          <w:rFonts w:ascii="Aptos" w:hAnsi="Aptos"/>
          <w:b w:val="0"/>
          <w:i w:val="0"/>
          <w:sz w:val="21"/>
        </w:rPr>
        <w:t>Can you explain why “AMFT” alone is not enough?</w:t>
      </w:r>
    </w:p>
    <w:p>
      <w:r>
        <w:br w:type="page"/>
      </w:r>
    </w:p>
    <w:p>
      <w:pPr>
        <w:pStyle w:val="Heading1"/>
      </w:pPr>
      <w:r>
        <w:t>Unit 4</w:t>
      </w:r>
    </w:p>
    <w:p>
      <w:pPr>
        <w:pStyle w:val="Title"/>
      </w:pPr>
      <w:r>
        <w:t>Supervised Practice and Role Accountability</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BIG IDEA  </w:t>
      </w:r>
      <w:r>
        <w:rPr>
          <w:rFonts w:ascii="Aptos" w:hAnsi="Aptos"/>
          <w:b w:val="0"/>
          <w:i w:val="0"/>
          <w:color w:val="0B2545"/>
          <w:sz w:val="20"/>
        </w:rPr>
        <w:t>Supervision is responsibility for and control of service quality—not casual consultation. The supervisor and supervisee each retain distinct duties.</w:t>
      </w:r>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LEGAL ANCHORS  </w:t>
      </w:r>
      <w:r>
        <w:rPr>
          <w:rFonts w:ascii="Aptos" w:hAnsi="Aptos"/>
          <w:b w:val="0"/>
          <w:i w:val="0"/>
          <w:color w:val="0B2545"/>
          <w:sz w:val="20"/>
        </w:rPr>
        <w:t>BPC §§ 4980.03(g), 4980.43, 4980.43.1–4980.43.5; 16 CCR §§ 1833–1834.</w:t>
      </w:r>
    </w:p>
    <w:p>
      <w:pPr>
        <w:pStyle w:val="Heading2"/>
      </w:pPr>
      <w:r>
        <w:t>What Supervision Means</w:t>
      </w:r>
    </w:p>
    <w:p>
      <w:pPr>
        <w:keepNext w:val="0"/>
        <w:spacing w:before="0" w:after="120" w:line="276" w:lineRule="auto"/>
      </w:pPr>
      <w:r>
        <w:rPr>
          <w:rFonts w:ascii="Aptos" w:hAnsi="Aptos"/>
          <w:b w:val="0"/>
          <w:i w:val="0"/>
          <w:sz w:val="21"/>
        </w:rPr>
        <w:t>California supervision includes responsibility for and control of the quality of mental health and related services provided by the supervisee. Peer discussion or consultation alone is not supervision and does not qualify as supervised experience.</w:t>
      </w:r>
    </w:p>
    <w:p>
      <w:pPr>
        <w:keepNext w:val="0"/>
        <w:spacing w:before="0" w:after="120" w:line="276" w:lineRule="auto"/>
      </w:pPr>
      <w:r>
        <w:rPr>
          <w:rFonts w:ascii="Aptos" w:hAnsi="Aptos"/>
          <w:b w:val="0"/>
          <w:i w:val="0"/>
          <w:sz w:val="21"/>
        </w:rPr>
        <w:t>Supervision includes evaluating whether the supervisee’s counseling matches education, training, and experience; reviewing assessment, diagnosis, and treatment decisions; monitoring services at the site and with the clientele served; addressing clinical dynamics; supporting compliance with law; and reviewing treatment records as appropriate.</w:t>
      </w:r>
    </w:p>
    <w:p>
      <w:pPr>
        <w:pStyle w:val="Heading2"/>
      </w:pPr>
      <w:r>
        <w:t>Supervisor and Supervisee Responsibilities</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4680"/>
        <w:gridCol w:w="4560"/>
      </w:tblGrid>
      <w:tr>
        <w:trPr>
          <w:tblHeader w:val="true"/>
          <w:cantSplit/>
        </w:trPr>
        <w:tc>
          <w:tcPr>
            <w:tcW w:type="dxa" w:w="468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6"/>
              </w:rPr>
              <w:t>Supervisor</w:t>
            </w:r>
          </w:p>
        </w:tc>
        <w:tc>
          <w:tcPr>
            <w:tcW w:type="dxa" w:w="456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6"/>
              </w:rPr>
              <w:t>Supervisee</w:t>
            </w:r>
          </w:p>
        </w:tc>
      </w:tr>
      <w:tr>
        <w:trPr>
          <w:cantSplit/>
        </w:trPr>
        <w:tc>
          <w:tcPr>
            <w:tcW w:type="dxa" w:w="46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Maintain qualifying, current, active California licensure and meet supervision requirements.</w:t>
            </w:r>
          </w:p>
        </w:tc>
        <w:tc>
          <w:tcPr>
            <w:tcW w:type="dxa" w:w="45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Confirm the supervisory relationship and practice only within current status, competence, setting, and scope.</w:t>
            </w:r>
          </w:p>
        </w:tc>
      </w:tr>
      <w:tr>
        <w:trPr>
          <w:cantSplit/>
        </w:trPr>
        <w:tc>
          <w:tcPr>
            <w:tcW w:type="dxa" w:w="468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Monitor service quality, assessment, diagnosis, treatment decisions, clientele, and site.</w:t>
            </w:r>
          </w:p>
        </w:tc>
        <w:tc>
          <w:tcPr>
            <w:tcW w:type="dxa" w:w="456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Bring uncertainty, risk, competence limits, and material changes to supervision promptly.</w:t>
            </w:r>
          </w:p>
        </w:tc>
      </w:tr>
      <w:tr>
        <w:trPr>
          <w:cantSplit/>
        </w:trPr>
        <w:tc>
          <w:tcPr>
            <w:tcW w:type="dxa" w:w="46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Know applicable LMFT laws and evaluate compliance.</w:t>
            </w:r>
          </w:p>
        </w:tc>
        <w:tc>
          <w:tcPr>
            <w:tcW w:type="dxa" w:w="45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Follow applicable law even if an employer gives conflicting instructions.</w:t>
            </w:r>
          </w:p>
        </w:tc>
      </w:tr>
      <w:tr>
        <w:trPr>
          <w:cantSplit/>
        </w:trPr>
        <w:tc>
          <w:tcPr>
            <w:tcW w:type="dxa" w:w="468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Provide required direct supervisor contact and arrange a qualified substitute when permitted and necessary.</w:t>
            </w:r>
          </w:p>
        </w:tc>
        <w:tc>
          <w:tcPr>
            <w:tcW w:type="dxa" w:w="456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Do not convert consultation, peer support, or delayed review into “supervision.”</w:t>
            </w:r>
          </w:p>
        </w:tc>
      </w:tr>
      <w:tr>
        <w:trPr>
          <w:cantSplit/>
        </w:trPr>
        <w:tc>
          <w:tcPr>
            <w:tcW w:type="dxa" w:w="46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Complete required agreements, assessments, and verification accurately.</w:t>
            </w:r>
          </w:p>
        </w:tc>
        <w:tc>
          <w:tcPr>
            <w:tcW w:type="dxa" w:w="45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Maintain weekly logs and other required records; do not claim unsupported hours.</w:t>
            </w:r>
          </w:p>
        </w:tc>
      </w:tr>
    </w:tbl>
    <w:p>
      <w:pPr>
        <w:keepNext w:val="0"/>
        <w:spacing w:before="0" w:after="0" w:line="240" w:lineRule="auto"/>
      </w:pPr>
    </w:p>
    <w:p>
      <w:pPr>
        <w:pStyle w:val="Heading2"/>
      </w:pPr>
      <w:r>
        <w:t>Direct Supervisor Contact: High-Yield Distinctions</w:t>
      </w:r>
    </w:p>
    <w:p>
      <w:pPr>
        <w:pStyle w:val="CTABullet"/>
      </w:pPr>
      <w:r>
        <w:rPr>
          <w:rFonts w:ascii="Aptos" w:hAnsi="Aptos"/>
          <w:b w:val="0"/>
          <w:i w:val="0"/>
          <w:sz w:val="21"/>
        </w:rPr>
        <w:t>At least one hour of direct supervisor contact is required in each week for which experience is credited, in each work setting.</w:t>
      </w:r>
    </w:p>
    <w:p>
      <w:pPr>
        <w:pStyle w:val="CTABullet"/>
      </w:pPr>
      <w:r>
        <w:rPr>
          <w:rFonts w:ascii="Aptos" w:hAnsi="Aptos"/>
          <w:b w:val="0"/>
          <w:i w:val="0"/>
          <w:sz w:val="21"/>
        </w:rPr>
        <w:t>An associate performing more than 10 hours of direct clinical counseling in a week in a setting needs at least one additional hour of direct supervisor contact for that setting.</w:t>
      </w:r>
    </w:p>
    <w:p>
      <w:pPr>
        <w:pStyle w:val="CTABullet"/>
      </w:pPr>
      <w:r>
        <w:rPr>
          <w:rFonts w:ascii="Aptos" w:hAnsi="Aptos"/>
          <w:b w:val="0"/>
          <w:i w:val="0"/>
          <w:sz w:val="21"/>
        </w:rPr>
        <w:t>Individual, triadic, and qualifying group supervision have defined structures; two-way real-time videoconferencing can satisfy face-to-face contact when requirements are met.</w:t>
      </w:r>
    </w:p>
    <w:p>
      <w:pPr>
        <w:pStyle w:val="CTABullet"/>
      </w:pPr>
      <w:r>
        <w:rPr>
          <w:rFonts w:ascii="Aptos" w:hAnsi="Aptos"/>
          <w:b w:val="0"/>
          <w:i w:val="0"/>
          <w:sz w:val="21"/>
        </w:rPr>
        <w:t>Direct supervisor contact must occur in the same week as the hours claimed. A qualified substitute may be arranged for temporary absences when requirements are satisfied.</w:t>
      </w:r>
    </w:p>
    <w:p>
      <w:pPr>
        <w:pStyle w:val="Heading2"/>
      </w:pPr>
      <w:r>
        <w:t>When Supervision Is Unavailable</w:t>
      </w:r>
    </w:p>
    <w:p>
      <w:pPr>
        <w:keepNext w:val="0"/>
        <w:spacing w:before="0" w:after="120" w:line="276" w:lineRule="auto"/>
      </w:pPr>
      <w:r>
        <w:rPr>
          <w:rFonts w:ascii="Aptos" w:hAnsi="Aptos"/>
          <w:b w:val="0"/>
          <w:i w:val="0"/>
          <w:sz w:val="21"/>
        </w:rPr>
        <w:t>The exam often tests sequence. If a nonurgent question can safely wait, the AMFT should defer the uncertain action and obtain lawful supervision. If immediate client protection is required, the AMFT should use emergency procedures and the best authorized resources available, then notify the supervisor and document the response. “My supervisor was unavailable” does not create independent authority.</w:t>
      </w:r>
    </w:p>
    <w:p>
      <w:pPr>
        <w:keepNext w:val="0"/>
        <w:spacing w:before="60" w:after="160" w:line="269" w:lineRule="auto"/>
        <w:ind w:left="140" w:right="140"/>
        <w:shd w:fill="E8EEF5"/>
        <w:pBdr>
          <w:top w:val="single" w:sz="8" w:space="3" w:color="7E9DBA"/>
          <w:left w:val="single" w:sz="8" w:space="3" w:color="7E9DBA"/>
          <w:bottom w:val="single" w:sz="8" w:space="3" w:color="7E9DBA"/>
          <w:right w:val="single" w:sz="8" w:space="3" w:color="7E9DBA"/>
        </w:pBdr>
      </w:pPr>
      <w:r>
        <w:rPr>
          <w:rFonts w:ascii="Aptos" w:hAnsi="Aptos"/>
          <w:b/>
          <w:i w:val="0"/>
          <w:color w:val="0B2545"/>
          <w:sz w:val="19"/>
        </w:rPr>
        <w:t xml:space="preserve">PAUSE AND DECIDE  </w:t>
      </w:r>
      <w:r>
        <w:rPr>
          <w:rFonts w:ascii="Aptos" w:hAnsi="Aptos"/>
          <w:b w:val="0"/>
          <w:i w:val="0"/>
          <w:color w:val="0B2545"/>
          <w:sz w:val="20"/>
        </w:rPr>
        <w:t>An AMFT is asked to begin a specialized intervention she has never used. Her supervisor says, “Read about it and we will discuss it next month.” What is the best next step?</w:t>
      </w:r>
    </w:p>
    <w:p>
      <w:pPr>
        <w:keepNext w:val="0"/>
        <w:spacing w:before="0" w:after="160" w:line="276" w:lineRule="auto"/>
      </w:pPr>
      <w:r>
        <w:rPr>
          <w:rFonts w:ascii="Aptos" w:hAnsi="Aptos"/>
          <w:b/>
          <w:i w:val="0"/>
          <w:color w:val="087F78"/>
          <w:sz w:val="21"/>
        </w:rPr>
        <w:t xml:space="preserve">Reasoning review. </w:t>
      </w:r>
      <w:r>
        <w:rPr>
          <w:rFonts w:ascii="Aptos" w:hAnsi="Aptos"/>
          <w:b w:val="0"/>
          <w:i w:val="0"/>
          <w:sz w:val="21"/>
        </w:rPr>
        <w:t>Do not begin merely because the service falls within LMFT scope. The AMFT should identify the competence and supervision gap, obtain timely qualified direction or training, and defer or arrange an appropriate alternative if safe practice cannot be supported.</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CTA EXAM TIP  </w:t>
      </w:r>
      <w:r>
        <w:rPr>
          <w:rFonts w:ascii="Aptos" w:hAnsi="Aptos"/>
          <w:b w:val="0"/>
          <w:i w:val="0"/>
          <w:color w:val="0B2545"/>
          <w:sz w:val="20"/>
        </w:rPr>
        <w:t>Assign the action to the correct role. The supervisor controls and monitors quality; the AMFT must disclose uncertainty, seek direction, and refrain from unsupported practice.</w:t>
      </w:r>
    </w:p>
    <w:p>
      <w:pPr>
        <w:keepNext w:val="0"/>
        <w:spacing w:before="60" w:after="160" w:line="269" w:lineRule="auto"/>
        <w:ind w:left="140" w:right="140"/>
        <w:shd w:fill="FFF7E6"/>
        <w:pBdr>
          <w:top w:val="single" w:sz="8" w:space="3" w:color="D8A63C"/>
          <w:left w:val="single" w:sz="8" w:space="3" w:color="D8A63C"/>
          <w:bottom w:val="single" w:sz="8" w:space="3" w:color="D8A63C"/>
          <w:right w:val="single" w:sz="8" w:space="3" w:color="D8A63C"/>
        </w:pBdr>
      </w:pPr>
      <w:r>
        <w:rPr>
          <w:rFonts w:ascii="Aptos" w:hAnsi="Aptos"/>
          <w:b/>
          <w:i w:val="0"/>
          <w:color w:val="9A6A00"/>
          <w:sz w:val="19"/>
        </w:rPr>
        <w:t xml:space="preserve">COMMON TRAP  </w:t>
      </w:r>
      <w:r>
        <w:rPr>
          <w:rFonts w:ascii="Aptos" w:hAnsi="Aptos"/>
          <w:b w:val="0"/>
          <w:i w:val="0"/>
          <w:color w:val="0B2545"/>
          <w:sz w:val="20"/>
        </w:rPr>
        <w:t>Choosing an independent clinical action because it sounds helpful before resolving supervision and competence.</w:t>
      </w:r>
    </w:p>
    <w:p>
      <w:pPr>
        <w:pStyle w:val="Heading2"/>
      </w:pPr>
      <w:r>
        <w:t>Unit 4 Quick Check</w:t>
      </w:r>
    </w:p>
    <w:p>
      <w:pPr>
        <w:pStyle w:val="CTABullet"/>
      </w:pPr>
      <w:r>
        <w:rPr>
          <w:rFonts w:ascii="Aptos" w:hAnsi="Aptos"/>
          <w:b w:val="0"/>
          <w:i w:val="0"/>
          <w:sz w:val="21"/>
        </w:rPr>
        <w:t>Can you explain why consultation is not automatically supervision?</w:t>
      </w:r>
    </w:p>
    <w:p>
      <w:pPr>
        <w:pStyle w:val="CTABullet"/>
      </w:pPr>
      <w:r>
        <w:rPr>
          <w:rFonts w:ascii="Aptos" w:hAnsi="Aptos"/>
          <w:b w:val="0"/>
          <w:i w:val="0"/>
          <w:sz w:val="21"/>
        </w:rPr>
        <w:t>Can you identify duties that remain with the AMFT?</w:t>
      </w:r>
    </w:p>
    <w:p>
      <w:pPr>
        <w:pStyle w:val="CTABullet"/>
      </w:pPr>
      <w:r>
        <w:rPr>
          <w:rFonts w:ascii="Aptos" w:hAnsi="Aptos"/>
          <w:b w:val="0"/>
          <w:i w:val="0"/>
          <w:sz w:val="21"/>
        </w:rPr>
        <w:t>Can you sequence action when supervision is temporarily unavailable?</w:t>
      </w:r>
    </w:p>
    <w:p>
      <w:r>
        <w:br w:type="page"/>
      </w:r>
    </w:p>
    <w:p>
      <w:pPr>
        <w:pStyle w:val="Heading1"/>
      </w:pPr>
      <w:r>
        <w:t>Unit 5</w:t>
      </w:r>
    </w:p>
    <w:p>
      <w:pPr>
        <w:pStyle w:val="Title"/>
      </w:pPr>
      <w:r>
        <w:t>Work Settings, Employment, Payment, and Business Boundaries</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BIG IDEA  </w:t>
      </w:r>
      <w:r>
        <w:rPr>
          <w:rFonts w:ascii="Aptos" w:hAnsi="Aptos"/>
          <w:b w:val="0"/>
          <w:i w:val="0"/>
          <w:color w:val="0B2545"/>
          <w:sz w:val="20"/>
        </w:rPr>
        <w:t>A job title or contract label does not control. Examine the actual setting, employment relationship, payment flow, business interest, supervision, and service location.</w:t>
      </w:r>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LEGAL ANCHORS  </w:t>
      </w:r>
      <w:r>
        <w:rPr>
          <w:rFonts w:ascii="Aptos" w:hAnsi="Aptos"/>
          <w:b w:val="0"/>
          <w:i w:val="0"/>
          <w:color w:val="0B2545"/>
          <w:sz w:val="20"/>
        </w:rPr>
        <w:t>BPC §§ 4980.01, 4980.05–4980.06, 4980.43, 4980.43.3–4980.43.4, 4984.01; 16 CCR §§ 1833, 1833.05.</w:t>
      </w:r>
    </w:p>
    <w:p>
      <w:pPr>
        <w:pStyle w:val="Heading2"/>
      </w:pPr>
      <w:r>
        <w:t>Start With the Setting</w:t>
      </w:r>
    </w:p>
    <w:p>
      <w:pPr>
        <w:keepNext w:val="0"/>
        <w:spacing w:before="0" w:after="120" w:line="276" w:lineRule="auto"/>
      </w:pPr>
      <w:r>
        <w:rPr>
          <w:rFonts w:ascii="Aptos" w:hAnsi="Aptos"/>
          <w:b w:val="0"/>
          <w:i w:val="0"/>
          <w:sz w:val="21"/>
        </w:rPr>
        <w:t>An exempt setting is one described by statute, such as specified governmental, educational, charitable, or nonprofit contexts. A nonexempt setting is any setting that does not qualify as exempt. Private practice and professional corporation are specific nonexempt settings. A licensed or registered person working in an exempt setting remains under Board jurisdiction.</w:t>
      </w:r>
    </w:p>
    <w:p>
      <w:pPr>
        <w:keepNext w:val="0"/>
        <w:spacing w:before="0" w:after="120" w:line="276" w:lineRule="auto"/>
      </w:pPr>
      <w:r>
        <w:rPr>
          <w:rFonts w:ascii="Aptos" w:hAnsi="Aptos"/>
          <w:b w:val="0"/>
          <w:i w:val="0"/>
          <w:sz w:val="21"/>
        </w:rPr>
        <w:t>Do not assume an organization is exempt merely because it is nonprofit, receives government funding, or calls itself a community agency. Apply the statutory criteria to the actual entity and arrangement.</w:t>
      </w:r>
    </w:p>
    <w:p>
      <w:pPr>
        <w:pStyle w:val="Heading2"/>
      </w:pPr>
      <w:r>
        <w:t>The Setting–Status Screen</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400"/>
        <w:gridCol w:w="6840"/>
      </w:tblGrid>
      <w:tr>
        <w:trPr>
          <w:tblHeader w:val="true"/>
          <w:cantSplit/>
        </w:trPr>
        <w:tc>
          <w:tcPr>
            <w:tcW w:type="dxa" w:w="24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Step</w:t>
            </w:r>
          </w:p>
        </w:tc>
        <w:tc>
          <w:tcPr>
            <w:tcW w:type="dxa" w:w="68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Question</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1. Identify setting</w:t>
            </w:r>
          </w:p>
        </w:tc>
        <w:tc>
          <w:tcPr>
            <w:tcW w:type="dxa" w:w="68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Exempt, nonexempt, private practice, professional corporation, or unclear?</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2. Verify status</w:t>
            </w:r>
          </w:p>
        </w:tc>
        <w:tc>
          <w:tcPr>
            <w:tcW w:type="dxa" w:w="68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Active registration/license? Trainee? Registration applicant under the narrow 90-day rule? Licensure applicant?</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3. Verify relationship</w:t>
            </w:r>
          </w:p>
        </w:tc>
        <w:tc>
          <w:tcPr>
            <w:tcW w:type="dxa" w:w="68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Employee or genuine volunteer—not independent contractor?</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4. Verify supervision</w:t>
            </w:r>
          </w:p>
        </w:tc>
        <w:tc>
          <w:tcPr>
            <w:tcW w:type="dxa" w:w="68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Qualified supervisor, required contact, agreements, access, and oversight?</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5. Inspect payment</w:t>
            </w:r>
          </w:p>
        </w:tc>
        <w:tc>
          <w:tcPr>
            <w:tcW w:type="dxa" w:w="68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Paid only by employer if employed; no client remuneration?</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6. Inspect business interest</w:t>
            </w:r>
          </w:p>
        </w:tc>
        <w:tc>
          <w:tcPr>
            <w:tcW w:type="dxa" w:w="68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No ownership, room rental, supply costs, or payment of employer obligations?</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7. Verify location</w:t>
            </w:r>
          </w:p>
        </w:tc>
        <w:tc>
          <w:tcPr>
            <w:tcW w:type="dxa" w:w="68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 place where the employer permits business to be conducted?</w:t>
            </w:r>
          </w:p>
        </w:tc>
      </w:tr>
    </w:tbl>
    <w:p>
      <w:pPr>
        <w:keepNext w:val="0"/>
        <w:spacing w:before="0" w:after="0" w:line="240" w:lineRule="auto"/>
      </w:pPr>
    </w:p>
    <w:p>
      <w:pPr>
        <w:pStyle w:val="Heading2"/>
      </w:pPr>
      <w:r>
        <w:t>Employee or Volunteer—Not Independent Contractor</w:t>
      </w:r>
    </w:p>
    <w:p>
      <w:pPr>
        <w:keepNext w:val="0"/>
        <w:spacing w:before="0" w:after="120" w:line="276" w:lineRule="auto"/>
      </w:pPr>
      <w:r>
        <w:rPr>
          <w:rFonts w:ascii="Aptos" w:hAnsi="Aptos"/>
          <w:b w:val="0"/>
          <w:i w:val="0"/>
          <w:sz w:val="21"/>
        </w:rPr>
        <w:t>A trainee, AMFT, or applicant for licensure may perform mental health and related services only as an employee or volunteer, not as an independent contractor. If employed, the associate documents employment through W-2 records or the current-year pay stub when applicable. A volunteer documents volunteer status through the employer.</w:t>
      </w:r>
    </w:p>
    <w:p>
      <w:pPr>
        <w:pStyle w:val="Heading2"/>
      </w:pPr>
      <w:r>
        <w:t>Payment and Proprietary Interest</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4680"/>
        <w:gridCol w:w="4560"/>
      </w:tblGrid>
      <w:tr>
        <w:trPr>
          <w:tblHeader w:val="true"/>
          <w:cantSplit/>
        </w:trPr>
        <w:tc>
          <w:tcPr>
            <w:tcW w:type="dxa" w:w="468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Permitted direction</w:t>
            </w:r>
          </w:p>
        </w:tc>
        <w:tc>
          <w:tcPr>
            <w:tcW w:type="dxa" w:w="456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Prohibited pattern</w:t>
            </w:r>
          </w:p>
        </w:tc>
      </w:tr>
      <w:tr>
        <w:trPr>
          <w:cantSplit/>
        </w:trPr>
        <w:tc>
          <w:tcPr>
            <w:tcW w:type="dxa" w:w="46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Employee is paid by the employer.</w:t>
            </w:r>
          </w:p>
        </w:tc>
        <w:tc>
          <w:tcPr>
            <w:tcW w:type="dxa" w:w="45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Associate receives payment directly from clients.</w:t>
            </w:r>
          </w:p>
        </w:tc>
      </w:tr>
      <w:tr>
        <w:trPr>
          <w:cantSplit/>
        </w:trPr>
        <w:tc>
          <w:tcPr>
            <w:tcW w:type="dxa" w:w="468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Volunteer may receive documented reimbursement of actual expenses under statutory conditions.</w:t>
            </w:r>
          </w:p>
        </w:tc>
        <w:tc>
          <w:tcPr>
            <w:tcW w:type="dxa" w:w="456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Associate leases or rents therapy space from the employer as a condition of practice.</w:t>
            </w:r>
          </w:p>
        </w:tc>
      </w:tr>
      <w:tr>
        <w:trPr>
          <w:cantSplit/>
        </w:trPr>
        <w:tc>
          <w:tcPr>
            <w:tcW w:type="dxa" w:w="46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Qualifying stipends or loan-repayment arrangements may be treated as employment under the statute.</w:t>
            </w:r>
          </w:p>
        </w:tc>
        <w:tc>
          <w:tcPr>
            <w:tcW w:type="dxa" w:w="45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Associate pays for furnishings, supplies, equipment, marketing, or other employer obligations.</w:t>
            </w:r>
          </w:p>
        </w:tc>
      </w:tr>
      <w:tr>
        <w:trPr>
          <w:cantSplit/>
        </w:trPr>
        <w:tc>
          <w:tcPr>
            <w:tcW w:type="dxa" w:w="468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Employer controls client payment or reimbursement arrangements.</w:t>
            </w:r>
          </w:p>
        </w:tc>
        <w:tc>
          <w:tcPr>
            <w:tcW w:type="dxa" w:w="456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Associate holds a proprietary interest in the employer’s business.</w:t>
            </w:r>
          </w:p>
        </w:tc>
      </w:tr>
    </w:tbl>
    <w:p>
      <w:pPr>
        <w:keepNext w:val="0"/>
        <w:spacing w:before="0" w:after="0" w:line="240" w:lineRule="auto"/>
      </w:pPr>
    </w:p>
    <w:p>
      <w:pPr>
        <w:pStyle w:val="Heading2"/>
      </w:pPr>
      <w:r>
        <w:t>Private Practice and the 90-Day Rule</w:t>
      </w:r>
    </w:p>
    <w:p>
      <w:pPr>
        <w:keepNext w:val="0"/>
        <w:spacing w:before="0" w:after="120" w:line="276" w:lineRule="auto"/>
      </w:pPr>
      <w:r>
        <w:rPr>
          <w:rFonts w:ascii="Aptos" w:hAnsi="Aptos"/>
          <w:b w:val="0"/>
          <w:i w:val="0"/>
          <w:sz w:val="21"/>
        </w:rPr>
        <w:t>An applicant awaiting an initial AMFT registration may be able to count postdegree hours gained before issuance only when the Board receives the application within 90 days of the qualifying degree, applicable Live Scan and other conditions are met, the registration is later granted, and the work occurs in a qualifying setting. The applicant may not work or volunteer in private practice or a professional corporation until the AMFT registration is issued.</w:t>
      </w:r>
    </w:p>
    <w:p>
      <w:pPr>
        <w:keepNext w:val="0"/>
        <w:spacing w:before="0" w:after="120" w:line="276" w:lineRule="auto"/>
      </w:pPr>
      <w:r>
        <w:rPr>
          <w:rFonts w:ascii="Aptos" w:hAnsi="Aptos"/>
          <w:b w:val="0"/>
          <w:i w:val="0"/>
          <w:sz w:val="21"/>
        </w:rPr>
        <w:t>A later, subsequent AMFT registration is different. Current law requires passage of the California Law and Ethics Examination for issuance of a subsequent registration, and a person issued a subsequent AMFT registration may not work or volunteer in private practice.</w:t>
      </w:r>
    </w:p>
    <w:p>
      <w:pPr>
        <w:pStyle w:val="Heading2"/>
      </w:pPr>
      <w:r>
        <w:t>Location and Telehealth</w:t>
      </w:r>
    </w:p>
    <w:p>
      <w:pPr>
        <w:keepNext w:val="0"/>
        <w:spacing w:before="0" w:after="120" w:line="276" w:lineRule="auto"/>
      </w:pPr>
      <w:r>
        <w:rPr>
          <w:rFonts w:ascii="Aptos" w:hAnsi="Aptos"/>
          <w:b w:val="0"/>
          <w:i w:val="0"/>
          <w:sz w:val="21"/>
        </w:rPr>
        <w:t>Associates and trainees may provide services through telehealth when the service is within the LMFT scope, but telehealth does not erase status, setting, employer, supervision, disclosure, or location rules. Services must be performed where the employer permits business to be conducted, and all separate telehealth laws and standards remain applicable.</w:t>
      </w:r>
    </w:p>
    <w:p>
      <w:pPr>
        <w:keepNext w:val="0"/>
        <w:spacing w:before="60" w:after="160" w:line="269" w:lineRule="auto"/>
        <w:ind w:left="140" w:right="140"/>
        <w:shd w:fill="E8EEF5"/>
        <w:pBdr>
          <w:top w:val="single" w:sz="8" w:space="3" w:color="7E9DBA"/>
          <w:left w:val="single" w:sz="8" w:space="3" w:color="7E9DBA"/>
          <w:bottom w:val="single" w:sz="8" w:space="3" w:color="7E9DBA"/>
          <w:right w:val="single" w:sz="8" w:space="3" w:color="7E9DBA"/>
        </w:pBdr>
      </w:pPr>
      <w:r>
        <w:rPr>
          <w:rFonts w:ascii="Aptos" w:hAnsi="Aptos"/>
          <w:b/>
          <w:i w:val="0"/>
          <w:color w:val="0B2545"/>
          <w:sz w:val="19"/>
        </w:rPr>
        <w:t xml:space="preserve">PAUSE AND DECIDE  </w:t>
      </w:r>
      <w:r>
        <w:rPr>
          <w:rFonts w:ascii="Aptos" w:hAnsi="Aptos"/>
          <w:b w:val="0"/>
          <w:i w:val="0"/>
          <w:color w:val="0B2545"/>
          <w:sz w:val="20"/>
        </w:rPr>
        <w:t>A private-practice owner offers an AMFT a “contractor” role. Clients will pay the AMFT, who will keep 60 percent and pay the practice a room-and-marketing fee. The owner will provide weekly supervision. Is supervision enough?</w:t>
      </w:r>
    </w:p>
    <w:p>
      <w:pPr>
        <w:keepNext w:val="0"/>
        <w:spacing w:before="0" w:after="160" w:line="276" w:lineRule="auto"/>
      </w:pPr>
      <w:r>
        <w:rPr>
          <w:rFonts w:ascii="Aptos" w:hAnsi="Aptos"/>
          <w:b/>
          <w:i w:val="0"/>
          <w:color w:val="087F78"/>
          <w:sz w:val="21"/>
        </w:rPr>
        <w:t xml:space="preserve">Reasoning review. </w:t>
      </w:r>
      <w:r>
        <w:rPr>
          <w:rFonts w:ascii="Aptos" w:hAnsi="Aptos"/>
          <w:b w:val="0"/>
          <w:i w:val="0"/>
          <w:sz w:val="21"/>
        </w:rPr>
        <w:t>No. The arrangement contains multiple independent defects: contractor status, direct client remuneration, room/marketing payments, and a business arrangement inconsistent with the AMFT’s required employee-or-volunteer role. Supervision cannot legalize the structure.</w:t>
      </w:r>
    </w:p>
    <w:p>
      <w:pPr>
        <w:keepNext w:val="0"/>
        <w:spacing w:before="60" w:after="160" w:line="269" w:lineRule="auto"/>
        <w:ind w:left="140" w:right="140"/>
        <w:shd w:fill="FFF7E6"/>
        <w:pBdr>
          <w:top w:val="single" w:sz="8" w:space="3" w:color="D8A63C"/>
          <w:left w:val="single" w:sz="8" w:space="3" w:color="D8A63C"/>
          <w:bottom w:val="single" w:sz="8" w:space="3" w:color="D8A63C"/>
          <w:right w:val="single" w:sz="8" w:space="3" w:color="D8A63C"/>
        </w:pBdr>
      </w:pPr>
      <w:r>
        <w:rPr>
          <w:rFonts w:ascii="Aptos" w:hAnsi="Aptos"/>
          <w:b/>
          <w:i w:val="0"/>
          <w:color w:val="9A6A00"/>
          <w:sz w:val="19"/>
        </w:rPr>
        <w:t xml:space="preserve">COMMON TRAP  </w:t>
      </w:r>
      <w:r>
        <w:rPr>
          <w:rFonts w:ascii="Aptos" w:hAnsi="Aptos"/>
          <w:b w:val="0"/>
          <w:i w:val="0"/>
          <w:color w:val="0B2545"/>
          <w:sz w:val="20"/>
        </w:rPr>
        <w:t>Accepting the employer’s label instead of examining the actual payment, control, and business arrangement.</w:t>
      </w:r>
    </w:p>
    <w:p>
      <w:pPr>
        <w:pStyle w:val="Heading2"/>
      </w:pPr>
      <w:r>
        <w:t>Unit 5 Quick Check</w:t>
      </w:r>
    </w:p>
    <w:p>
      <w:pPr>
        <w:pStyle w:val="CTABullet"/>
      </w:pPr>
      <w:r>
        <w:rPr>
          <w:rFonts w:ascii="Aptos" w:hAnsi="Aptos"/>
          <w:b w:val="0"/>
          <w:i w:val="0"/>
          <w:sz w:val="21"/>
        </w:rPr>
        <w:t>Can you apply the seven-step setting-status screen?</w:t>
      </w:r>
    </w:p>
    <w:p>
      <w:pPr>
        <w:pStyle w:val="CTABullet"/>
      </w:pPr>
      <w:r>
        <w:rPr>
          <w:rFonts w:ascii="Aptos" w:hAnsi="Aptos"/>
          <w:b w:val="0"/>
          <w:i w:val="0"/>
          <w:sz w:val="21"/>
        </w:rPr>
        <w:t>Can you explain why direct client payment is prohibited for an AMFT?</w:t>
      </w:r>
    </w:p>
    <w:p>
      <w:pPr>
        <w:pStyle w:val="CTABullet"/>
      </w:pPr>
      <w:r>
        <w:rPr>
          <w:rFonts w:ascii="Aptos" w:hAnsi="Aptos"/>
          <w:b w:val="0"/>
          <w:i w:val="0"/>
          <w:sz w:val="21"/>
        </w:rPr>
        <w:t>Can you distinguish initial-registration waiting status from a subsequent registration?</w:t>
      </w:r>
    </w:p>
    <w:p>
      <w:r>
        <w:br w:type="page"/>
      </w:r>
    </w:p>
    <w:p>
      <w:pPr>
        <w:pStyle w:val="Heading1"/>
      </w:pPr>
      <w:r>
        <w:t>Unit 6</w:t>
      </w:r>
    </w:p>
    <w:p>
      <w:pPr>
        <w:pStyle w:val="Title"/>
      </w:pPr>
      <w:r>
        <w:t>Professional Responsibility and Enforcement Through the LMFT Lens</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BIG IDEA  </w:t>
      </w:r>
      <w:r>
        <w:rPr>
          <w:rFonts w:ascii="Aptos" w:hAnsi="Aptos"/>
          <w:b w:val="0"/>
          <w:i w:val="0"/>
          <w:color w:val="0B2545"/>
          <w:sz w:val="20"/>
        </w:rPr>
        <w:t>Identify and stop the controlling violation before debating sanctions. Public protection and accurate professional identity come first.</w:t>
      </w:r>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LEGAL ANCHORS  </w:t>
      </w:r>
      <w:r>
        <w:rPr>
          <w:rFonts w:ascii="Aptos" w:hAnsi="Aptos"/>
          <w:b w:val="0"/>
          <w:i w:val="0"/>
          <w:color w:val="0B2545"/>
          <w:sz w:val="20"/>
        </w:rPr>
        <w:t>BPC §§ 4980.30, 4982–4983; 16 CCR §§ 1811, 1845; relevant LMFT professional ethical standards.</w:t>
      </w:r>
    </w:p>
    <w:p>
      <w:pPr>
        <w:pStyle w:val="Heading2"/>
      </w:pPr>
      <w:r>
        <w:t>High-Yield Role-Identity Violations</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400"/>
        <w:gridCol w:w="6840"/>
      </w:tblGrid>
      <w:tr>
        <w:trPr>
          <w:tblHeader w:val="true"/>
          <w:cantSplit/>
        </w:trPr>
        <w:tc>
          <w:tcPr>
            <w:tcW w:type="dxa" w:w="24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Concern</w:t>
            </w:r>
          </w:p>
        </w:tc>
        <w:tc>
          <w:tcPr>
            <w:tcW w:type="dxa" w:w="68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What to recognize</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Unauthorized practice</w:t>
            </w:r>
          </w:p>
        </w:tc>
        <w:tc>
          <w:tcPr>
            <w:tcW w:type="dxa" w:w="68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Providing or advertising marriage and family therapy without the required legal authority or outside an applicable exception.</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Status misrepresentation</w:t>
            </w:r>
          </w:p>
        </w:tc>
        <w:tc>
          <w:tcPr>
            <w:tcW w:type="dxa" w:w="68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Implying that registration, experience, or an academic degree equals independent LMFT licensure.</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Misleading advertising</w:t>
            </w:r>
          </w:p>
        </w:tc>
        <w:tc>
          <w:tcPr>
            <w:tcW w:type="dxa" w:w="68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Omitting or obscuring required identity, registration, employer, or supervision information.</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Unlawful work arrangement</w:t>
            </w:r>
          </w:p>
        </w:tc>
        <w:tc>
          <w:tcPr>
            <w:tcW w:type="dxa" w:w="68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Contractor practice, client payment, ownership interest, rent, or payment of employer expenses.</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Supervision failure</w:t>
            </w:r>
          </w:p>
        </w:tc>
        <w:tc>
          <w:tcPr>
            <w:tcW w:type="dxa" w:w="68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Providing services without required supervision or treating consultation as supervision.</w:t>
            </w:r>
          </w:p>
        </w:tc>
      </w:tr>
      <w:tr>
        <w:trPr>
          <w:cantSplit/>
        </w:trPr>
        <w:tc>
          <w:tcPr>
            <w:tcW w:type="dxa" w:w="24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Competence failure</w:t>
            </w:r>
          </w:p>
        </w:tc>
        <w:tc>
          <w:tcPr>
            <w:tcW w:type="dxa" w:w="68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Providing services beyond education, training, or experience without adequate support.</w:t>
            </w:r>
          </w:p>
        </w:tc>
      </w:tr>
    </w:tbl>
    <w:p>
      <w:pPr>
        <w:keepNext w:val="0"/>
        <w:spacing w:before="0" w:after="0" w:line="240" w:lineRule="auto"/>
      </w:pPr>
    </w:p>
    <w:p>
      <w:pPr>
        <w:pStyle w:val="Heading2"/>
      </w:pPr>
      <w:r>
        <w:t>Corrective Action Sequence</w:t>
      </w:r>
    </w:p>
    <w:p>
      <w:pPr>
        <w:pStyle w:val="CTANumber"/>
        <w:numPr>
          <w:ilvl w:val="0"/>
          <w:numId w:val="101"/>
        </w:numPr>
      </w:pPr>
      <w:r>
        <w:rPr>
          <w:rFonts w:ascii="Aptos" w:hAnsi="Aptos"/>
          <w:b w:val="0"/>
          <w:i w:val="0"/>
          <w:sz w:val="21"/>
        </w:rPr>
        <w:t>Protect the client or public from immediate risk.</w:t>
      </w:r>
    </w:p>
    <w:p>
      <w:pPr>
        <w:pStyle w:val="CTANumber"/>
        <w:numPr>
          <w:ilvl w:val="0"/>
          <w:numId w:val="101"/>
        </w:numPr>
      </w:pPr>
      <w:r>
        <w:rPr>
          <w:rFonts w:ascii="Aptos" w:hAnsi="Aptos"/>
          <w:b w:val="0"/>
          <w:i w:val="0"/>
          <w:sz w:val="21"/>
        </w:rPr>
        <w:t>Stop or pause the unlawful, unsupported, or misleading conduct.</w:t>
      </w:r>
    </w:p>
    <w:p>
      <w:pPr>
        <w:pStyle w:val="CTANumber"/>
        <w:numPr>
          <w:ilvl w:val="0"/>
          <w:numId w:val="101"/>
        </w:numPr>
      </w:pPr>
      <w:r>
        <w:rPr>
          <w:rFonts w:ascii="Aptos" w:hAnsi="Aptos"/>
          <w:b w:val="0"/>
          <w:i w:val="0"/>
          <w:sz w:val="21"/>
        </w:rPr>
        <w:t>Clarify the facts, status, setting, and controlling authority.</w:t>
      </w:r>
    </w:p>
    <w:p>
      <w:pPr>
        <w:pStyle w:val="CTANumber"/>
        <w:numPr>
          <w:ilvl w:val="0"/>
          <w:numId w:val="101"/>
        </w:numPr>
      </w:pPr>
      <w:r>
        <w:rPr>
          <w:rFonts w:ascii="Aptos" w:hAnsi="Aptos"/>
          <w:b w:val="0"/>
          <w:i w:val="0"/>
          <w:sz w:val="21"/>
        </w:rPr>
        <w:t>Notify the appropriate supervisor and employer; obtain qualified consultation when needed.</w:t>
      </w:r>
    </w:p>
    <w:p>
      <w:pPr>
        <w:pStyle w:val="CTANumber"/>
        <w:numPr>
          <w:ilvl w:val="0"/>
          <w:numId w:val="101"/>
        </w:numPr>
      </w:pPr>
      <w:r>
        <w:rPr>
          <w:rFonts w:ascii="Aptos" w:hAnsi="Aptos"/>
          <w:b w:val="0"/>
          <w:i w:val="0"/>
          <w:sz w:val="21"/>
        </w:rPr>
        <w:t>Correct the advertisement, disclosure, record, work arrangement, or service plan.</w:t>
      </w:r>
    </w:p>
    <w:p>
      <w:pPr>
        <w:pStyle w:val="CTANumber"/>
        <w:numPr>
          <w:ilvl w:val="0"/>
          <w:numId w:val="101"/>
        </w:numPr>
      </w:pPr>
      <w:r>
        <w:rPr>
          <w:rFonts w:ascii="Aptos" w:hAnsi="Aptos"/>
          <w:b w:val="0"/>
          <w:i w:val="0"/>
          <w:sz w:val="21"/>
        </w:rPr>
        <w:t>Document material facts, decisions, communications, and follow-up accurately.</w:t>
      </w:r>
    </w:p>
    <w:p>
      <w:pPr>
        <w:pStyle w:val="CTANumber"/>
        <w:numPr>
          <w:ilvl w:val="0"/>
          <w:numId w:val="101"/>
        </w:numPr>
      </w:pPr>
      <w:r>
        <w:rPr>
          <w:rFonts w:ascii="Aptos" w:hAnsi="Aptos"/>
          <w:b w:val="0"/>
          <w:i w:val="0"/>
          <w:sz w:val="21"/>
        </w:rPr>
        <w:t>Complete any required reporting or Board response based on the actual rule and facts.</w:t>
      </w:r>
    </w:p>
    <w:p>
      <w:pPr>
        <w:keepNext w:val="0"/>
        <w:spacing w:before="0" w:after="120" w:line="276" w:lineRule="auto"/>
      </w:pPr>
      <w:r>
        <w:rPr>
          <w:rFonts w:ascii="Aptos" w:hAnsi="Aptos"/>
          <w:b w:val="0"/>
          <w:i w:val="0"/>
          <w:sz w:val="21"/>
        </w:rPr>
        <w:t>Consultation is often useful, but it is not a substitute for stopping clearly prohibited conduct. Documentation records a sound decision; it does not create permission for an unlawful arrangement.</w:t>
      </w:r>
    </w:p>
    <w:p>
      <w:pPr>
        <w:keepNext w:val="0"/>
        <w:spacing w:before="60" w:after="160" w:line="269" w:lineRule="auto"/>
        <w:ind w:left="140" w:right="140"/>
        <w:shd w:fill="E8EEF5"/>
        <w:pBdr>
          <w:top w:val="single" w:sz="8" w:space="3" w:color="7E9DBA"/>
          <w:left w:val="single" w:sz="8" w:space="3" w:color="7E9DBA"/>
          <w:bottom w:val="single" w:sz="8" w:space="3" w:color="7E9DBA"/>
          <w:right w:val="single" w:sz="8" w:space="3" w:color="7E9DBA"/>
        </w:pBdr>
      </w:pPr>
      <w:r>
        <w:rPr>
          <w:rFonts w:ascii="Aptos" w:hAnsi="Aptos"/>
          <w:b/>
          <w:i w:val="0"/>
          <w:color w:val="0B2545"/>
          <w:sz w:val="19"/>
        </w:rPr>
        <w:t xml:space="preserve">PAUSE AND DECIDE  </w:t>
      </w:r>
      <w:r>
        <w:rPr>
          <w:rFonts w:ascii="Aptos" w:hAnsi="Aptos"/>
          <w:b w:val="0"/>
          <w:i w:val="0"/>
          <w:color w:val="0B2545"/>
          <w:sz w:val="20"/>
        </w:rPr>
        <w:t>An AMFT discovers that her website has described her as “licensed” for three weeks. No client has complained. What should she do first?</w:t>
      </w:r>
    </w:p>
    <w:p>
      <w:pPr>
        <w:keepNext w:val="0"/>
        <w:spacing w:before="0" w:after="160" w:line="276" w:lineRule="auto"/>
      </w:pPr>
      <w:r>
        <w:rPr>
          <w:rFonts w:ascii="Aptos" w:hAnsi="Aptos"/>
          <w:b/>
          <w:i w:val="0"/>
          <w:color w:val="087F78"/>
          <w:sz w:val="21"/>
        </w:rPr>
        <w:t xml:space="preserve">Reasoning review. </w:t>
      </w:r>
      <w:r>
        <w:rPr>
          <w:rFonts w:ascii="Aptos" w:hAnsi="Aptos"/>
          <w:b w:val="0"/>
          <w:i w:val="0"/>
          <w:sz w:val="21"/>
        </w:rPr>
        <w:t>Correct or remove the inaccurate representation promptly, then notify the supervisor/employer and evaluate whether additional client communication, documentation, or legal/Board consultation is required. Waiting for harm or a complaint is not the best response.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CTA EXAM TIP  </w:t>
      </w:r>
      <w:r>
        <w:rPr>
          <w:rFonts w:ascii="Aptos" w:hAnsi="Aptos"/>
          <w:b w:val="0"/>
          <w:i w:val="0"/>
          <w:color w:val="0B2545"/>
          <w:sz w:val="20"/>
        </w:rPr>
        <w:t>On enforcement questions, sanctions are often downstream. First identify the violation and the immediate protective or corrective action.</w:t>
      </w:r>
    </w:p>
    <w:p>
      <w:pPr>
        <w:keepNext w:val="0"/>
        <w:spacing w:before="60" w:after="160" w:line="269" w:lineRule="auto"/>
        <w:ind w:left="140" w:right="140"/>
        <w:shd w:fill="FFF7E6"/>
        <w:pBdr>
          <w:top w:val="single" w:sz="8" w:space="3" w:color="D8A63C"/>
          <w:left w:val="single" w:sz="8" w:space="3" w:color="D8A63C"/>
          <w:bottom w:val="single" w:sz="8" w:space="3" w:color="D8A63C"/>
          <w:right w:val="single" w:sz="8" w:space="3" w:color="D8A63C"/>
        </w:pBdr>
      </w:pPr>
      <w:r>
        <w:rPr>
          <w:rFonts w:ascii="Aptos" w:hAnsi="Aptos"/>
          <w:b/>
          <w:i w:val="0"/>
          <w:color w:val="9A6A00"/>
          <w:sz w:val="19"/>
        </w:rPr>
        <w:t xml:space="preserve">COMMON TRAP  </w:t>
      </w:r>
      <w:r>
        <w:rPr>
          <w:rFonts w:ascii="Aptos" w:hAnsi="Aptos"/>
          <w:b w:val="0"/>
          <w:i w:val="0"/>
          <w:color w:val="0B2545"/>
          <w:sz w:val="20"/>
        </w:rPr>
        <w:t>Memorizing disciplinary labels while missing the action that prevents continued public deception or client harm.</w:t>
      </w:r>
    </w:p>
    <w:p>
      <w:pPr>
        <w:pStyle w:val="Heading2"/>
      </w:pPr>
      <w:r>
        <w:t>Unit 6 Quick Check</w:t>
      </w:r>
    </w:p>
    <w:p>
      <w:pPr>
        <w:pStyle w:val="CTABullet"/>
      </w:pPr>
      <w:r>
        <w:rPr>
          <w:rFonts w:ascii="Aptos" w:hAnsi="Aptos"/>
          <w:b w:val="0"/>
          <w:i w:val="0"/>
          <w:sz w:val="21"/>
        </w:rPr>
        <w:t>Can you identify the specific status or setting violation?</w:t>
      </w:r>
    </w:p>
    <w:p>
      <w:pPr>
        <w:pStyle w:val="CTABullet"/>
      </w:pPr>
      <w:r>
        <w:rPr>
          <w:rFonts w:ascii="Aptos" w:hAnsi="Aptos"/>
          <w:b w:val="0"/>
          <w:i w:val="0"/>
          <w:sz w:val="21"/>
        </w:rPr>
        <w:t>Can you choose correction before punishment when the question asks for the next step?</w:t>
      </w:r>
    </w:p>
    <w:p>
      <w:pPr>
        <w:pStyle w:val="CTABullet"/>
      </w:pPr>
      <w:r>
        <w:rPr>
          <w:rFonts w:ascii="Aptos" w:hAnsi="Aptos"/>
          <w:b w:val="0"/>
          <w:i w:val="0"/>
          <w:sz w:val="21"/>
        </w:rPr>
        <w:t>Can you explain why consultation and documentation are not permission?</w:t>
      </w:r>
    </w:p>
    <w:p>
      <w:r>
        <w:br w:type="page"/>
      </w:r>
    </w:p>
    <w:p>
      <w:pPr>
        <w:pStyle w:val="Heading1"/>
      </w:pPr>
      <w:r>
        <w:t>Unit 7</w:t>
      </w:r>
    </w:p>
    <w:p>
      <w:pPr>
        <w:pStyle w:val="Title"/>
      </w:pPr>
      <w:r>
        <w:t>AMFT Registration and the California Examination Pathway</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BIG IDEA  </w:t>
      </w:r>
      <w:r>
        <w:rPr>
          <w:rFonts w:ascii="Aptos" w:hAnsi="Aptos"/>
          <w:b w:val="0"/>
          <w:i w:val="0"/>
          <w:color w:val="0B2545"/>
          <w:sz w:val="20"/>
        </w:rPr>
        <w:t>TAKEN, PASSED, ELIGIBLE, RENEWED, and LICENSED are different legal and administrative states. Do not use them interchangeably.</w:t>
      </w:r>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LEGAL ANCHORS  </w:t>
      </w:r>
      <w:r>
        <w:rPr>
          <w:rFonts w:ascii="Aptos" w:hAnsi="Aptos"/>
          <w:b w:val="0"/>
          <w:i w:val="0"/>
          <w:color w:val="0B2545"/>
          <w:sz w:val="20"/>
        </w:rPr>
        <w:t>BPC §§ 4980.397–4980.399, 4980.40, 4980.50, 4984.01; current BBS Law and Ethics and LMFT clinical-exam guidance.</w:t>
      </w:r>
    </w:p>
    <w:p>
      <w:pPr>
        <w:pStyle w:val="Heading2"/>
      </w:pPr>
      <w:r>
        <w:t>The Five States</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900"/>
        <w:gridCol w:w="7340"/>
      </w:tblGrid>
      <w:tr>
        <w:trPr>
          <w:tblHeader w:val="true"/>
          <w:cantSplit/>
        </w:trPr>
        <w:tc>
          <w:tcPr>
            <w:tcW w:type="dxa" w:w="19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State</w:t>
            </w:r>
          </w:p>
        </w:tc>
        <w:tc>
          <w:tcPr>
            <w:tcW w:type="dxa" w:w="73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Meaning</w:t>
            </w:r>
          </w:p>
        </w:tc>
      </w:tr>
      <w:tr>
        <w:trPr>
          <w:cantSplit/>
        </w:trPr>
        <w:tc>
          <w:tcPr>
            <w:tcW w:type="dxa" w:w="19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TAKEN / ATTEMPTED</w:t>
            </w:r>
          </w:p>
        </w:tc>
        <w:tc>
          <w:tcPr>
            <w:tcW w:type="dxa" w:w="73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The candidate appeared and participated. Until passage, an AMFT generally must take the correct Law and Ethics Examination during each annual renewal cycle.</w:t>
            </w:r>
          </w:p>
        </w:tc>
      </w:tr>
      <w:tr>
        <w:trPr>
          <w:cantSplit/>
        </w:trPr>
        <w:tc>
          <w:tcPr>
            <w:tcW w:type="dxa" w:w="19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PASSED</w:t>
            </w:r>
          </w:p>
        </w:tc>
        <w:tc>
          <w:tcPr>
            <w:tcW w:type="dxa" w:w="73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The passing requirement for licensure and for a subsequent AMFT registration has been met; the exam does not need to be retaken for ordinary annual renewal under current guidance.</w:t>
            </w:r>
          </w:p>
        </w:tc>
      </w:tr>
      <w:tr>
        <w:trPr>
          <w:cantSplit/>
        </w:trPr>
        <w:tc>
          <w:tcPr>
            <w:tcW w:type="dxa" w:w="19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ELIGIBLE</w:t>
            </w:r>
          </w:p>
        </w:tc>
        <w:tc>
          <w:tcPr>
            <w:tcW w:type="dxa" w:w="73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The Board has authorized a particular exam after required prerequisites. Eligibility is not passage.</w:t>
            </w:r>
          </w:p>
        </w:tc>
      </w:tr>
      <w:tr>
        <w:trPr>
          <w:cantSplit/>
        </w:trPr>
        <w:tc>
          <w:tcPr>
            <w:tcW w:type="dxa" w:w="19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RENEWED</w:t>
            </w:r>
          </w:p>
        </w:tc>
        <w:tc>
          <w:tcPr>
            <w:tcW w:type="dxa" w:w="73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The AMFT registration continues for another annual period after all renewal conditions are met. Renewal is not licensure.</w:t>
            </w:r>
          </w:p>
        </w:tc>
      </w:tr>
      <w:tr>
        <w:trPr>
          <w:cantSplit/>
        </w:trPr>
        <w:tc>
          <w:tcPr>
            <w:tcW w:type="dxa" w:w="19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LICENSED</w:t>
            </w:r>
          </w:p>
        </w:tc>
        <w:tc>
          <w:tcPr>
            <w:tcW w:type="dxa" w:w="73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The Board has issued the LMFT license after all education, experience, examination, application, and issuance requirements are satisfied.</w:t>
            </w:r>
          </w:p>
        </w:tc>
      </w:tr>
    </w:tbl>
    <w:p>
      <w:pPr>
        <w:keepNext w:val="0"/>
        <w:spacing w:before="0" w:after="0" w:line="240" w:lineRule="auto"/>
      </w:pPr>
    </w:p>
    <w:p>
      <w:pPr>
        <w:pStyle w:val="Heading2"/>
      </w:pPr>
      <w:r>
        <w:t>Annual AMFT Renewal</w:t>
      </w:r>
    </w:p>
    <w:p>
      <w:pPr>
        <w:keepNext w:val="0"/>
        <w:spacing w:before="0" w:after="120" w:line="276" w:lineRule="auto"/>
      </w:pPr>
      <w:r>
        <w:rPr>
          <w:rFonts w:ascii="Aptos" w:hAnsi="Aptos"/>
          <w:b w:val="0"/>
          <w:i w:val="0"/>
          <w:sz w:val="21"/>
        </w:rPr>
        <w:t>An AMFT registration expires annually. Renewal requires the current Board process, fee, required disclosures, and compliance with renewal conditions. Until the Law and Ethics Examination is passed, the AMFT must participate in the correct LMFT Law and Ethics Examination during each renewal cycle. Current law also requires at least three hours of California law-and-ethics continuing education during each renewal period, whether or not the exam has been passed.</w:t>
      </w:r>
    </w:p>
    <w:p>
      <w:pPr>
        <w:keepNext w:val="0"/>
        <w:spacing w:before="60" w:after="160" w:line="269" w:lineRule="auto"/>
        <w:ind w:left="140" w:right="140"/>
        <w:shd w:fill="FFF7E6"/>
        <w:pBdr>
          <w:top w:val="single" w:sz="8" w:space="3" w:color="D8A63C"/>
          <w:left w:val="single" w:sz="8" w:space="3" w:color="D8A63C"/>
          <w:bottom w:val="single" w:sz="8" w:space="3" w:color="D8A63C"/>
          <w:right w:val="single" w:sz="8" w:space="3" w:color="D8A63C"/>
        </w:pBdr>
      </w:pPr>
      <w:r>
        <w:rPr>
          <w:rFonts w:ascii="Aptos" w:hAnsi="Aptos"/>
          <w:b/>
          <w:i w:val="0"/>
          <w:color w:val="9A6A00"/>
          <w:sz w:val="19"/>
        </w:rPr>
        <w:t xml:space="preserve">NO-CE DISTINCTION  </w:t>
      </w:r>
      <w:r>
        <w:rPr>
          <w:rFonts w:ascii="Aptos" w:hAnsi="Aptos"/>
          <w:b w:val="0"/>
          <w:i w:val="0"/>
          <w:color w:val="0B2545"/>
          <w:sz w:val="20"/>
        </w:rPr>
        <w:t>CTA-EP-001 is an exam-preparation program and does not award CE credit. Completing this module does not satisfy the separate Board-required law-and-ethics CE obligation for AMFT renewal.</w:t>
      </w:r>
    </w:p>
    <w:p>
      <w:pPr>
        <w:pStyle w:val="Heading2"/>
      </w:pPr>
      <w:r>
        <w:t>Failure, Retest, and No-Show</w:t>
      </w:r>
    </w:p>
    <w:p>
      <w:pPr>
        <w:keepNext w:val="0"/>
        <w:spacing w:before="0" w:after="120" w:line="276" w:lineRule="auto"/>
      </w:pPr>
      <w:r>
        <w:rPr>
          <w:rFonts w:ascii="Aptos" w:hAnsi="Aptos"/>
          <w:b w:val="0"/>
          <w:i w:val="0"/>
          <w:sz w:val="21"/>
        </w:rPr>
        <w:t>A candidate who fails may apply to retest under current Board procedures. Current BBS guidance uses a 90-day waiting period between attempts so the candidate receives a different examination form. A no-show is not treated as an attempt for the renewal participation requirement; the candidate must reapply and take the exam. Scheduling, fees, forms, and eligibility notices can change and should always be verified on official pages.</w:t>
      </w:r>
    </w:p>
    <w:p>
      <w:pPr>
        <w:pStyle w:val="Heading2"/>
      </w:pPr>
      <w:r>
        <w:t>Six-Year Registration Limit and Subsequent Registration</w:t>
      </w:r>
    </w:p>
    <w:p>
      <w:pPr>
        <w:keepNext w:val="0"/>
        <w:spacing w:before="0" w:after="120" w:line="276" w:lineRule="auto"/>
      </w:pPr>
      <w:r>
        <w:rPr>
          <w:rFonts w:ascii="Aptos" w:hAnsi="Aptos"/>
          <w:b w:val="0"/>
          <w:i w:val="0"/>
          <w:sz w:val="21"/>
        </w:rPr>
        <w:t>An initial AMFT registration may be renewed a maximum of five times and may not be renewed or reinstated beyond six years from the end of the month in which it was issued. When further renewals are unavailable, a qualified applicant may seek a subsequent registration. Passage of the Law and Ethics Examination is required before a subsequent registration may be issued, and the subsequent registrant may not work or volunteer in private practice.</w:t>
      </w:r>
    </w:p>
    <w:p>
      <w:pPr>
        <w:pStyle w:val="Heading2"/>
      </w:pPr>
      <w:r>
        <w:t>Pathway Without Conflation</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000"/>
        <w:gridCol w:w="8240"/>
      </w:tblGrid>
      <w:tr>
        <w:trPr>
          <w:tblHeader w:val="true"/>
          <w:cantSplit/>
        </w:trPr>
        <w:tc>
          <w:tcPr>
            <w:tcW w:type="dxa" w:w="10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Stage</w:t>
            </w:r>
          </w:p>
        </w:tc>
        <w:tc>
          <w:tcPr>
            <w:tcW w:type="dxa" w:w="82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Milestone</w:t>
            </w:r>
          </w:p>
        </w:tc>
      </w:tr>
      <w:tr>
        <w:trPr>
          <w:cantSplit/>
        </w:trPr>
        <w:tc>
          <w:tcPr>
            <w:tcW w:type="dxa" w:w="1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1</w:t>
            </w:r>
          </w:p>
        </w:tc>
        <w:tc>
          <w:tcPr>
            <w:tcW w:type="dxa" w:w="82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Qualifying degree and AMFT registration pathway</w:t>
            </w:r>
          </w:p>
        </w:tc>
      </w:tr>
      <w:tr>
        <w:trPr>
          <w:cantSplit/>
        </w:trPr>
        <w:tc>
          <w:tcPr>
            <w:tcW w:type="dxa" w:w="1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2</w:t>
            </w:r>
          </w:p>
        </w:tc>
        <w:tc>
          <w:tcPr>
            <w:tcW w:type="dxa" w:w="82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Supervised experience under lawful AMFT conditions</w:t>
            </w:r>
          </w:p>
        </w:tc>
      </w:tr>
      <w:tr>
        <w:trPr>
          <w:cantSplit/>
        </w:trPr>
        <w:tc>
          <w:tcPr>
            <w:tcW w:type="dxa" w:w="1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3</w:t>
            </w:r>
          </w:p>
        </w:tc>
        <w:tc>
          <w:tcPr>
            <w:tcW w:type="dxa" w:w="82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Take and pass the LMFT California Law and Ethics Examination</w:t>
            </w:r>
          </w:p>
        </w:tc>
      </w:tr>
      <w:tr>
        <w:trPr>
          <w:cantSplit/>
        </w:trPr>
        <w:tc>
          <w:tcPr>
            <w:tcW w:type="dxa" w:w="1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4</w:t>
            </w:r>
          </w:p>
        </w:tc>
        <w:tc>
          <w:tcPr>
            <w:tcW w:type="dxa" w:w="82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Complete experience/education and obtain approval of the Application for Licensure</w:t>
            </w:r>
          </w:p>
        </w:tc>
      </w:tr>
      <w:tr>
        <w:trPr>
          <w:cantSplit/>
        </w:trPr>
        <w:tc>
          <w:tcPr>
            <w:tcW w:type="dxa" w:w="1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5</w:t>
            </w:r>
          </w:p>
        </w:tc>
        <w:tc>
          <w:tcPr>
            <w:tcW w:type="dxa" w:w="82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Receive eligibility and pass the clinical examination required at that time</w:t>
            </w:r>
          </w:p>
        </w:tc>
      </w:tr>
      <w:tr>
        <w:trPr>
          <w:cantSplit/>
        </w:trPr>
        <w:tc>
          <w:tcPr>
            <w:tcW w:type="dxa" w:w="1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6</w:t>
            </w:r>
          </w:p>
        </w:tc>
        <w:tc>
          <w:tcPr>
            <w:tcW w:type="dxa" w:w="82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Request and receive initial LMFT license issuance</w:t>
            </w:r>
          </w:p>
        </w:tc>
      </w:tr>
    </w:tbl>
    <w:p>
      <w:pPr>
        <w:keepNext w:val="0"/>
        <w:spacing w:before="0" w:after="0" w:line="240" w:lineRule="auto"/>
      </w:pPr>
    </w:p>
    <w:p>
      <w:pPr>
        <w:keepNext w:val="0"/>
        <w:spacing w:before="60" w:after="160" w:line="269" w:lineRule="auto"/>
        <w:ind w:left="140" w:right="140"/>
        <w:shd w:fill="E8EEF5"/>
        <w:pBdr>
          <w:top w:val="single" w:sz="8" w:space="3" w:color="7E9DBA"/>
          <w:left w:val="single" w:sz="8" w:space="3" w:color="7E9DBA"/>
          <w:bottom w:val="single" w:sz="8" w:space="3" w:color="7E9DBA"/>
          <w:right w:val="single" w:sz="8" w:space="3" w:color="7E9DBA"/>
        </w:pBdr>
      </w:pPr>
      <w:r>
        <w:rPr>
          <w:rFonts w:ascii="Aptos" w:hAnsi="Aptos"/>
          <w:b/>
          <w:i w:val="0"/>
          <w:color w:val="0B2545"/>
          <w:sz w:val="19"/>
        </w:rPr>
        <w:t xml:space="preserve">PAUSE AND DECIDE  </w:t>
      </w:r>
      <w:r>
        <w:rPr>
          <w:rFonts w:ascii="Aptos" w:hAnsi="Aptos"/>
          <w:b w:val="0"/>
          <w:i w:val="0"/>
          <w:color w:val="0B2545"/>
          <w:sz w:val="20"/>
        </w:rPr>
        <w:t>An AMFT took but did not pass the Law and Ethics Examination during the renewal cycle. Has the candidate met every examination-related condition for a subsequent registration?</w:t>
      </w:r>
    </w:p>
    <w:p>
      <w:pPr>
        <w:keepNext w:val="0"/>
        <w:spacing w:before="0" w:after="160" w:line="276" w:lineRule="auto"/>
      </w:pPr>
      <w:r>
        <w:rPr>
          <w:rFonts w:ascii="Aptos" w:hAnsi="Aptos"/>
          <w:b/>
          <w:i w:val="0"/>
          <w:color w:val="087F78"/>
          <w:sz w:val="21"/>
        </w:rPr>
        <w:t xml:space="preserve">Reasoning review. </w:t>
      </w:r>
      <w:r>
        <w:rPr>
          <w:rFonts w:ascii="Aptos" w:hAnsi="Aptos"/>
          <w:b w:val="0"/>
          <w:i w:val="0"/>
          <w:sz w:val="21"/>
        </w:rPr>
        <w:t>No. Taking the exam can satisfy the annual participation requirement for renewal, but passage is required for a subsequent registration and for LMFT licensure. TAKEN and PASSED are not equivalent.</w:t>
      </w:r>
    </w:p>
    <w:p>
      <w:pPr>
        <w:keepNext w:val="0"/>
        <w:spacing w:before="60" w:after="160" w:line="269" w:lineRule="auto"/>
        <w:ind w:left="140" w:right="140"/>
        <w:shd w:fill="F7F7F7"/>
        <w:pBdr>
          <w:top w:val="single" w:sz="8" w:space="3" w:color="97A1AF"/>
          <w:left w:val="single" w:sz="8" w:space="3" w:color="97A1AF"/>
          <w:bottom w:val="single" w:sz="8" w:space="3" w:color="97A1AF"/>
          <w:right w:val="single" w:sz="8" w:space="3" w:color="97A1AF"/>
        </w:pBdr>
      </w:pPr>
      <w:r>
        <w:rPr>
          <w:rFonts w:ascii="Aptos" w:hAnsi="Aptos"/>
          <w:b/>
          <w:i w:val="0"/>
          <w:color w:val="404B5A"/>
          <w:sz w:val="19"/>
        </w:rPr>
        <w:t xml:space="preserve">CURRENT-SOURCE CHECK  </w:t>
      </w:r>
      <w:r>
        <w:rPr>
          <w:rFonts w:ascii="Aptos" w:hAnsi="Aptos"/>
          <w:b w:val="0"/>
          <w:i w:val="0"/>
          <w:color w:val="0B2545"/>
          <w:sz w:val="20"/>
        </w:rPr>
        <w:t>Verify application procedures, vendor instructions, fees, deadlines, and accommodation steps on the BBS and official testing-vendor pages before acting. Do not rely on a study guide for administrative details.</w:t>
      </w:r>
    </w:p>
    <w:p>
      <w:pPr>
        <w:keepNext w:val="0"/>
        <w:spacing w:before="60" w:after="160" w:line="269" w:lineRule="auto"/>
        <w:ind w:left="140" w:right="140"/>
        <w:shd w:fill="FFF7E6"/>
        <w:pBdr>
          <w:top w:val="single" w:sz="8" w:space="3" w:color="D8A63C"/>
          <w:left w:val="single" w:sz="8" w:space="3" w:color="D8A63C"/>
          <w:bottom w:val="single" w:sz="8" w:space="3" w:color="D8A63C"/>
          <w:right w:val="single" w:sz="8" w:space="3" w:color="D8A63C"/>
        </w:pBdr>
      </w:pPr>
      <w:r>
        <w:rPr>
          <w:rFonts w:ascii="Aptos" w:hAnsi="Aptos"/>
          <w:b/>
          <w:i w:val="0"/>
          <w:color w:val="9A6A00"/>
          <w:sz w:val="19"/>
        </w:rPr>
        <w:t xml:space="preserve">COMMON TRAP  </w:t>
      </w:r>
      <w:r>
        <w:rPr>
          <w:rFonts w:ascii="Aptos" w:hAnsi="Aptos"/>
          <w:b w:val="0"/>
          <w:i w:val="0"/>
          <w:color w:val="0B2545"/>
          <w:sz w:val="20"/>
        </w:rPr>
        <w:t>Treating an attempt as passage, renewal as licensure, or passage as automatic clinical-exam eligibility.</w:t>
      </w:r>
    </w:p>
    <w:p>
      <w:pPr>
        <w:pStyle w:val="Heading2"/>
      </w:pPr>
      <w:r>
        <w:t>Unit 7 Quick Check</w:t>
      </w:r>
    </w:p>
    <w:p>
      <w:pPr>
        <w:pStyle w:val="CTABullet"/>
      </w:pPr>
      <w:r>
        <w:rPr>
          <w:rFonts w:ascii="Aptos" w:hAnsi="Aptos"/>
          <w:b w:val="0"/>
          <w:i w:val="0"/>
          <w:sz w:val="21"/>
        </w:rPr>
        <w:t>Can you distinguish TAKEN, PASSED, ELIGIBLE, RENEWED, and LICENSED?</w:t>
      </w:r>
    </w:p>
    <w:p>
      <w:pPr>
        <w:pStyle w:val="CTABullet"/>
      </w:pPr>
      <w:r>
        <w:rPr>
          <w:rFonts w:ascii="Aptos" w:hAnsi="Aptos"/>
          <w:b w:val="0"/>
          <w:i w:val="0"/>
          <w:sz w:val="21"/>
        </w:rPr>
        <w:t>Can you state the separate annual CE obligation without describing this program as CE?</w:t>
      </w:r>
    </w:p>
    <w:p>
      <w:pPr>
        <w:pStyle w:val="CTABullet"/>
      </w:pPr>
      <w:r>
        <w:rPr>
          <w:rFonts w:ascii="Aptos" w:hAnsi="Aptos"/>
          <w:b w:val="0"/>
          <w:i w:val="0"/>
          <w:sz w:val="21"/>
        </w:rPr>
        <w:t>Can you identify the extra private-practice restriction on a subsequent registration?</w:t>
      </w:r>
    </w:p>
    <w:p>
      <w:r>
        <w:br w:type="page"/>
      </w:r>
    </w:p>
    <w:p>
      <w:pPr>
        <w:pStyle w:val="Heading1"/>
      </w:pPr>
      <w:r>
        <w:t>Unit 8</w:t>
      </w:r>
    </w:p>
    <w:p>
      <w:pPr>
        <w:pStyle w:val="Title"/>
      </w:pPr>
      <w:r>
        <w:t>Examination Distinctions and Integrated Application</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BIG IDEA  </w:t>
      </w:r>
      <w:r>
        <w:rPr>
          <w:rFonts w:ascii="Aptos" w:hAnsi="Aptos"/>
          <w:b w:val="0"/>
          <w:i w:val="0"/>
          <w:color w:val="0B2545"/>
          <w:sz w:val="20"/>
        </w:rPr>
        <w:t>The LMFT California Law and Ethics Examination remains a separate state-specific requirement. A proposed clinical-exam transition does not absorb or replace it.</w:t>
      </w:r>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LEGAL ANCHORS  </w:t>
      </w:r>
      <w:r>
        <w:rPr>
          <w:rFonts w:ascii="Aptos" w:hAnsi="Aptos"/>
          <w:b w:val="0"/>
          <w:i w:val="0"/>
          <w:color w:val="0B2545"/>
          <w:sz w:val="20"/>
        </w:rPr>
        <w:t>BBS California Law and Ethics Examination page; BBS LMFT Clinical Examination page; BBS AMFTRB Transition Update, Agenda Item 25 (May 2026).</w:t>
      </w:r>
    </w:p>
    <w:p>
      <w:pPr>
        <w:pStyle w:val="Heading2"/>
      </w:pPr>
      <w:r>
        <w:t>Three Examination References You Must Keep Separate</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3250"/>
        <w:gridCol w:w="3600"/>
        <w:gridCol w:w="2390"/>
      </w:tblGrid>
      <w:tr>
        <w:trPr>
          <w:tblHeader w:val="true"/>
          <w:cantSplit/>
        </w:trPr>
        <w:tc>
          <w:tcPr>
            <w:tcW w:type="dxa" w:w="325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6"/>
              </w:rPr>
              <w:t>Examination</w:t>
            </w:r>
          </w:p>
        </w:tc>
        <w:tc>
          <w:tcPr>
            <w:tcW w:type="dxa" w:w="36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6"/>
              </w:rPr>
              <w:t>Current role as of August 2, 2026</w:t>
            </w:r>
          </w:p>
        </w:tc>
        <w:tc>
          <w:tcPr>
            <w:tcW w:type="dxa" w:w="239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6"/>
              </w:rPr>
              <w:t>CTA-EP-001 boundary</w:t>
            </w:r>
          </w:p>
        </w:tc>
      </w:tr>
      <w:tr>
        <w:trPr>
          <w:cantSplit/>
        </w:trPr>
        <w:tc>
          <w:tcPr>
            <w:tcW w:type="dxa" w:w="325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6"/>
              </w:rPr>
              <w:t>LMFT California Law and Ethics Examination</w:t>
            </w:r>
          </w:p>
        </w:tc>
        <w:tc>
          <w:tcPr>
            <w:tcW w:type="dxa" w:w="36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Current, state-specific examination for California LMFT law and ethics.</w:t>
            </w:r>
          </w:p>
        </w:tc>
        <w:tc>
          <w:tcPr>
            <w:tcW w:type="dxa" w:w="239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CTA-EP-001 prepares for this examination.</w:t>
            </w:r>
          </w:p>
        </w:tc>
      </w:tr>
      <w:tr>
        <w:trPr>
          <w:cantSplit/>
        </w:trPr>
        <w:tc>
          <w:tcPr>
            <w:tcW w:type="dxa" w:w="325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6"/>
              </w:rPr>
              <w:t>California LMFT Clinical Examination</w:t>
            </w:r>
          </w:p>
        </w:tc>
        <w:tc>
          <w:tcPr>
            <w:tcW w:type="dxa" w:w="360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Current clinical examination identified by BBS guidance as one of the examinations required for California LMFT licensure.</w:t>
            </w:r>
          </w:p>
        </w:tc>
        <w:tc>
          <w:tcPr>
            <w:tcW w:type="dxa" w:w="239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CTA-EP-001 does not prepare for it.</w:t>
            </w:r>
          </w:p>
        </w:tc>
      </w:tr>
      <w:tr>
        <w:trPr>
          <w:cantSplit/>
        </w:trPr>
        <w:tc>
          <w:tcPr>
            <w:tcW w:type="dxa" w:w="325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6"/>
              </w:rPr>
              <w:t>AMFTRB National Examination</w:t>
            </w:r>
          </w:p>
        </w:tc>
        <w:tc>
          <w:tcPr>
            <w:tcW w:type="dxa" w:w="360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National MFT examination proposed by BBS as the future California clinical examination.</w:t>
            </w:r>
          </w:p>
        </w:tc>
        <w:tc>
          <w:tcPr>
            <w:tcW w:type="dxa" w:w="239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6"/>
              </w:rPr>
              <w:t>Transition is pending; CTA-EP-001 does not prepare for it.</w:t>
            </w:r>
          </w:p>
        </w:tc>
      </w:tr>
    </w:tbl>
    <w:p>
      <w:pPr>
        <w:keepNext w:val="0"/>
        <w:spacing w:before="0" w:after="0" w:line="240" w:lineRule="auto"/>
      </w:pPr>
    </w:p>
    <w:p>
      <w:pPr>
        <w:pStyle w:val="Heading2"/>
      </w:pPr>
      <w:r>
        <w:t>Current Transition Status</w:t>
      </w:r>
    </w:p>
    <w:p>
      <w:pPr>
        <w:keepNext w:val="0"/>
        <w:spacing w:before="0" w:after="120" w:line="276" w:lineRule="auto"/>
      </w:pPr>
      <w:r>
        <w:rPr>
          <w:rFonts w:ascii="Aptos" w:hAnsi="Aptos"/>
          <w:b w:val="0"/>
          <w:i w:val="0"/>
          <w:sz w:val="21"/>
        </w:rPr>
        <w:t>As of August 2, 2026, BBS materials describe a proposed transition from the California LMFT Clinical Examination to the AMFTRB National Examination, with a projected July 1, 2027 implementation date. Updated regulatory language was expected to return to the Board in August 2026. Because regulatory and implementation work remains, the projected date must be labeled pending rather than current law.</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DO NOT CONFUSE THE PRODUCTS  </w:t>
      </w:r>
      <w:r>
        <w:rPr>
          <w:rFonts w:ascii="Aptos" w:hAnsi="Aptos"/>
          <w:b w:val="0"/>
          <w:i w:val="0"/>
          <w:color w:val="0B2545"/>
          <w:sz w:val="20"/>
        </w:rPr>
        <w:t>CTA-EP-001 is the LMFT California Law &amp; Ethics Exam Preparation Program. CTA’s separate LMFT AMFTRB National Exam Preparation Program is a different product with a different assessment domain.</w:t>
      </w:r>
    </w:p>
    <w:p>
      <w:pPr>
        <w:pStyle w:val="Heading2"/>
      </w:pPr>
      <w:r>
        <w:t>Integrated Scenario 1: The New Website</w:t>
      </w:r>
    </w:p>
    <w:p>
      <w:pPr>
        <w:keepNext w:val="0"/>
        <w:spacing w:before="0" w:after="120" w:line="276" w:lineRule="auto"/>
      </w:pPr>
      <w:r>
        <w:rPr>
          <w:rFonts w:ascii="Aptos" w:hAnsi="Aptos"/>
          <w:b w:val="0"/>
          <w:i w:val="0"/>
          <w:sz w:val="21"/>
        </w:rPr>
        <w:t>A registered AMFT opens a profile that lists “Avery Chen, AMFT, Couples Therapist.” The profile says clients may pay Avery directly. The employer is not named. Weekly consultation is available, but no supervisor has accepted responsibility for the work.</w:t>
      </w:r>
    </w:p>
    <w:p>
      <w:pPr>
        <w:keepNext w:val="0"/>
        <w:spacing w:before="0" w:after="120" w:line="276" w:lineRule="auto"/>
      </w:pPr>
      <w:r>
        <w:rPr>
          <w:rFonts w:ascii="Aptos" w:hAnsi="Aptos"/>
          <w:b/>
          <w:i w:val="0"/>
          <w:color w:val="087F78"/>
          <w:sz w:val="21"/>
        </w:rPr>
        <w:t xml:space="preserve">STATUS. </w:t>
      </w:r>
      <w:r>
        <w:rPr>
          <w:rFonts w:ascii="Aptos" w:hAnsi="Aptos"/>
          <w:b w:val="0"/>
          <w:i w:val="0"/>
          <w:sz w:val="21"/>
        </w:rPr>
        <w:t>Registered AMFT—unlicensed, not independently authorized.</w:t>
      </w:r>
    </w:p>
    <w:p>
      <w:pPr>
        <w:keepNext w:val="0"/>
        <w:spacing w:before="0" w:after="120" w:line="276" w:lineRule="auto"/>
      </w:pPr>
      <w:r>
        <w:rPr>
          <w:rFonts w:ascii="Aptos" w:hAnsi="Aptos"/>
          <w:b/>
          <w:i w:val="0"/>
          <w:color w:val="087F78"/>
          <w:sz w:val="21"/>
        </w:rPr>
        <w:t xml:space="preserve">SETTING. </w:t>
      </w:r>
      <w:r>
        <w:rPr>
          <w:rFonts w:ascii="Aptos" w:hAnsi="Aptos"/>
          <w:b w:val="0"/>
          <w:i w:val="0"/>
          <w:sz w:val="21"/>
        </w:rPr>
        <w:t>The profile suggests an independent or contractor arrangement; lawful employment/volunteer status is unresolved.</w:t>
      </w:r>
    </w:p>
    <w:p>
      <w:pPr>
        <w:keepNext w:val="0"/>
        <w:spacing w:before="0" w:after="120" w:line="276" w:lineRule="auto"/>
      </w:pPr>
      <w:r>
        <w:rPr>
          <w:rFonts w:ascii="Aptos" w:hAnsi="Aptos"/>
          <w:b/>
          <w:i w:val="0"/>
          <w:color w:val="087F78"/>
          <w:sz w:val="21"/>
        </w:rPr>
        <w:t xml:space="preserve">SCOPE. </w:t>
      </w:r>
      <w:r>
        <w:rPr>
          <w:rFonts w:ascii="Aptos" w:hAnsi="Aptos"/>
          <w:b w:val="0"/>
          <w:i w:val="0"/>
          <w:sz w:val="21"/>
        </w:rPr>
        <w:t>Couples therapy may be within LMFT scope, but scope does not cure authority, competence, or supervision.</w:t>
      </w:r>
    </w:p>
    <w:p>
      <w:pPr>
        <w:keepNext w:val="0"/>
        <w:spacing w:before="0" w:after="120" w:line="276" w:lineRule="auto"/>
      </w:pPr>
      <w:r>
        <w:rPr>
          <w:rFonts w:ascii="Aptos" w:hAnsi="Aptos"/>
          <w:b/>
          <w:i w:val="0"/>
          <w:color w:val="087F78"/>
          <w:sz w:val="21"/>
        </w:rPr>
        <w:t xml:space="preserve">SOURCE. </w:t>
      </w:r>
      <w:r>
        <w:rPr>
          <w:rFonts w:ascii="Aptos" w:hAnsi="Aptos"/>
          <w:b w:val="0"/>
          <w:i w:val="0"/>
          <w:sz w:val="21"/>
        </w:rPr>
        <w:t>AMFT advertising, employment, payment, business-interest, and supervision rules control.</w:t>
      </w:r>
    </w:p>
    <w:p>
      <w:pPr>
        <w:keepNext w:val="0"/>
        <w:spacing w:before="0" w:after="120" w:line="276" w:lineRule="auto"/>
      </w:pPr>
      <w:r>
        <w:rPr>
          <w:rFonts w:ascii="Aptos" w:hAnsi="Aptos"/>
          <w:b/>
          <w:i w:val="0"/>
          <w:color w:val="087F78"/>
          <w:sz w:val="21"/>
        </w:rPr>
        <w:t xml:space="preserve">SAFEGUARD. </w:t>
      </w:r>
      <w:r>
        <w:rPr>
          <w:rFonts w:ascii="Aptos" w:hAnsi="Aptos"/>
          <w:b w:val="0"/>
          <w:i w:val="0"/>
          <w:sz w:val="21"/>
        </w:rPr>
        <w:t>Protect clients and the public from misleading status and unsupported services.</w:t>
      </w:r>
    </w:p>
    <w:p>
      <w:pPr>
        <w:keepNext w:val="0"/>
        <w:spacing w:before="0" w:after="120" w:line="276" w:lineRule="auto"/>
      </w:pPr>
      <w:r>
        <w:rPr>
          <w:rFonts w:ascii="Aptos" w:hAnsi="Aptos"/>
          <w:b/>
          <w:i w:val="0"/>
          <w:color w:val="087F78"/>
          <w:sz w:val="21"/>
        </w:rPr>
        <w:t xml:space="preserve">STEP. </w:t>
      </w:r>
      <w:r>
        <w:rPr>
          <w:rFonts w:ascii="Aptos" w:hAnsi="Aptos"/>
          <w:b w:val="0"/>
          <w:i w:val="0"/>
          <w:sz w:val="21"/>
        </w:rPr>
        <w:t>Do not begin or continue services under the arrangement; remove/correct the profile and establish a lawful role and supervision.</w:t>
      </w:r>
    </w:p>
    <w:p>
      <w:pPr>
        <w:keepNext w:val="0"/>
        <w:spacing w:before="0" w:after="120" w:line="276" w:lineRule="auto"/>
      </w:pPr>
      <w:r>
        <w:rPr>
          <w:rFonts w:ascii="Aptos" w:hAnsi="Aptos"/>
          <w:b/>
          <w:i w:val="0"/>
          <w:color w:val="087F78"/>
          <w:sz w:val="21"/>
        </w:rPr>
        <w:t xml:space="preserve">RECORD. </w:t>
      </w:r>
      <w:r>
        <w:rPr>
          <w:rFonts w:ascii="Aptos" w:hAnsi="Aptos"/>
          <w:b w:val="0"/>
          <w:i w:val="0"/>
          <w:sz w:val="21"/>
        </w:rPr>
        <w:t>Document correction, employer/supervisor communication, and any client-impact response.</w:t>
      </w:r>
    </w:p>
    <w:p>
      <w:pPr>
        <w:pStyle w:val="Heading2"/>
      </w:pPr>
      <w:r>
        <w:t>Integrated Scenario 2: The Exam Assumption</w:t>
      </w:r>
    </w:p>
    <w:p>
      <w:pPr>
        <w:keepNext w:val="0"/>
        <w:spacing w:before="0" w:after="120" w:line="276" w:lineRule="auto"/>
      </w:pPr>
      <w:r>
        <w:rPr>
          <w:rFonts w:ascii="Aptos" w:hAnsi="Aptos"/>
          <w:b w:val="0"/>
          <w:i w:val="0"/>
          <w:sz w:val="21"/>
        </w:rPr>
        <w:t>An AMFT passed the LMFT California Law and Ethics Examination and tells a colleague, “I am automatically eligible for the national exam, and that replaces the clinical exam now.”</w:t>
      </w:r>
    </w:p>
    <w:p>
      <w:pPr>
        <w:keepNext w:val="0"/>
        <w:spacing w:before="0" w:after="120" w:line="276" w:lineRule="auto"/>
      </w:pPr>
      <w:r>
        <w:rPr>
          <w:rFonts w:ascii="Aptos" w:hAnsi="Aptos"/>
          <w:b/>
          <w:i w:val="0"/>
          <w:color w:val="087F78"/>
          <w:sz w:val="21"/>
        </w:rPr>
        <w:t xml:space="preserve">STATUS. </w:t>
      </w:r>
      <w:r>
        <w:rPr>
          <w:rFonts w:ascii="Aptos" w:hAnsi="Aptos"/>
          <w:b w:val="0"/>
          <w:i w:val="0"/>
          <w:sz w:val="21"/>
        </w:rPr>
        <w:t>The person remains an AMFT until an LMFT license is issued.</w:t>
      </w:r>
    </w:p>
    <w:p>
      <w:pPr>
        <w:keepNext w:val="0"/>
        <w:spacing w:before="0" w:after="120" w:line="276" w:lineRule="auto"/>
      </w:pPr>
      <w:r>
        <w:rPr>
          <w:rFonts w:ascii="Aptos" w:hAnsi="Aptos"/>
          <w:b/>
          <w:i w:val="0"/>
          <w:color w:val="087F78"/>
          <w:sz w:val="21"/>
        </w:rPr>
        <w:t xml:space="preserve">SOURCE. </w:t>
      </w:r>
      <w:r>
        <w:rPr>
          <w:rFonts w:ascii="Aptos" w:hAnsi="Aptos"/>
          <w:b w:val="0"/>
          <w:i w:val="0"/>
          <w:sz w:val="21"/>
        </w:rPr>
        <w:t>Current BBS pages and current law—not a projected transition—control.</w:t>
      </w:r>
    </w:p>
    <w:p>
      <w:pPr>
        <w:keepNext w:val="0"/>
        <w:spacing w:before="0" w:after="120" w:line="276" w:lineRule="auto"/>
      </w:pPr>
      <w:r>
        <w:rPr>
          <w:rFonts w:ascii="Aptos" w:hAnsi="Aptos"/>
          <w:b/>
          <w:i w:val="0"/>
          <w:color w:val="087F78"/>
          <w:sz w:val="21"/>
        </w:rPr>
        <w:t xml:space="preserve">STEP. </w:t>
      </w:r>
      <w:r>
        <w:rPr>
          <w:rFonts w:ascii="Aptos" w:hAnsi="Aptos"/>
          <w:b w:val="0"/>
          <w:i w:val="0"/>
          <w:sz w:val="21"/>
        </w:rPr>
        <w:t>Correct the assumption: Law and Ethics passage is one prerequisite; clinical-exam eligibility also depends on Board approval and other requirements. The AMFTRB transition is pending.</w:t>
      </w:r>
    </w:p>
    <w:p>
      <w:pPr>
        <w:keepNext w:val="0"/>
        <w:spacing w:before="0" w:after="120" w:line="276" w:lineRule="auto"/>
      </w:pPr>
      <w:r>
        <w:rPr>
          <w:rFonts w:ascii="Aptos" w:hAnsi="Aptos"/>
          <w:b/>
          <w:i w:val="0"/>
          <w:color w:val="087F78"/>
          <w:sz w:val="21"/>
        </w:rPr>
        <w:t xml:space="preserve">RECORD. </w:t>
      </w:r>
      <w:r>
        <w:rPr>
          <w:rFonts w:ascii="Aptos" w:hAnsi="Aptos"/>
          <w:b w:val="0"/>
          <w:i w:val="0"/>
          <w:sz w:val="21"/>
        </w:rPr>
        <w:t>For an actual application, follow the current BBS eligibility notice and deadlines.</w:t>
      </w:r>
    </w:p>
    <w:p>
      <w:pPr>
        <w:pStyle w:val="Heading2"/>
      </w:pPr>
      <w:r>
        <w:t>Integrated Scenario 3: Supervisor Unavailable</w:t>
      </w:r>
    </w:p>
    <w:p>
      <w:pPr>
        <w:keepNext w:val="0"/>
        <w:spacing w:before="0" w:after="120" w:line="276" w:lineRule="auto"/>
      </w:pPr>
      <w:r>
        <w:rPr>
          <w:rFonts w:ascii="Aptos" w:hAnsi="Aptos"/>
          <w:b w:val="0"/>
          <w:i w:val="0"/>
          <w:sz w:val="21"/>
        </w:rPr>
        <w:t>An AMFT learns during a telehealth session that a family situation may require immediate protective action. The usual supervisor is unavailable. The employer has an emergency chain of command and an on-call qualified clinician.</w:t>
      </w:r>
    </w:p>
    <w:p>
      <w:pPr>
        <w:keepNext w:val="0"/>
        <w:spacing w:before="0" w:after="120" w:line="276" w:lineRule="auto"/>
      </w:pPr>
      <w:r>
        <w:rPr>
          <w:rFonts w:ascii="Aptos" w:hAnsi="Aptos"/>
          <w:b/>
          <w:i w:val="0"/>
          <w:color w:val="087F78"/>
          <w:sz w:val="21"/>
        </w:rPr>
        <w:t xml:space="preserve">STATUS. </w:t>
      </w:r>
      <w:r>
        <w:rPr>
          <w:rFonts w:ascii="Aptos" w:hAnsi="Aptos"/>
          <w:b w:val="0"/>
          <w:i w:val="0"/>
          <w:sz w:val="21"/>
        </w:rPr>
        <w:t>AMFT under required supervision.</w:t>
      </w:r>
    </w:p>
    <w:p>
      <w:pPr>
        <w:keepNext w:val="0"/>
        <w:spacing w:before="0" w:after="120" w:line="276" w:lineRule="auto"/>
      </w:pPr>
      <w:r>
        <w:rPr>
          <w:rFonts w:ascii="Aptos" w:hAnsi="Aptos"/>
          <w:b/>
          <w:i w:val="0"/>
          <w:color w:val="087F78"/>
          <w:sz w:val="21"/>
        </w:rPr>
        <w:t xml:space="preserve">SETTING. </w:t>
      </w:r>
      <w:r>
        <w:rPr>
          <w:rFonts w:ascii="Aptos" w:hAnsi="Aptos"/>
          <w:b w:val="0"/>
          <w:i w:val="0"/>
          <w:sz w:val="21"/>
        </w:rPr>
        <w:t>Employer-authorized telehealth setting with emergency procedures.</w:t>
      </w:r>
    </w:p>
    <w:p>
      <w:pPr>
        <w:keepNext w:val="0"/>
        <w:spacing w:before="0" w:after="120" w:line="276" w:lineRule="auto"/>
      </w:pPr>
      <w:r>
        <w:rPr>
          <w:rFonts w:ascii="Aptos" w:hAnsi="Aptos"/>
          <w:b/>
          <w:i w:val="0"/>
          <w:color w:val="087F78"/>
          <w:sz w:val="21"/>
        </w:rPr>
        <w:t xml:space="preserve">SAFEGUARD. </w:t>
      </w:r>
      <w:r>
        <w:rPr>
          <w:rFonts w:ascii="Aptos" w:hAnsi="Aptos"/>
          <w:b w:val="0"/>
          <w:i w:val="0"/>
          <w:sz w:val="21"/>
        </w:rPr>
        <w:t>Immediate protection of the client/family comes before waiting for routine supervision.</w:t>
      </w:r>
    </w:p>
    <w:p>
      <w:pPr>
        <w:keepNext w:val="0"/>
        <w:spacing w:before="0" w:after="120" w:line="276" w:lineRule="auto"/>
      </w:pPr>
      <w:r>
        <w:rPr>
          <w:rFonts w:ascii="Aptos" w:hAnsi="Aptos"/>
          <w:b/>
          <w:i w:val="0"/>
          <w:color w:val="087F78"/>
          <w:sz w:val="21"/>
        </w:rPr>
        <w:t xml:space="preserve">STEP. </w:t>
      </w:r>
      <w:r>
        <w:rPr>
          <w:rFonts w:ascii="Aptos" w:hAnsi="Aptos"/>
          <w:b w:val="0"/>
          <w:i w:val="0"/>
          <w:sz w:val="21"/>
        </w:rPr>
        <w:t>Assess urgency, follow applicable law and the authorized emergency chain, consult the on-call qualified resource, and take required protective action.</w:t>
      </w:r>
    </w:p>
    <w:p>
      <w:pPr>
        <w:keepNext w:val="0"/>
        <w:spacing w:before="0" w:after="120" w:line="276" w:lineRule="auto"/>
      </w:pPr>
      <w:r>
        <w:rPr>
          <w:rFonts w:ascii="Aptos" w:hAnsi="Aptos"/>
          <w:b/>
          <w:i w:val="0"/>
          <w:color w:val="087F78"/>
          <w:sz w:val="21"/>
        </w:rPr>
        <w:t xml:space="preserve">RECORD. </w:t>
      </w:r>
      <w:r>
        <w:rPr>
          <w:rFonts w:ascii="Aptos" w:hAnsi="Aptos"/>
          <w:b w:val="0"/>
          <w:i w:val="0"/>
          <w:sz w:val="21"/>
        </w:rPr>
        <w:t>Document assessment, consultation, actions, notifications, and follow-up; notify the regular supervisor as required.</w:t>
      </w:r>
    </w:p>
    <w:p>
      <w:pPr>
        <w:keepNext w:val="0"/>
        <w:spacing w:before="60" w:after="160" w:line="269" w:lineRule="auto"/>
        <w:ind w:left="140" w:right="140"/>
        <w:shd w:fill="FFF7E6"/>
        <w:pBdr>
          <w:top w:val="single" w:sz="8" w:space="3" w:color="D8A63C"/>
          <w:left w:val="single" w:sz="8" w:space="3" w:color="D8A63C"/>
          <w:bottom w:val="single" w:sz="8" w:space="3" w:color="D8A63C"/>
          <w:right w:val="single" w:sz="8" w:space="3" w:color="D8A63C"/>
        </w:pBdr>
      </w:pPr>
      <w:r>
        <w:rPr>
          <w:rFonts w:ascii="Aptos" w:hAnsi="Aptos"/>
          <w:b/>
          <w:i w:val="0"/>
          <w:color w:val="9A6A00"/>
          <w:sz w:val="19"/>
        </w:rPr>
        <w:t xml:space="preserve">COMMON TRAP  </w:t>
      </w:r>
      <w:r>
        <w:rPr>
          <w:rFonts w:ascii="Aptos" w:hAnsi="Aptos"/>
          <w:b w:val="0"/>
          <w:i w:val="0"/>
          <w:color w:val="0B2545"/>
          <w:sz w:val="20"/>
        </w:rPr>
        <w:t>Assuming the proposed national clinical exam would replace or absorb California’s state-specific Law and Ethics Examination.</w:t>
      </w:r>
    </w:p>
    <w:p>
      <w:pPr>
        <w:pStyle w:val="Heading2"/>
      </w:pPr>
      <w:r>
        <w:t>Unit 8 Quick Check</w:t>
      </w:r>
    </w:p>
    <w:p>
      <w:pPr>
        <w:pStyle w:val="CTABullet"/>
      </w:pPr>
      <w:r>
        <w:rPr>
          <w:rFonts w:ascii="Aptos" w:hAnsi="Aptos"/>
          <w:b w:val="0"/>
          <w:i w:val="0"/>
          <w:sz w:val="21"/>
        </w:rPr>
        <w:t>Can you state exactly which examination CTA-EP-001 prepares for?</w:t>
      </w:r>
    </w:p>
    <w:p>
      <w:pPr>
        <w:pStyle w:val="CTABullet"/>
      </w:pPr>
      <w:r>
        <w:rPr>
          <w:rFonts w:ascii="Aptos" w:hAnsi="Aptos"/>
          <w:b w:val="0"/>
          <w:i w:val="0"/>
          <w:sz w:val="21"/>
        </w:rPr>
        <w:t>Can you explain why the projected July 1, 2027 transition is pending?</w:t>
      </w:r>
    </w:p>
    <w:p>
      <w:pPr>
        <w:pStyle w:val="CTABullet"/>
      </w:pPr>
      <w:r>
        <w:rPr>
          <w:rFonts w:ascii="Aptos" w:hAnsi="Aptos"/>
          <w:b w:val="0"/>
          <w:i w:val="0"/>
          <w:sz w:val="21"/>
        </w:rPr>
        <w:t>Can you apply all seven CTA decision steps without inventing facts?</w:t>
      </w:r>
    </w:p>
    <w:p>
      <w:r>
        <w:br w:type="page"/>
      </w:r>
    </w:p>
    <w:p>
      <w:pPr>
        <w:pStyle w:val="Heading1"/>
      </w:pPr>
      <w:r>
        <w:t>Rapid Review</w:t>
      </w:r>
    </w:p>
    <w:p>
      <w:pPr>
        <w:pStyle w:val="Heading2"/>
      </w:pPr>
      <w:r>
        <w:t>The 12 Rules to Remember</w:t>
      </w:r>
    </w:p>
    <w:p>
      <w:pPr>
        <w:pStyle w:val="CTANumber"/>
        <w:numPr>
          <w:ilvl w:val="0"/>
          <w:numId w:val="102"/>
        </w:numPr>
      </w:pPr>
      <w:r>
        <w:rPr>
          <w:rFonts w:ascii="Aptos" w:hAnsi="Aptos"/>
          <w:b w:val="0"/>
          <w:i w:val="0"/>
          <w:sz w:val="21"/>
        </w:rPr>
        <w:t>Start with the person’s exact legal status.</w:t>
      </w:r>
    </w:p>
    <w:p>
      <w:pPr>
        <w:pStyle w:val="CTANumber"/>
        <w:numPr>
          <w:ilvl w:val="0"/>
          <w:numId w:val="102"/>
        </w:numPr>
      </w:pPr>
      <w:r>
        <w:rPr>
          <w:rFonts w:ascii="Aptos" w:hAnsi="Aptos"/>
          <w:b w:val="0"/>
          <w:i w:val="0"/>
          <w:sz w:val="21"/>
        </w:rPr>
        <w:t>Separate profession-wide scope, individual competence, and present authority.</w:t>
      </w:r>
    </w:p>
    <w:p>
      <w:pPr>
        <w:pStyle w:val="CTANumber"/>
        <w:numPr>
          <w:ilvl w:val="0"/>
          <w:numId w:val="102"/>
        </w:numPr>
      </w:pPr>
      <w:r>
        <w:rPr>
          <w:rFonts w:ascii="Aptos" w:hAnsi="Aptos"/>
          <w:b w:val="0"/>
          <w:i w:val="0"/>
          <w:sz w:val="21"/>
        </w:rPr>
        <w:t>Registration is not independent licensure.</w:t>
      </w:r>
    </w:p>
    <w:p>
      <w:pPr>
        <w:pStyle w:val="CTANumber"/>
        <w:numPr>
          <w:ilvl w:val="0"/>
          <w:numId w:val="102"/>
        </w:numPr>
      </w:pPr>
      <w:r>
        <w:rPr>
          <w:rFonts w:ascii="Aptos" w:hAnsi="Aptos"/>
          <w:b w:val="0"/>
          <w:i w:val="0"/>
          <w:sz w:val="21"/>
        </w:rPr>
        <w:t>Supervision is responsibility and control of quality; consultation alone is not supervision.</w:t>
      </w:r>
    </w:p>
    <w:p>
      <w:pPr>
        <w:pStyle w:val="CTANumber"/>
        <w:numPr>
          <w:ilvl w:val="0"/>
          <w:numId w:val="102"/>
        </w:numPr>
      </w:pPr>
      <w:r>
        <w:rPr>
          <w:rFonts w:ascii="Aptos" w:hAnsi="Aptos"/>
          <w:b w:val="0"/>
          <w:i w:val="0"/>
          <w:sz w:val="21"/>
        </w:rPr>
        <w:t>AMFT advertising must include filed identity, registration title/number, employer or volunteer entity, and supervised status.</w:t>
      </w:r>
    </w:p>
    <w:p>
      <w:pPr>
        <w:pStyle w:val="CTANumber"/>
        <w:numPr>
          <w:ilvl w:val="0"/>
          <w:numId w:val="102"/>
        </w:numPr>
      </w:pPr>
      <w:r>
        <w:rPr>
          <w:rFonts w:ascii="Aptos" w:hAnsi="Aptos"/>
          <w:b w:val="0"/>
          <w:i w:val="0"/>
          <w:sz w:val="21"/>
        </w:rPr>
        <w:t>“AMFT” may appear only when the full Registered Associate Marriage and Family Therapist title also appears.</w:t>
      </w:r>
    </w:p>
    <w:p>
      <w:pPr>
        <w:pStyle w:val="CTANumber"/>
        <w:numPr>
          <w:ilvl w:val="0"/>
          <w:numId w:val="102"/>
        </w:numPr>
      </w:pPr>
      <w:r>
        <w:rPr>
          <w:rFonts w:ascii="Aptos" w:hAnsi="Aptos"/>
          <w:b w:val="0"/>
          <w:i w:val="0"/>
          <w:sz w:val="21"/>
        </w:rPr>
        <w:t>Client status disclosure, the BBS psychotherapy notice, and advertising are separate duties.</w:t>
      </w:r>
    </w:p>
    <w:p>
      <w:pPr>
        <w:pStyle w:val="CTANumber"/>
        <w:numPr>
          <w:ilvl w:val="0"/>
          <w:numId w:val="102"/>
        </w:numPr>
      </w:pPr>
      <w:r>
        <w:rPr>
          <w:rFonts w:ascii="Aptos" w:hAnsi="Aptos"/>
          <w:b w:val="0"/>
          <w:i w:val="0"/>
          <w:sz w:val="21"/>
        </w:rPr>
        <w:t>An AMFT provides services as an employee or volunteer—not an independent contractor.</w:t>
      </w:r>
    </w:p>
    <w:p>
      <w:pPr>
        <w:pStyle w:val="CTANumber"/>
        <w:numPr>
          <w:ilvl w:val="0"/>
          <w:numId w:val="102"/>
        </w:numPr>
      </w:pPr>
      <w:r>
        <w:rPr>
          <w:rFonts w:ascii="Aptos" w:hAnsi="Aptos"/>
          <w:b w:val="0"/>
          <w:i w:val="0"/>
          <w:sz w:val="21"/>
        </w:rPr>
        <w:t>The employer pays an employed AMFT; clients do not pay the AMFT directly.</w:t>
      </w:r>
    </w:p>
    <w:p>
      <w:pPr>
        <w:pStyle w:val="CTANumber"/>
        <w:numPr>
          <w:ilvl w:val="0"/>
          <w:numId w:val="102"/>
        </w:numPr>
      </w:pPr>
      <w:r>
        <w:rPr>
          <w:rFonts w:ascii="Aptos" w:hAnsi="Aptos"/>
          <w:b w:val="0"/>
          <w:i w:val="0"/>
          <w:sz w:val="21"/>
        </w:rPr>
        <w:t>TAKEN, PASSED, ELIGIBLE, RENEWED, and LICENSED are different states.</w:t>
      </w:r>
    </w:p>
    <w:p>
      <w:pPr>
        <w:pStyle w:val="CTANumber"/>
        <w:numPr>
          <w:ilvl w:val="0"/>
          <w:numId w:val="102"/>
        </w:numPr>
      </w:pPr>
      <w:r>
        <w:rPr>
          <w:rFonts w:ascii="Aptos" w:hAnsi="Aptos"/>
          <w:b w:val="0"/>
          <w:i w:val="0"/>
          <w:sz w:val="21"/>
        </w:rPr>
        <w:t>The Law and Ethics Examination remains separate from the clinical examination.</w:t>
      </w:r>
    </w:p>
    <w:p>
      <w:pPr>
        <w:pStyle w:val="CTANumber"/>
        <w:numPr>
          <w:ilvl w:val="0"/>
          <w:numId w:val="102"/>
        </w:numPr>
      </w:pPr>
      <w:r>
        <w:rPr>
          <w:rFonts w:ascii="Aptos" w:hAnsi="Aptos"/>
          <w:b w:val="0"/>
          <w:i w:val="0"/>
          <w:sz w:val="21"/>
        </w:rPr>
        <w:t>A pending AMFTRB transition is not the current clinical-exam rule.</w:t>
      </w:r>
    </w:p>
    <w:p>
      <w:pPr>
        <w:pStyle w:val="Heading2"/>
      </w:pPr>
      <w:r>
        <w:t>Strong Answer vs. Distractor</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4680"/>
        <w:gridCol w:w="4560"/>
      </w:tblGrid>
      <w:tr>
        <w:trPr>
          <w:tblHeader w:val="true"/>
          <w:cantSplit/>
        </w:trPr>
        <w:tc>
          <w:tcPr>
            <w:tcW w:type="dxa" w:w="468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Strong answer</w:t>
            </w:r>
          </w:p>
        </w:tc>
        <w:tc>
          <w:tcPr>
            <w:tcW w:type="dxa" w:w="456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Common distractor</w:t>
            </w:r>
          </w:p>
        </w:tc>
      </w:tr>
      <w:tr>
        <w:trPr>
          <w:cantSplit/>
        </w:trPr>
        <w:tc>
          <w:tcPr>
            <w:tcW w:type="dxa" w:w="46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Identifies the AMFT’s status before choosing an action.</w:t>
            </w:r>
          </w:p>
        </w:tc>
        <w:tc>
          <w:tcPr>
            <w:tcW w:type="dxa" w:w="45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Treats the person as if already licensed.</w:t>
            </w:r>
          </w:p>
        </w:tc>
      </w:tr>
      <w:tr>
        <w:trPr>
          <w:cantSplit/>
        </w:trPr>
        <w:tc>
          <w:tcPr>
            <w:tcW w:type="dxa" w:w="468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Applies a specific current LMFT rule.</w:t>
            </w:r>
          </w:p>
        </w:tc>
        <w:tc>
          <w:tcPr>
            <w:tcW w:type="dxa" w:w="456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Uses a generic ethics principle or another profession’s rule.</w:t>
            </w:r>
          </w:p>
        </w:tc>
      </w:tr>
      <w:tr>
        <w:trPr>
          <w:cantSplit/>
        </w:trPr>
        <w:tc>
          <w:tcPr>
            <w:tcW w:type="dxa" w:w="46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Checks the actual work and payment arrangement.</w:t>
            </w:r>
          </w:p>
        </w:tc>
        <w:tc>
          <w:tcPr>
            <w:tcW w:type="dxa" w:w="45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Accepts “contractor,” “nonprofit,” or “supervised” as conclusive labels.</w:t>
            </w:r>
          </w:p>
        </w:tc>
      </w:tr>
      <w:tr>
        <w:trPr>
          <w:cantSplit/>
        </w:trPr>
        <w:tc>
          <w:tcPr>
            <w:tcW w:type="dxa" w:w="468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Stops or corrects a clear violation.</w:t>
            </w:r>
          </w:p>
        </w:tc>
        <w:tc>
          <w:tcPr>
            <w:tcW w:type="dxa" w:w="456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Consults or documents while continuing the violation.</w:t>
            </w:r>
          </w:p>
        </w:tc>
      </w:tr>
      <w:tr>
        <w:trPr>
          <w:cantSplit/>
        </w:trPr>
        <w:tc>
          <w:tcPr>
            <w:tcW w:type="dxa" w:w="468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Separates current rules from proposed changes.</w:t>
            </w:r>
          </w:p>
        </w:tc>
        <w:tc>
          <w:tcPr>
            <w:tcW w:type="dxa" w:w="456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Treats a projected implementation date as already effective.</w:t>
            </w:r>
          </w:p>
        </w:tc>
      </w:tr>
    </w:tbl>
    <w:p>
      <w:pPr>
        <w:keepNext w:val="0"/>
        <w:spacing w:before="0" w:after="0" w:line="240" w:lineRule="auto"/>
      </w:pPr>
    </w:p>
    <w:p>
      <w:pPr>
        <w:pStyle w:val="Heading2"/>
      </w:pPr>
      <w:r>
        <w:t>Final 30-Second Scan</w:t>
      </w:r>
    </w:p>
    <w:p>
      <w:pPr>
        <w:pStyle w:val="CTABullet"/>
      </w:pPr>
      <w:r>
        <w:rPr>
          <w:rFonts w:ascii="Aptos" w:hAnsi="Aptos"/>
          <w:b w:val="0"/>
          <w:i w:val="0"/>
          <w:sz w:val="21"/>
        </w:rPr>
        <w:t>Who is the actor, and what is the exact status?</w:t>
      </w:r>
    </w:p>
    <w:p>
      <w:pPr>
        <w:pStyle w:val="CTABullet"/>
      </w:pPr>
      <w:r>
        <w:rPr>
          <w:rFonts w:ascii="Aptos" w:hAnsi="Aptos"/>
          <w:b w:val="0"/>
          <w:i w:val="0"/>
          <w:sz w:val="21"/>
        </w:rPr>
        <w:t>What setting and payment arrangement are actually described?</w:t>
      </w:r>
    </w:p>
    <w:p>
      <w:pPr>
        <w:pStyle w:val="CTABullet"/>
      </w:pPr>
      <w:r>
        <w:rPr>
          <w:rFonts w:ascii="Aptos" w:hAnsi="Aptos"/>
          <w:b w:val="0"/>
          <w:i w:val="0"/>
          <w:sz w:val="21"/>
        </w:rPr>
        <w:t>Is the service within scope, competence, and present authority?</w:t>
      </w:r>
    </w:p>
    <w:p>
      <w:pPr>
        <w:pStyle w:val="CTABullet"/>
      </w:pPr>
      <w:r>
        <w:rPr>
          <w:rFonts w:ascii="Aptos" w:hAnsi="Aptos"/>
          <w:b w:val="0"/>
          <w:i w:val="0"/>
          <w:sz w:val="21"/>
        </w:rPr>
        <w:t>What is the most specific current source?</w:t>
      </w:r>
    </w:p>
    <w:p>
      <w:pPr>
        <w:pStyle w:val="CTABullet"/>
      </w:pPr>
      <w:r>
        <w:rPr>
          <w:rFonts w:ascii="Aptos" w:hAnsi="Aptos"/>
          <w:b w:val="0"/>
          <w:i w:val="0"/>
          <w:sz w:val="21"/>
        </w:rPr>
        <w:t>Who needs protection now?</w:t>
      </w:r>
    </w:p>
    <w:p>
      <w:pPr>
        <w:pStyle w:val="CTABullet"/>
      </w:pPr>
      <w:r>
        <w:rPr>
          <w:rFonts w:ascii="Aptos" w:hAnsi="Aptos"/>
          <w:b w:val="0"/>
          <w:i w:val="0"/>
          <w:sz w:val="21"/>
        </w:rPr>
        <w:t>What action comes first?</w:t>
      </w:r>
    </w:p>
    <w:p>
      <w:pPr>
        <w:pStyle w:val="CTABullet"/>
      </w:pPr>
      <w:r>
        <w:rPr>
          <w:rFonts w:ascii="Aptos" w:hAnsi="Aptos"/>
          <w:b w:val="0"/>
          <w:i w:val="0"/>
          <w:sz w:val="21"/>
        </w:rPr>
        <w:t>What notice, supervision communication, documentation, or follow-up is required?</w:t>
      </w:r>
    </w:p>
    <w:p>
      <w:pPr>
        <w:pStyle w:val="Heading2"/>
      </w:pPr>
      <w:r>
        <w:t>Readiness Gate Before the 25-Question Assessment</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200"/>
        <w:gridCol w:w="7040"/>
      </w:tblGrid>
      <w:tr>
        <w:trPr>
          <w:tblHeader w:val="true"/>
          <w:cantSplit/>
        </w:trPr>
        <w:tc>
          <w:tcPr>
            <w:tcW w:type="dxa" w:w="22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Domain</w:t>
            </w:r>
          </w:p>
        </w:tc>
        <w:tc>
          <w:tcPr>
            <w:tcW w:type="dxa" w:w="70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7"/>
              </w:rPr>
              <w:t>Ready when you can say…</w:t>
            </w:r>
          </w:p>
        </w:tc>
      </w:tr>
      <w:tr>
        <w:trPr>
          <w:cantSplit/>
        </w:trPr>
        <w:tc>
          <w:tcPr>
            <w:tcW w:type="dxa" w:w="22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Authority</w:t>
            </w:r>
          </w:p>
        </w:tc>
        <w:tc>
          <w:tcPr>
            <w:tcW w:type="dxa" w:w="70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 can rank statute, regulation, BBS procedure, ethics, and employer policy.</w:t>
            </w:r>
          </w:p>
        </w:tc>
      </w:tr>
      <w:tr>
        <w:trPr>
          <w:cantSplit/>
        </w:trPr>
        <w:tc>
          <w:tcPr>
            <w:tcW w:type="dxa" w:w="22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Identity</w:t>
            </w:r>
          </w:p>
        </w:tc>
        <w:tc>
          <w:tcPr>
            <w:tcW w:type="dxa" w:w="70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 can distinguish LMFT, registered AMFT, trainee, registration applicant, and licensure applicant.</w:t>
            </w:r>
          </w:p>
        </w:tc>
      </w:tr>
      <w:tr>
        <w:trPr>
          <w:cantSplit/>
        </w:trPr>
        <w:tc>
          <w:tcPr>
            <w:tcW w:type="dxa" w:w="22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Scope</w:t>
            </w:r>
          </w:p>
        </w:tc>
        <w:tc>
          <w:tcPr>
            <w:tcW w:type="dxa" w:w="70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 can separate scope, competence, and present authority.</w:t>
            </w:r>
          </w:p>
        </w:tc>
      </w:tr>
      <w:tr>
        <w:trPr>
          <w:cantSplit/>
        </w:trPr>
        <w:tc>
          <w:tcPr>
            <w:tcW w:type="dxa" w:w="22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Disclosure</w:t>
            </w:r>
          </w:p>
        </w:tc>
        <w:tc>
          <w:tcPr>
            <w:tcW w:type="dxa" w:w="70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 can identify all AMFT status, notice, and advertising elements.</w:t>
            </w:r>
          </w:p>
        </w:tc>
      </w:tr>
      <w:tr>
        <w:trPr>
          <w:cantSplit/>
        </w:trPr>
        <w:tc>
          <w:tcPr>
            <w:tcW w:type="dxa" w:w="22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Supervision</w:t>
            </w:r>
          </w:p>
        </w:tc>
        <w:tc>
          <w:tcPr>
            <w:tcW w:type="dxa" w:w="70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 can assign supervisor and supervisee duties and recognize when consultation is insufficient.</w:t>
            </w:r>
          </w:p>
        </w:tc>
      </w:tr>
      <w:tr>
        <w:trPr>
          <w:cantSplit/>
        </w:trPr>
        <w:tc>
          <w:tcPr>
            <w:tcW w:type="dxa" w:w="22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Setting</w:t>
            </w:r>
          </w:p>
        </w:tc>
        <w:tc>
          <w:tcPr>
            <w:tcW w:type="dxa" w:w="70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 can evaluate employee/volunteer status, payment, business interest, private practice, and location.</w:t>
            </w:r>
          </w:p>
        </w:tc>
      </w:tr>
      <w:tr>
        <w:trPr>
          <w:cantSplit/>
        </w:trPr>
        <w:tc>
          <w:tcPr>
            <w:tcW w:type="dxa" w:w="22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Pathway</w:t>
            </w:r>
          </w:p>
        </w:tc>
        <w:tc>
          <w:tcPr>
            <w:tcW w:type="dxa" w:w="70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 can distinguish TAKEN, PASSED, ELIGIBLE, RENEWED, and LICENSED.</w:t>
            </w:r>
          </w:p>
        </w:tc>
      </w:tr>
      <w:tr>
        <w:trPr>
          <w:cantSplit/>
        </w:trPr>
        <w:tc>
          <w:tcPr>
            <w:tcW w:type="dxa" w:w="22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7"/>
              </w:rPr>
              <w:t>Transition</w:t>
            </w:r>
          </w:p>
        </w:tc>
        <w:tc>
          <w:tcPr>
            <w:tcW w:type="dxa" w:w="70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7"/>
              </w:rPr>
              <w:t>I can describe the AMFTRB proposal as pending and keep Law and Ethics separate.</w:t>
            </w:r>
          </w:p>
        </w:tc>
      </w:tr>
    </w:tbl>
    <w:p>
      <w:pPr>
        <w:keepNext w:val="0"/>
        <w:spacing w:before="0" w:after="0" w:line="240" w:lineRule="auto"/>
      </w:pP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READINESS RULE  </w:t>
      </w:r>
      <w:r>
        <w:rPr>
          <w:rFonts w:ascii="Aptos" w:hAnsi="Aptos"/>
          <w:b w:val="0"/>
          <w:i w:val="0"/>
          <w:color w:val="0B2545"/>
          <w:sz w:val="20"/>
        </w:rPr>
        <w:t>If two or more domains feel uncertain, revisit the corresponding unit before taking the separate protected assessment. Use the error tags Identity, Scope, Setting, Supervision, Advertising, Registration, Examination, and Current-vs-Pending.</w:t>
      </w:r>
    </w:p>
    <w:p>
      <w:r>
        <w:br w:type="page"/>
      </w:r>
    </w:p>
    <w:p>
      <w:pPr>
        <w:pStyle w:val="Heading1"/>
      </w:pPr>
      <w:r>
        <w:t>Authorities and Accuracy Notes</w:t>
      </w:r>
    </w:p>
    <w:p>
      <w:pPr>
        <w:keepNext w:val="0"/>
        <w:spacing w:before="0" w:after="120" w:line="276" w:lineRule="auto"/>
      </w:pPr>
      <w:r>
        <w:rPr>
          <w:rFonts w:ascii="Aptos" w:hAnsi="Aptos"/>
          <w:b w:val="0"/>
          <w:i w:val="0"/>
          <w:sz w:val="21"/>
        </w:rPr>
        <w:t>Source review completed August 2, 2026. Current statutes and regulations control. Current BBS instructions govern applications, registration, renewal, examination eligibility, and administrative procedure. Vendor instructions govern scheduling and test-day procedures. High-change facts should be rechecked immediately before learner release and before a candidate acts on them.</w:t>
      </w:r>
    </w:p>
    <w:p>
      <w:pPr>
        <w:pStyle w:val="CTABullet"/>
      </w:pPr>
      <w:hyperlink r:id="rId12">
        <w:r>
          <w:rPr>
            <w:rFonts w:ascii="Aptos" w:hAnsi="Aptos"/>
            <w:color w:val="087F78"/>
            <w:u w:val="single"/>
            <w:sz w:val="20"/>
          </w:rPr>
          <w:t>BBS Statutes and Regulations, effective January 1, 2026</w:t>
        </w:r>
      </w:hyperlink>
    </w:p>
    <w:p>
      <w:pPr>
        <w:pStyle w:val="CTABullet"/>
      </w:pPr>
      <w:hyperlink r:id="rId13">
        <w:r>
          <w:rPr>
            <w:rFonts w:ascii="Aptos" w:hAnsi="Aptos"/>
            <w:color w:val="087F78"/>
            <w:u w:val="single"/>
            <w:sz w:val="20"/>
          </w:rPr>
          <w:t>BBS California Law and Ethics Examination page</w:t>
        </w:r>
      </w:hyperlink>
    </w:p>
    <w:p>
      <w:pPr>
        <w:pStyle w:val="CTABullet"/>
      </w:pPr>
      <w:hyperlink r:id="rId14">
        <w:r>
          <w:rPr>
            <w:rFonts w:ascii="Aptos" w:hAnsi="Aptos"/>
            <w:color w:val="087F78"/>
            <w:u w:val="single"/>
            <w:sz w:val="20"/>
          </w:rPr>
          <w:t>BBS California Law and Ethics Examination FAQs</w:t>
        </w:r>
      </w:hyperlink>
    </w:p>
    <w:p>
      <w:pPr>
        <w:pStyle w:val="CTABullet"/>
      </w:pPr>
      <w:hyperlink r:id="rId15">
        <w:r>
          <w:rPr>
            <w:rFonts w:ascii="Aptos" w:hAnsi="Aptos"/>
            <w:color w:val="087F78"/>
            <w:u w:val="single"/>
            <w:sz w:val="20"/>
          </w:rPr>
          <w:t>BBS LMFT applicant pathway page</w:t>
        </w:r>
      </w:hyperlink>
    </w:p>
    <w:p>
      <w:pPr>
        <w:pStyle w:val="CTABullet"/>
      </w:pPr>
      <w:hyperlink r:id="rId16">
        <w:r>
          <w:rPr>
            <w:rFonts w:ascii="Aptos" w:hAnsi="Aptos"/>
            <w:color w:val="087F78"/>
            <w:u w:val="single"/>
            <w:sz w:val="20"/>
          </w:rPr>
          <w:t>BBS LMFT Clinical Examination page</w:t>
        </w:r>
      </w:hyperlink>
    </w:p>
    <w:p>
      <w:pPr>
        <w:pStyle w:val="CTABullet"/>
      </w:pPr>
      <w:hyperlink r:id="rId17">
        <w:r>
          <w:rPr>
            <w:rFonts w:ascii="Aptos" w:hAnsi="Aptos"/>
            <w:color w:val="087F78"/>
            <w:u w:val="single"/>
            <w:sz w:val="20"/>
          </w:rPr>
          <w:t>BBS MFT trainee and AMFT FAQs</w:t>
        </w:r>
      </w:hyperlink>
    </w:p>
    <w:p>
      <w:pPr>
        <w:pStyle w:val="CTABullet"/>
      </w:pPr>
      <w:hyperlink r:id="rId18">
        <w:r>
          <w:rPr>
            <w:rFonts w:ascii="Aptos" w:hAnsi="Aptos"/>
            <w:color w:val="087F78"/>
            <w:u w:val="single"/>
            <w:sz w:val="20"/>
          </w:rPr>
          <w:t>BBS Advertising Requirements Fact Sheet, effective April 1, 2026</w:t>
        </w:r>
      </w:hyperlink>
    </w:p>
    <w:p>
      <w:pPr>
        <w:pStyle w:val="CTABullet"/>
      </w:pPr>
      <w:hyperlink r:id="rId19">
        <w:r>
          <w:rPr>
            <w:rFonts w:ascii="Aptos" w:hAnsi="Aptos"/>
            <w:color w:val="087F78"/>
            <w:u w:val="single"/>
            <w:sz w:val="20"/>
          </w:rPr>
          <w:t>BBS AMFTRB Transition Update, Agenda Item 25, May 2026</w:t>
        </w:r>
      </w:hyperlink>
    </w:p>
    <w:p>
      <w:pPr>
        <w:keepNext w:val="0"/>
        <w:spacing w:before="60" w:after="160" w:line="269" w:lineRule="auto"/>
        <w:ind w:left="140" w:right="140"/>
        <w:shd w:fill="F7F7F7"/>
        <w:pBdr>
          <w:top w:val="single" w:sz="8" w:space="3" w:color="97A1AF"/>
          <w:left w:val="single" w:sz="8" w:space="3" w:color="97A1AF"/>
          <w:bottom w:val="single" w:sz="8" w:space="3" w:color="97A1AF"/>
          <w:right w:val="single" w:sz="8" w:space="3" w:color="97A1AF"/>
        </w:pBdr>
      </w:pPr>
      <w:r>
        <w:rPr>
          <w:rFonts w:ascii="Aptos" w:hAnsi="Aptos"/>
          <w:b/>
          <w:i w:val="0"/>
          <w:color w:val="404B5A"/>
          <w:sz w:val="19"/>
        </w:rPr>
        <w:t xml:space="preserve">CURRENT-SOURCE CHECK  </w:t>
      </w:r>
      <w:r>
        <w:rPr>
          <w:rFonts w:ascii="Aptos" w:hAnsi="Aptos"/>
          <w:b w:val="0"/>
          <w:i w:val="0"/>
          <w:color w:val="0B2545"/>
          <w:sz w:val="20"/>
        </w:rPr>
        <w:t>Recheck after any new BBS statutes-and-regulations publication, statutory or regulatory effective date, August 2026 Board action on AMFTRB language, change to registration or examination procedures, or material LMS/website update.</w:t>
      </w:r>
    </w:p>
    <w:p>
      <w:pPr>
        <w:pStyle w:val="Heading2"/>
      </w:pPr>
      <w:r>
        <w:t>Learner Notices</w:t>
      </w:r>
    </w:p>
    <w:p>
      <w:pPr>
        <w:keepNext w:val="0"/>
        <w:spacing w:before="0" w:after="120" w:line="276" w:lineRule="auto"/>
      </w:pPr>
      <w:r>
        <w:rPr>
          <w:rFonts w:ascii="Aptos" w:hAnsi="Aptos"/>
          <w:b/>
          <w:i w:val="0"/>
          <w:color w:val="087F78"/>
          <w:sz w:val="21"/>
        </w:rPr>
        <w:t xml:space="preserve">Independent program. </w:t>
      </w:r>
      <w:r>
        <w:rPr>
          <w:rFonts w:ascii="Aptos" w:hAnsi="Aptos"/>
          <w:b w:val="0"/>
          <w:i w:val="0"/>
          <w:sz w:val="21"/>
        </w:rPr>
        <w:t>Clinical Training and Supervision Academy is an independent educational resource and is not affiliated with or endorsed by the California Board of Behavioral Sciences, Pearson, AMFTRB, or any examination administrator.</w:t>
      </w:r>
    </w:p>
    <w:p>
      <w:pPr>
        <w:keepNext w:val="0"/>
        <w:spacing w:before="0" w:after="120" w:line="276" w:lineRule="auto"/>
      </w:pPr>
      <w:r>
        <w:rPr>
          <w:rFonts w:ascii="Aptos" w:hAnsi="Aptos"/>
          <w:b/>
          <w:i w:val="0"/>
          <w:color w:val="087F78"/>
          <w:sz w:val="21"/>
        </w:rPr>
        <w:t xml:space="preserve">No guarantee. </w:t>
      </w:r>
      <w:r>
        <w:rPr>
          <w:rFonts w:ascii="Aptos" w:hAnsi="Aptos"/>
          <w:b w:val="0"/>
          <w:i w:val="0"/>
          <w:sz w:val="21"/>
        </w:rPr>
        <w:t>Participation supports examination readiness but does not guarantee passage, eligibility, licensure, employment, or any professional outcome.</w:t>
      </w:r>
    </w:p>
    <w:p>
      <w:pPr>
        <w:keepNext w:val="0"/>
        <w:spacing w:before="0" w:after="120" w:line="276" w:lineRule="auto"/>
      </w:pPr>
      <w:r>
        <w:rPr>
          <w:rFonts w:ascii="Aptos" w:hAnsi="Aptos"/>
          <w:b/>
          <w:i w:val="0"/>
          <w:color w:val="087F78"/>
          <w:sz w:val="21"/>
        </w:rPr>
        <w:t xml:space="preserve">Educational use. </w:t>
      </w:r>
      <w:r>
        <w:rPr>
          <w:rFonts w:ascii="Aptos" w:hAnsi="Aptos"/>
          <w:b w:val="0"/>
          <w:i w:val="0"/>
          <w:sz w:val="21"/>
        </w:rPr>
        <w:t>This module provides educational information, not legal advice. Consult the Board, qualified counsel, or another appropriate authority for an individual legal or licensing question.</w:t>
      </w:r>
    </w:p>
    <w:p>
      <w:pPr>
        <w:keepNext w:val="0"/>
        <w:spacing w:before="0" w:after="120" w:line="276" w:lineRule="auto"/>
      </w:pPr>
      <w:r>
        <w:rPr>
          <w:rFonts w:ascii="Aptos" w:hAnsi="Aptos"/>
          <w:b/>
          <w:i w:val="0"/>
          <w:color w:val="087F78"/>
          <w:sz w:val="21"/>
        </w:rPr>
        <w:t xml:space="preserve">Current official sources. </w:t>
      </w:r>
      <w:r>
        <w:rPr>
          <w:rFonts w:ascii="Aptos" w:hAnsi="Aptos"/>
          <w:b w:val="0"/>
          <w:i w:val="0"/>
          <w:sz w:val="21"/>
        </w:rPr>
        <w:t>Laws, regulations, forms, fees, deadlines, examination procedures, and transition plans may change. Verify current requirements through official sources.</w:t>
      </w:r>
    </w:p>
    <w:p>
      <w:pPr>
        <w:keepNext w:val="0"/>
        <w:spacing w:before="0" w:after="120" w:line="276" w:lineRule="auto"/>
      </w:pPr>
      <w:r>
        <w:rPr>
          <w:rFonts w:ascii="Aptos" w:hAnsi="Aptos"/>
          <w:b/>
          <w:i w:val="0"/>
          <w:color w:val="087F78"/>
          <w:sz w:val="21"/>
        </w:rPr>
        <w:t xml:space="preserve">No CE credit. </w:t>
      </w:r>
      <w:r>
        <w:rPr>
          <w:rFonts w:ascii="Aptos" w:hAnsi="Aptos"/>
          <w:b w:val="0"/>
          <w:i w:val="0"/>
          <w:sz w:val="21"/>
        </w:rPr>
        <w:t>This module is part of an Exam Preparation Program. It awards no continuing-education credit and no CE certificate.</w:t>
      </w:r>
    </w:p>
    <w:p>
      <w:pPr>
        <w:keepNext w:val="0"/>
        <w:spacing w:before="0" w:after="120" w:line="276" w:lineRule="auto"/>
      </w:pPr>
      <w:r>
        <w:rPr>
          <w:rFonts w:ascii="Aptos" w:hAnsi="Aptos"/>
          <w:b/>
          <w:i w:val="0"/>
          <w:color w:val="087F78"/>
          <w:sz w:val="21"/>
        </w:rPr>
        <w:t xml:space="preserve">Original protected content. </w:t>
      </w:r>
      <w:r>
        <w:rPr>
          <w:rFonts w:ascii="Aptos" w:hAnsi="Aptos"/>
          <w:b w:val="0"/>
          <w:i w:val="0"/>
          <w:sz w:val="21"/>
        </w:rPr>
        <w:t>CTA frameworks, questions, rationales, scenarios, and learning tools are original protected educational content. No live, recalled, copied, or unauthorized licensing-examination questions are used.</w:t>
      </w:r>
    </w:p>
    <w:p>
      <w:pPr>
        <w:pStyle w:val="Heading2"/>
      </w:pPr>
      <w:r>
        <w:t>Completion Record</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3000"/>
        <w:gridCol w:w="6240"/>
      </w:tblGrid>
      <w:tr>
        <w:trPr>
          <w:tblHeader w:val="true"/>
          <w:cantSplit/>
        </w:trPr>
        <w:tc>
          <w:tcPr>
            <w:tcW w:type="dxa" w:w="300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8"/>
              </w:rPr>
              <w:t>Field</w:t>
            </w:r>
          </w:p>
        </w:tc>
        <w:tc>
          <w:tcPr>
            <w:tcW w:type="dxa" w:w="6240"/>
            <w:shd w:fill="0B2545"/>
            <w:tcMar>
              <w:top w:w="100" w:type="dxa"/>
              <w:start w:w="120" w:type="dxa"/>
              <w:bottom w:w="100" w:type="dxa"/>
              <w:end w:w="120" w:type="dxa"/>
            </w:tcMar>
            <w:vAlign w:val="center"/>
          </w:tcPr>
          <w:p>
            <w:pPr>
              <w:keepNext w:val="0"/>
              <w:spacing w:before="0" w:after="40" w:line="259" w:lineRule="auto"/>
            </w:pPr>
            <w:r>
              <w:rPr>
                <w:rFonts w:ascii="Aptos" w:hAnsi="Aptos"/>
                <w:b/>
                <w:i w:val="0"/>
                <w:color w:val="FFFFFF"/>
                <w:sz w:val="18"/>
              </w:rPr>
              <w:t>Learner entry</w:t>
            </w:r>
          </w:p>
        </w:tc>
      </w:tr>
      <w:tr>
        <w:trPr>
          <w:cantSplit/>
        </w:trPr>
        <w:tc>
          <w:tcPr>
            <w:tcW w:type="dxa" w:w="3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Learner name</w:t>
            </w:r>
          </w:p>
        </w:tc>
        <w:tc>
          <w:tcPr>
            <w:tcW w:type="dxa" w:w="62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r>
          </w:p>
        </w:tc>
      </w:tr>
      <w:tr>
        <w:trPr>
          <w:cantSplit/>
        </w:trPr>
        <w:tc>
          <w:tcPr>
            <w:tcW w:type="dxa" w:w="3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Module completion date</w:t>
            </w:r>
          </w:p>
        </w:tc>
        <w:tc>
          <w:tcPr>
            <w:tcW w:type="dxa" w:w="62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r>
          </w:p>
        </w:tc>
      </w:tr>
      <w:tr>
        <w:trPr>
          <w:cantSplit/>
        </w:trPr>
        <w:tc>
          <w:tcPr>
            <w:tcW w:type="dxa" w:w="3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Units to revisit</w:t>
            </w:r>
          </w:p>
        </w:tc>
        <w:tc>
          <w:tcPr>
            <w:tcW w:type="dxa" w:w="6240"/>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r>
          </w:p>
        </w:tc>
      </w:tr>
      <w:tr>
        <w:trPr>
          <w:cantSplit/>
        </w:trPr>
        <w:tc>
          <w:tcPr>
            <w:tcW w:type="dxa" w:w="3000"/>
            <w:shd w:fill="E8EEF5"/>
            <w:tcMar>
              <w:top w:w="100" w:type="dxa"/>
              <w:start w:w="120" w:type="dxa"/>
              <w:bottom w:w="100" w:type="dxa"/>
              <w:end w:w="120" w:type="dxa"/>
            </w:tcMar>
            <w:vAlign w:val="center"/>
          </w:tcPr>
          <w:p>
            <w:pPr>
              <w:keepNext w:val="0"/>
              <w:spacing w:before="0" w:after="40" w:line="259" w:lineRule="auto"/>
            </w:pPr>
            <w:r>
              <w:rPr>
                <w:rFonts w:ascii="Aptos" w:hAnsi="Aptos"/>
                <w:b/>
                <w:i w:val="0"/>
                <w:color w:val="0B2545"/>
                <w:sz w:val="18"/>
              </w:rPr>
              <w:t>Ready for separate 25-question assessment</w:t>
            </w:r>
          </w:p>
        </w:tc>
        <w:tc>
          <w:tcPr>
            <w:tcW w:type="dxa" w:w="6240"/>
            <w:shd w:fill="FAFBFC"/>
            <w:tcMar>
              <w:top w:w="100" w:type="dxa"/>
              <w:start w:w="120" w:type="dxa"/>
              <w:bottom w:w="100" w:type="dxa"/>
              <w:end w:w="120" w:type="dxa"/>
            </w:tcMar>
            <w:vAlign w:val="center"/>
          </w:tcPr>
          <w:p>
            <w:pPr>
              <w:keepNext w:val="0"/>
              <w:spacing w:before="0" w:after="40" w:line="259" w:lineRule="auto"/>
            </w:pPr>
            <w:r>
              <w:rPr>
                <w:rFonts w:ascii="Aptos" w:hAnsi="Aptos"/>
                <w:b w:val="0"/>
                <w:i w:val="0"/>
                <w:color w:val="0B2545"/>
                <w:sz w:val="18"/>
              </w:rPr>
              <w:t>☐ Yes   ☐ Not yet</w:t>
            </w:r>
          </w:p>
        </w:tc>
      </w:tr>
    </w:tbl>
    <w:p>
      <w:pPr>
        <w:keepNext w:val="0"/>
        <w:spacing w:before="0" w:after="0" w:line="240" w:lineRule="auto"/>
      </w:pPr>
    </w:p>
    <w:p>
      <w:pPr>
        <w:keepNext w:val="0"/>
        <w:spacing w:before="280" w:after="40" w:line="276" w:lineRule="auto"/>
        <w:jc w:val="center"/>
      </w:pPr>
      <w:r>
        <w:rPr>
          <w:rFonts w:ascii="Aptos" w:hAnsi="Aptos"/>
          <w:b/>
          <w:i w:val="0"/>
          <w:color w:val="0B2545"/>
          <w:sz w:val="22"/>
        </w:rPr>
        <w:t>Clinical Training and Supervision Academy</w:t>
      </w:r>
    </w:p>
    <w:p>
      <w:pPr>
        <w:jc w:val="center"/>
      </w:pPr>
      <w:r>
        <w:rPr>
          <w:rFonts w:ascii="Aptos" w:hAnsi="Aptos"/>
          <w:b/>
          <w:i w:val="0"/>
          <w:color w:val="087F78"/>
          <w:sz w:val="21"/>
        </w:rPr>
        <w:t>Teaching Clinicians How to Think.™</w:t>
      </w:r>
    </w:p>
    <w:sectPr w:rsidR="00FC693F" w:rsidRPr="0006063C" w:rsidSect="00034616">
      <w:headerReference w:type="default" r:id="rId9"/>
      <w:footerReference w:type="default" r:id="rId10"/>
      <w:headerReference w:type="first" r:id="rId20"/>
      <w:headerReference w:type="even" r:id="rId21"/>
      <w:footerReference w:type="first" r:id="rId22"/>
      <w:footerReference w:type="even" r:id="rId23"/>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9360" w:val="right"/>
      </w:tabs>
      <w:spacing w:before="0" w:after="0" w:line="240" w:lineRule="auto"/>
    </w:pPr>
    <w:r>
      <w:rPr>
        <w:rFonts w:ascii="Aptos" w:hAnsi="Aptos"/>
        <w:b w:val="0"/>
        <w:i w:val="0"/>
        <w:color w:val="404B5A"/>
        <w:sz w:val="16"/>
      </w:rPr>
      <w:t>Learner Module v1.1  |  Source review: August 2, 2026</w:t>
    </w:r>
    <w:r>
      <w:rPr>
        <w:rFonts w:ascii="Aptos" w:hAnsi="Aptos"/>
        <w:b w:val="0"/>
        <w:i w:val="0"/>
        <w:color w:val="404B5A"/>
        <w:sz w:val="16"/>
      </w:rPr>
      <w:tab/>
    </w:r>
    <w:r>
      <w:rPr>
        <w:rFonts w:ascii="Aptos" w:hAnsi="Aptos"/>
        <w:b w:val="0"/>
        <w:i w:val="0"/>
        <w:color w:val="404B5A"/>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0B2545"/>
        <w:sz w:val="17"/>
      </w:rPr>
      <w:t>CTA-EP-001  |  LMFT California Law &amp; Ethics Exam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540"/>
        </w:tabs>
        <w:ind w:left="540" w:hanging="270"/>
        <w:spacing w:after="80" w:line="300" w:lineRule="auto"/>
      </w:pPr>
      <w:rPr>
        <w:color w:val="0B2545"/>
      </w:rPr>
    </w:lvl>
  </w:abstractNum>
  <w:num w:numId="90">
    <w:abstractNumId w:val="90"/>
  </w:num>
  <w:abstractNum w:abstractNumId="91">
    <w:multiLevelType w:val="singleLevel"/>
    <w:lvl w:ilvl="0">
      <w:start w:val="1"/>
      <w:numFmt w:val="bullet"/>
      <w:lvlText w:val="–"/>
      <w:lvlJc w:val="left"/>
      <w:pPr>
        <w:tabs>
          <w:tab w:val="num" w:pos="900"/>
        </w:tabs>
        <w:ind w:left="900" w:hanging="270"/>
        <w:spacing w:after="80" w:line="300" w:lineRule="auto"/>
      </w:pPr>
      <w:rPr>
        <w:color w:val="0B2545"/>
      </w:rPr>
    </w:lvl>
  </w:abstractNum>
  <w:num w:numId="91">
    <w:abstractNumId w:val="91"/>
  </w:num>
  <w:abstractNum w:abstractNumId="92">
    <w:multiLevelType w:val="singleLevel"/>
    <w:lvl w:ilvl="0">
      <w:start w:val="1"/>
      <w:numFmt w:val="decimal"/>
      <w:lvlText w:val="%1."/>
      <w:lvlJc w:val="left"/>
      <w:pPr>
        <w:tabs>
          <w:tab w:val="num" w:pos="540"/>
        </w:tabs>
        <w:ind w:left="540" w:hanging="270"/>
        <w:spacing w:after="80" w:line="300" w:lineRule="auto"/>
      </w:pPr>
      <w:rPr>
        <w:color w:val="0B2545"/>
      </w:rPr>
    </w:lvl>
  </w:abstractNum>
  <w:num w:numId="92">
    <w:abstractNumId w:val="92"/>
  </w:num>
  <w:num w:numId="100">
    <w:abstractNumId w:val="92"/>
    <w:lvlOverride w:ilvl="0">
      <w:startOverride w:val="1"/>
    </w:lvlOverride>
  </w:num>
  <w:num w:numId="101">
    <w:abstractNumId w:val="92"/>
    <w:lvlOverride w:ilvl="0">
      <w:startOverride w:val="1"/>
    </w:lvlOverride>
  </w:num>
  <w:num w:numId="102">
    <w:abstractNumId w:val="9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87F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87F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Bullet">
    <w:name w:val="CTA Bullet"/>
    <w:basedOn w:val="Normal"/>
    <w:pPr>
      <w:spacing w:after="80" w:line="300" w:lineRule="auto"/>
      <w:numPr>
        <w:ilvl w:val="0"/>
        <w:numId w:val="90"/>
      </w:numPr>
    </w:pPr>
  </w:style>
  <w:style w:type="paragraph" w:customStyle="1" w:styleId="CTABullet2">
    <w:name w:val="CTA Bullet 2"/>
    <w:basedOn w:val="Normal"/>
    <w:pPr>
      <w:spacing w:after="80" w:line="300" w:lineRule="auto"/>
      <w:numPr>
        <w:ilvl w:val="0"/>
        <w:numId w:val="91"/>
      </w:numPr>
    </w:pPr>
  </w:style>
  <w:style w:type="paragraph" w:customStyle="1" w:styleId="CTANumber">
    <w:name w:val="CTA Number"/>
    <w:basedOn w:val="Normal"/>
    <w:pPr>
      <w:spacing w:after="80" w:line="300" w:lineRule="auto"/>
      <w:numPr>
        <w:ilvl w:val="0"/>
        <w:numId w:val="92"/>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bbs.ca.gov/pdf/publications/lawsregs.pdf" TargetMode="External"/><Relationship Id="rId13" Type="http://schemas.openxmlformats.org/officeDocument/2006/relationships/hyperlink" Target="https://www.bbs.ca.gov/exams/calaw_ethics.html" TargetMode="External"/><Relationship Id="rId14" Type="http://schemas.openxmlformats.org/officeDocument/2006/relationships/hyperlink" Target="https://www.bbs.ca.gov/pdf/publications/law_ethics_faq.pdf" TargetMode="External"/><Relationship Id="rId15" Type="http://schemas.openxmlformats.org/officeDocument/2006/relationships/hyperlink" Target="https://www.bbs.ca.gov/applicants/lmft.html" TargetMode="External"/><Relationship Id="rId16" Type="http://schemas.openxmlformats.org/officeDocument/2006/relationships/hyperlink" Target="https://www.bbs.ca.gov/exams/lmft.html" TargetMode="External"/><Relationship Id="rId17" Type="http://schemas.openxmlformats.org/officeDocument/2006/relationships/hyperlink" Target="https://www.bbs.ca.gov/pdf/publications/mft_faq.pdf" TargetMode="External"/><Relationship Id="rId18" Type="http://schemas.openxmlformats.org/officeDocument/2006/relationships/hyperlink" Target="https://www.bbs.ca.gov/pdf/publications/adv_guide.pdf" TargetMode="External"/><Relationship Id="rId19" Type="http://schemas.openxmlformats.org/officeDocument/2006/relationships/hyperlink" Target="https://www.bbs.ca.gov/pdf/agen_notice/2026/20260507_item25.pdf" TargetMode="Externa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2.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LMFT Practice Act, AMFT Professional Identity &amp; California Examination Distinctions</dc:title>
  <dc:subject>CTA-EP-001 learner-facing instructional module</dc:subject>
  <dc:creator>Clinical Training and Supervision Academy</dc:creator>
  <cp:keywords>LMFT, AMFT, California Law and Ethics, exam preparation, CTA-EP-001</cp:keywords>
  <dc:description>Final internal learner module approved August 3, 2026; required after Start Here and before Workbook 1.</dc:description>
  <cp:lastModifiedBy/>
  <cp:revision>1</cp:revision>
  <dcterms:created xsi:type="dcterms:W3CDTF">2013-12-23T23:15:00Z</dcterms:created>
  <dcterms:modified xsi:type="dcterms:W3CDTF">2013-12-23T23:15:00Z</dcterms:modified>
  <cp:category/>
</cp:coreProperties>
</file>