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76" w:lineRule="auto"/>
        <w:jc w:val="center"/>
      </w:pPr>
      <w:r>
        <w:drawing>
          <wp:inline xmlns:a="http://schemas.openxmlformats.org/drawingml/2006/main" xmlns:pic="http://schemas.openxmlformats.org/drawingml/2006/picture">
            <wp:extent cx="2560320" cy="1850718"/>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2560320" cy="1850718"/>
                    </a:xfrm>
                    <a:prstGeom prst="rect"/>
                  </pic:spPr>
                </pic:pic>
              </a:graphicData>
            </a:graphic>
          </wp:inline>
        </w:drawing>
      </w:r>
    </w:p>
    <w:p>
      <w:pPr>
        <w:jc w:val="center"/>
      </w:pPr>
      <w:r>
        <w:rPr>
          <w:rFonts w:ascii="Aptos" w:hAnsi="Aptos"/>
          <w:b/>
          <w:i w:val="0"/>
          <w:color w:val="087F78"/>
          <w:sz w:val="20"/>
        </w:rPr>
        <w:t>CALIFORNIA LAW &amp; ETHICS EXAM PREPARATION</w:t>
      </w:r>
    </w:p>
    <w:p>
      <w:pPr>
        <w:pStyle w:val="Title"/>
        <w:jc w:val="center"/>
      </w:pPr>
      <w:r>
        <w:t>LMFT Practice Act Module</w:t>
        <w:br/>
        <w:t>25-Question Assessment</w:t>
      </w:r>
    </w:p>
    <w:p>
      <w:pPr>
        <w:pStyle w:val="Subtitle"/>
        <w:jc w:val="center"/>
      </w:pPr>
      <w:r>
        <w:t>Candidate Form — Questions and Answer Choices Only</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540"/>
      </w:tblGrid>
      <w:tr>
        <w:trPr>
          <w:tblHeader w:val="true"/>
          <w:cantSplit/>
        </w:trPr>
        <w:tc>
          <w:tcPr>
            <w:tcW w:type="dxa" w:w="270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Program control</w:t>
            </w:r>
          </w:p>
        </w:tc>
        <w:tc>
          <w:tcPr>
            <w:tcW w:type="dxa" w:w="654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Approved identity</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Program</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CTA LMFT California Law &amp; Ethics Exam Preparation Program</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Program code</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CTA-EP-001</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Audience</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LMFT and AMFT candidates only</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Classification</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Exam Preparation Program | No CE Credit</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Assessment</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25 original one-best-answer questions</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Version / status</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v1.1 | Final Internal Candidate Form | August 3, 2026</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PROGRAM BOUNDARY  </w:t>
      </w:r>
      <w:r>
        <w:rPr>
          <w:rFonts w:ascii="Aptos" w:hAnsi="Aptos"/>
          <w:b w:val="0"/>
          <w:i w:val="0"/>
          <w:color w:val="0B2545"/>
          <w:sz w:val="20"/>
        </w:rPr>
        <w:t>This assessment evaluates the required LMFT Practice Act, AMFT professional identity, and California examination distinctions module. It prepares learners for the LMFT California Law and Ethics Examination only. It does not prepare learners for the California LMFT Clinical Examination or the AMFTRB National Examination and awards no CE credit or CE certificate.</w:t>
      </w:r>
    </w:p>
    <w:p>
      <w:pPr>
        <w:jc w:val="center"/>
      </w:pPr>
      <w:r>
        <w:rPr>
          <w:rFonts w:ascii="Aptos" w:hAnsi="Aptos"/>
          <w:b/>
          <w:i w:val="0"/>
          <w:color w:val="087F78"/>
          <w:sz w:val="22"/>
        </w:rPr>
        <w:t>Teaching Clinicians How to Think.™</w:t>
      </w:r>
    </w:p>
    <w:p>
      <w:r>
        <w:br w:type="page"/>
      </w:r>
    </w:p>
    <w:p>
      <w:pPr>
        <w:pStyle w:val="Heading1"/>
      </w:pPr>
      <w:r>
        <w:t>Candidate Instructions</w:t>
      </w:r>
    </w:p>
    <w:p>
      <w:pPr>
        <w:pStyle w:val="CTANumber"/>
        <w:keepNext w:val="0"/>
        <w:numPr>
          <w:ilvl w:val="0"/>
          <w:numId w:val="192"/>
        </w:numPr>
        <w:spacing w:before="0" w:after="100" w:line="290" w:lineRule="auto"/>
      </w:pPr>
      <w:r>
        <w:rPr>
          <w:rFonts w:ascii="Aptos" w:hAnsi="Aptos"/>
          <w:b w:val="0"/>
          <w:i w:val="0"/>
          <w:sz w:val="20"/>
        </w:rPr>
        <w:t>Complete the learner module before beginning this assessment.</w:t>
      </w:r>
    </w:p>
    <w:p>
      <w:pPr>
        <w:pStyle w:val="CTANumber"/>
        <w:keepNext w:val="0"/>
        <w:numPr>
          <w:ilvl w:val="0"/>
          <w:numId w:val="192"/>
        </w:numPr>
        <w:spacing w:before="0" w:after="100" w:line="290" w:lineRule="auto"/>
      </w:pPr>
      <w:r>
        <w:rPr>
          <w:rFonts w:ascii="Aptos" w:hAnsi="Aptos"/>
          <w:b w:val="0"/>
          <w:i w:val="0"/>
          <w:sz w:val="20"/>
        </w:rPr>
        <w:t>Select the one BEST answer for each question. Every question has four options and one keyed answer.</w:t>
      </w:r>
    </w:p>
    <w:p>
      <w:pPr>
        <w:pStyle w:val="CTANumber"/>
        <w:keepNext w:val="0"/>
        <w:numPr>
          <w:ilvl w:val="0"/>
          <w:numId w:val="192"/>
        </w:numPr>
        <w:spacing w:before="0" w:after="100" w:line="290" w:lineRule="auto"/>
      </w:pPr>
      <w:r>
        <w:rPr>
          <w:rFonts w:ascii="Aptos" w:hAnsi="Aptos"/>
          <w:b w:val="0"/>
          <w:i w:val="0"/>
          <w:sz w:val="20"/>
        </w:rPr>
        <w:t>Answer from the facts provided. Do not add facts, assume an exception, or treat a proposed change as current law.</w:t>
      </w:r>
    </w:p>
    <w:p>
      <w:pPr>
        <w:pStyle w:val="CTANumber"/>
        <w:keepNext w:val="0"/>
        <w:numPr>
          <w:ilvl w:val="0"/>
          <w:numId w:val="192"/>
        </w:numPr>
        <w:spacing w:before="0" w:after="100" w:line="290" w:lineRule="auto"/>
      </w:pPr>
      <w:r>
        <w:rPr>
          <w:rFonts w:ascii="Aptos" w:hAnsi="Aptos"/>
          <w:b w:val="0"/>
          <w:i w:val="0"/>
          <w:sz w:val="20"/>
        </w:rPr>
        <w:t>Use the CTA sequence: STATUS → SETTING → SCOPE → SOURCE → SAFEGUARD → STEP → RECORD.</w:t>
      </w:r>
    </w:p>
    <w:p>
      <w:pPr>
        <w:pStyle w:val="CTANumber"/>
        <w:keepNext w:val="0"/>
        <w:numPr>
          <w:ilvl w:val="0"/>
          <w:numId w:val="192"/>
        </w:numPr>
        <w:spacing w:before="0" w:after="100" w:line="290" w:lineRule="auto"/>
      </w:pPr>
      <w:r>
        <w:rPr>
          <w:rFonts w:ascii="Aptos" w:hAnsi="Aptos"/>
          <w:b w:val="0"/>
          <w:i w:val="0"/>
          <w:sz w:val="20"/>
        </w:rPr>
        <w:t>Record responses on the answer sheet or directly beside the questions. Do not consult the controlled key until the approved review point.</w:t>
      </w:r>
    </w:p>
    <w:p>
      <w:pPr>
        <w:pStyle w:val="CTANumber"/>
        <w:keepNext w:val="0"/>
        <w:numPr>
          <w:ilvl w:val="0"/>
          <w:numId w:val="192"/>
        </w:numPr>
        <w:spacing w:before="0" w:after="100" w:line="290" w:lineRule="auto"/>
      </w:pPr>
      <w:r>
        <w:rPr>
          <w:rFonts w:ascii="Aptos" w:hAnsi="Aptos"/>
          <w:b w:val="0"/>
          <w:i w:val="0"/>
          <w:sz w:val="20"/>
        </w:rPr>
        <w:t>After scoring, review every rationale—not only missed items—and use the remediation destination to revisit weak areas.</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INDEPENDENT PRACTICE ASSESSMENT  </w:t>
      </w:r>
      <w:r>
        <w:rPr>
          <w:rFonts w:ascii="Aptos" w:hAnsi="Aptos"/>
          <w:b w:val="0"/>
          <w:i w:val="0"/>
          <w:color w:val="0B2545"/>
          <w:sz w:val="20"/>
        </w:rPr>
        <w:t>These are original CTA questions. They are not live, recalled, copied, or unauthorized licensing-examination items. Performance supports readiness planning but does not guarantee examination passage, eligibility, or licensure.</w:t>
      </w:r>
    </w:p>
    <w:p>
      <w:pPr>
        <w:keepNext w:val="0"/>
        <w:spacing w:before="0" w:after="160" w:line="276" w:lineRule="auto"/>
      </w:pPr>
      <w:r>
        <w:rPr>
          <w:rFonts w:ascii="Aptos" w:hAnsi="Aptos"/>
          <w:b w:val="0"/>
          <w:i w:val="0"/>
          <w:sz w:val="21"/>
        </w:rPr>
        <w:t>Learner name: ____________________________________     Date: ____________________</w:t>
      </w:r>
    </w:p>
    <w:p>
      <w:pPr>
        <w:pStyle w:val="Heading2"/>
      </w:pPr>
      <w:r>
        <w:t>Response Sheet</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040"/>
        <w:gridCol w:w="1800"/>
        <w:gridCol w:w="1800"/>
        <w:gridCol w:w="1800"/>
        <w:gridCol w:w="1800"/>
      </w:tblGrid>
      <w:tr>
        <w:trPr>
          <w:tblHeader w:val="true"/>
          <w:cantSplit/>
        </w:trPr>
        <w:tc>
          <w:tcPr>
            <w:tcW w:type="dxa" w:w="204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8"/>
              </w:rPr>
              <w:t>Question</w:t>
            </w:r>
          </w:p>
        </w:tc>
        <w:tc>
          <w:tcPr>
            <w:tcW w:type="dxa" w:w="180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8"/>
              </w:rPr>
              <w:t>A</w:t>
            </w:r>
          </w:p>
        </w:tc>
        <w:tc>
          <w:tcPr>
            <w:tcW w:type="dxa" w:w="180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8"/>
              </w:rPr>
              <w:t>B</w:t>
            </w:r>
          </w:p>
        </w:tc>
        <w:tc>
          <w:tcPr>
            <w:tcW w:type="dxa" w:w="180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8"/>
              </w:rPr>
              <w:t>C</w:t>
            </w:r>
          </w:p>
        </w:tc>
        <w:tc>
          <w:tcPr>
            <w:tcW w:type="dxa" w:w="180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8"/>
              </w:rPr>
              <w:t>D</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3</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4</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5</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6</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7</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8</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9</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10</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11</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12</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13</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14</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15</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16</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17</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18</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19</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20</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21</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22</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23</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24</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r>
        <w:trPr>
          <w:cantSplit/>
        </w:trPr>
        <w:tc>
          <w:tcPr>
            <w:tcW w:type="dxa" w:w="204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25</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c>
          <w:tcPr>
            <w:tcW w:type="dxa" w:w="180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8"/>
              </w:rPr>
              <w:t>☐</w:t>
            </w:r>
          </w:p>
        </w:tc>
      </w:tr>
    </w:tbl>
    <w:p>
      <w:pPr>
        <w:keepNext w:val="0"/>
        <w:spacing w:before="0" w:after="0" w:line="240" w:lineRule="auto"/>
      </w:pPr>
    </w:p>
    <w:p>
      <w:r>
        <w:br w:type="page"/>
      </w:r>
    </w:p>
    <w:p>
      <w:pPr>
        <w:pStyle w:val="Heading1"/>
      </w:pPr>
      <w:r>
        <w:t>Assessment Questions</w:t>
      </w:r>
    </w:p>
    <w:p>
      <w:pPr>
        <w:pStyle w:val="QuestionStem"/>
      </w:pPr>
      <w:r>
        <w:rPr>
          <w:rFonts w:ascii="Aptos" w:hAnsi="Aptos"/>
          <w:b/>
          <w:i w:val="0"/>
          <w:color w:val="087F78"/>
          <w:sz w:val="21"/>
        </w:rPr>
        <w:t xml:space="preserve">1. </w:t>
      </w:r>
      <w:r>
        <w:rPr>
          <w:rFonts w:ascii="Aptos" w:hAnsi="Aptos"/>
          <w:b/>
          <w:i w:val="0"/>
          <w:sz w:val="21"/>
        </w:rPr>
        <w:t>An AMFT finds an employer policy that conflicts with a current California regulation governing associate advertising. Which authority should the AMFT apply to determine the minimum legal advertising requirements?</w:t>
      </w:r>
    </w:p>
    <w:p>
      <w:pPr>
        <w:pStyle w:val="CTAOption"/>
        <w:keepNext/>
        <w:numPr>
          <w:ilvl w:val="0"/>
          <w:numId w:val="300"/>
        </w:numPr>
        <w:spacing w:before="0" w:after="100" w:line="290" w:lineRule="auto"/>
      </w:pPr>
      <w:r>
        <w:rPr>
          <w:rFonts w:ascii="Aptos" w:hAnsi="Aptos"/>
          <w:b w:val="0"/>
          <w:i w:val="0"/>
          <w:sz w:val="20"/>
        </w:rPr>
        <w:t>The employer policy, because it governs the workplace.</w:t>
      </w:r>
    </w:p>
    <w:p>
      <w:pPr>
        <w:pStyle w:val="CTAOption"/>
        <w:keepNext/>
        <w:numPr>
          <w:ilvl w:val="0"/>
          <w:numId w:val="300"/>
        </w:numPr>
        <w:spacing w:before="0" w:after="100" w:line="290" w:lineRule="auto"/>
      </w:pPr>
      <w:r>
        <w:rPr>
          <w:rFonts w:ascii="Aptos" w:hAnsi="Aptos"/>
          <w:b w:val="0"/>
          <w:i w:val="0"/>
          <w:sz w:val="20"/>
        </w:rPr>
        <w:t>The current California statute and regulation applicable to AMFT advertising.</w:t>
      </w:r>
    </w:p>
    <w:p>
      <w:pPr>
        <w:pStyle w:val="CTAOption"/>
        <w:keepNext/>
        <w:numPr>
          <w:ilvl w:val="0"/>
          <w:numId w:val="300"/>
        </w:numPr>
        <w:spacing w:before="0" w:after="100" w:line="290" w:lineRule="auto"/>
      </w:pPr>
      <w:r>
        <w:rPr>
          <w:rFonts w:ascii="Aptos" w:hAnsi="Aptos"/>
          <w:b w:val="0"/>
          <w:i w:val="0"/>
          <w:sz w:val="20"/>
        </w:rPr>
        <w:t>A general ethical principle, because ethics always supersede statutes.</w:t>
      </w:r>
    </w:p>
    <w:p>
      <w:pPr>
        <w:pStyle w:val="CTAOption"/>
        <w:keepNext w:val="0"/>
        <w:numPr>
          <w:ilvl w:val="0"/>
          <w:numId w:val="300"/>
        </w:numPr>
        <w:spacing w:before="0" w:after="200" w:line="290" w:lineRule="auto"/>
      </w:pPr>
      <w:r>
        <w:rPr>
          <w:rFonts w:ascii="Aptos" w:hAnsi="Aptos"/>
          <w:b w:val="0"/>
          <w:i w:val="0"/>
          <w:sz w:val="20"/>
        </w:rPr>
        <w:t>A proposed Board change, because the Board may adopt it later.</w:t>
      </w:r>
    </w:p>
    <w:p>
      <w:pPr>
        <w:pStyle w:val="QuestionStem"/>
      </w:pPr>
      <w:r>
        <w:rPr>
          <w:rFonts w:ascii="Aptos" w:hAnsi="Aptos"/>
          <w:b/>
          <w:i w:val="0"/>
          <w:color w:val="087F78"/>
          <w:sz w:val="21"/>
        </w:rPr>
        <w:t xml:space="preserve">2. </w:t>
      </w:r>
      <w:r>
        <w:rPr>
          <w:rFonts w:ascii="Aptos" w:hAnsi="Aptos"/>
          <w:b/>
          <w:i w:val="0"/>
          <w:sz w:val="21"/>
        </w:rPr>
        <w:t>A Board agenda item describes a possible future examination change. A study-group leader says candidates should treat the proposal as current law. What is the BEST response?</w:t>
      </w:r>
    </w:p>
    <w:p>
      <w:pPr>
        <w:pStyle w:val="CTAOption"/>
        <w:keepNext/>
        <w:numPr>
          <w:ilvl w:val="0"/>
          <w:numId w:val="301"/>
        </w:numPr>
        <w:spacing w:before="0" w:after="100" w:line="290" w:lineRule="auto"/>
      </w:pPr>
      <w:r>
        <w:rPr>
          <w:rFonts w:ascii="Aptos" w:hAnsi="Aptos"/>
          <w:b w:val="0"/>
          <w:i w:val="0"/>
          <w:sz w:val="20"/>
        </w:rPr>
        <w:t>Apply the proposal now because a Board agenda item is equivalent to an operative regulation.</w:t>
      </w:r>
    </w:p>
    <w:p>
      <w:pPr>
        <w:pStyle w:val="CTAOption"/>
        <w:keepNext/>
        <w:numPr>
          <w:ilvl w:val="0"/>
          <w:numId w:val="301"/>
        </w:numPr>
        <w:spacing w:before="0" w:after="100" w:line="290" w:lineRule="auto"/>
      </w:pPr>
      <w:r>
        <w:rPr>
          <w:rFonts w:ascii="Aptos" w:hAnsi="Aptos"/>
          <w:b w:val="0"/>
          <w:i w:val="0"/>
          <w:sz w:val="20"/>
        </w:rPr>
        <w:t>Ignore all Board publications and rely only on the employer’s interpretation.</w:t>
      </w:r>
    </w:p>
    <w:p>
      <w:pPr>
        <w:pStyle w:val="CTAOption"/>
        <w:keepNext/>
        <w:numPr>
          <w:ilvl w:val="0"/>
          <w:numId w:val="301"/>
        </w:numPr>
        <w:spacing w:before="0" w:after="100" w:line="290" w:lineRule="auto"/>
      </w:pPr>
      <w:r>
        <w:rPr>
          <w:rFonts w:ascii="Aptos" w:hAnsi="Aptos"/>
          <w:b w:val="0"/>
          <w:i w:val="0"/>
          <w:sz w:val="20"/>
        </w:rPr>
        <w:t>Choose whichever rule is more favorable to the candidate.</w:t>
      </w:r>
    </w:p>
    <w:p>
      <w:pPr>
        <w:pStyle w:val="CTAOption"/>
        <w:keepNext w:val="0"/>
        <w:numPr>
          <w:ilvl w:val="0"/>
          <w:numId w:val="301"/>
        </w:numPr>
        <w:spacing w:before="0" w:after="200" w:line="290" w:lineRule="auto"/>
      </w:pPr>
      <w:r>
        <w:rPr>
          <w:rFonts w:ascii="Aptos" w:hAnsi="Aptos"/>
          <w:b w:val="0"/>
          <w:i w:val="0"/>
          <w:sz w:val="20"/>
        </w:rPr>
        <w:t>Label the proposal as pending, apply the rule currently in effect, and monitor official implementation updates.</w:t>
      </w:r>
    </w:p>
    <w:p>
      <w:pPr>
        <w:pStyle w:val="QuestionStem"/>
      </w:pPr>
      <w:r>
        <w:rPr>
          <w:rFonts w:ascii="Aptos" w:hAnsi="Aptos"/>
          <w:b/>
          <w:i w:val="0"/>
          <w:color w:val="087F78"/>
          <w:sz w:val="21"/>
        </w:rPr>
        <w:t xml:space="preserve">3. </w:t>
      </w:r>
      <w:r>
        <w:rPr>
          <w:rFonts w:ascii="Aptos" w:hAnsi="Aptos"/>
          <w:b/>
          <w:i w:val="0"/>
          <w:sz w:val="21"/>
        </w:rPr>
        <w:t>Which description BEST reflects California’s statutory scope of marriage and family therapy?</w:t>
      </w:r>
    </w:p>
    <w:p>
      <w:pPr>
        <w:pStyle w:val="CTAOption"/>
        <w:keepNext/>
        <w:numPr>
          <w:ilvl w:val="0"/>
          <w:numId w:val="302"/>
        </w:numPr>
        <w:spacing w:before="0" w:after="100" w:line="290" w:lineRule="auto"/>
      </w:pPr>
      <w:r>
        <w:rPr>
          <w:rFonts w:ascii="Aptos" w:hAnsi="Aptos"/>
          <w:b w:val="0"/>
          <w:i w:val="0"/>
          <w:sz w:val="20"/>
        </w:rPr>
        <w:t>Applying psychotherapeutic and family-systems theories and methods to assess and treat relational, emotional, behavioral, mental-health, and substance-use concerns involving individuals, couples, or groups.</w:t>
      </w:r>
    </w:p>
    <w:p>
      <w:pPr>
        <w:pStyle w:val="CTAOption"/>
        <w:keepNext/>
        <w:numPr>
          <w:ilvl w:val="0"/>
          <w:numId w:val="302"/>
        </w:numPr>
        <w:spacing w:before="0" w:after="100" w:line="290" w:lineRule="auto"/>
      </w:pPr>
      <w:r>
        <w:rPr>
          <w:rFonts w:ascii="Aptos" w:hAnsi="Aptos"/>
          <w:b w:val="0"/>
          <w:i w:val="0"/>
          <w:sz w:val="20"/>
        </w:rPr>
        <w:t>Providing only premarital counseling to couples who have no mental-health diagnosis.</w:t>
      </w:r>
    </w:p>
    <w:p>
      <w:pPr>
        <w:pStyle w:val="CTAOption"/>
        <w:keepNext/>
        <w:numPr>
          <w:ilvl w:val="0"/>
          <w:numId w:val="302"/>
        </w:numPr>
        <w:spacing w:before="0" w:after="100" w:line="290" w:lineRule="auto"/>
      </w:pPr>
      <w:r>
        <w:rPr>
          <w:rFonts w:ascii="Aptos" w:hAnsi="Aptos"/>
          <w:b w:val="0"/>
          <w:i w:val="0"/>
          <w:sz w:val="20"/>
        </w:rPr>
        <w:t>Providing any health, educational, or social service requested by an individual, couple, or family whenever the clinician has general helping experience.</w:t>
      </w:r>
    </w:p>
    <w:p>
      <w:pPr>
        <w:pStyle w:val="CTAOption"/>
        <w:keepNext w:val="0"/>
        <w:numPr>
          <w:ilvl w:val="0"/>
          <w:numId w:val="302"/>
        </w:numPr>
        <w:spacing w:before="0" w:after="200" w:line="290" w:lineRule="auto"/>
      </w:pPr>
      <w:r>
        <w:rPr>
          <w:rFonts w:ascii="Aptos" w:hAnsi="Aptos"/>
          <w:b w:val="0"/>
          <w:i w:val="0"/>
          <w:sz w:val="20"/>
        </w:rPr>
        <w:t>Performing only crisis intervention and referring all relational treatment to another profession.</w:t>
      </w:r>
    </w:p>
    <w:p>
      <w:r>
        <w:br w:type="page"/>
      </w:r>
    </w:p>
    <w:p>
      <w:pPr>
        <w:pStyle w:val="QuestionStem"/>
      </w:pPr>
      <w:r>
        <w:rPr>
          <w:rFonts w:ascii="Aptos" w:hAnsi="Aptos"/>
          <w:b/>
          <w:i w:val="0"/>
          <w:color w:val="087F78"/>
          <w:sz w:val="21"/>
        </w:rPr>
        <w:t xml:space="preserve">4. </w:t>
      </w:r>
      <w:r>
        <w:rPr>
          <w:rFonts w:ascii="Aptos" w:hAnsi="Aptos"/>
          <w:b/>
          <w:i w:val="0"/>
          <w:sz w:val="21"/>
        </w:rPr>
        <w:t>A registered AMFT is competent to provide couples psychotherapy and is offered office space to see couples under the AMFT’s own business name. Which analysis is MOST accurate?</w:t>
      </w:r>
    </w:p>
    <w:p>
      <w:pPr>
        <w:pStyle w:val="CTAOption"/>
        <w:keepNext/>
        <w:numPr>
          <w:ilvl w:val="0"/>
          <w:numId w:val="303"/>
        </w:numPr>
        <w:spacing w:before="0" w:after="100" w:line="290" w:lineRule="auto"/>
      </w:pPr>
      <w:r>
        <w:rPr>
          <w:rFonts w:ascii="Aptos" w:hAnsi="Aptos"/>
          <w:b w:val="0"/>
          <w:i w:val="0"/>
          <w:sz w:val="20"/>
        </w:rPr>
        <w:t>Competence alone permits independent practice because couples psychotherapy is within LMFT scope and the AMFT has enough training to provide it safely.</w:t>
      </w:r>
    </w:p>
    <w:p>
      <w:pPr>
        <w:pStyle w:val="CTAOption"/>
        <w:keepNext/>
        <w:numPr>
          <w:ilvl w:val="0"/>
          <w:numId w:val="303"/>
        </w:numPr>
        <w:spacing w:before="0" w:after="100" w:line="290" w:lineRule="auto"/>
      </w:pPr>
      <w:r>
        <w:rPr>
          <w:rFonts w:ascii="Aptos" w:hAnsi="Aptos"/>
          <w:b w:val="0"/>
          <w:i w:val="0"/>
          <w:sz w:val="20"/>
        </w:rPr>
        <w:t>The service is outside LMFT scope because LMFTs may treat only families, not couples.</w:t>
      </w:r>
    </w:p>
    <w:p>
      <w:pPr>
        <w:pStyle w:val="CTAOption"/>
        <w:keepNext/>
        <w:numPr>
          <w:ilvl w:val="0"/>
          <w:numId w:val="303"/>
        </w:numPr>
        <w:spacing w:before="0" w:after="100" w:line="290" w:lineRule="auto"/>
      </w:pPr>
      <w:r>
        <w:rPr>
          <w:rFonts w:ascii="Aptos" w:hAnsi="Aptos"/>
          <w:b w:val="0"/>
          <w:i w:val="0"/>
          <w:sz w:val="20"/>
        </w:rPr>
        <w:t>The service may be within LMFT scope and the AMFT’s competence, but the AMFT still needs a lawful employment or volunteer arrangement and required supervision.</w:t>
      </w:r>
    </w:p>
    <w:p>
      <w:pPr>
        <w:pStyle w:val="CTAOption"/>
        <w:keepNext w:val="0"/>
        <w:numPr>
          <w:ilvl w:val="0"/>
          <w:numId w:val="303"/>
        </w:numPr>
        <w:spacing w:before="0" w:after="200" w:line="290" w:lineRule="auto"/>
      </w:pPr>
      <w:r>
        <w:rPr>
          <w:rFonts w:ascii="Aptos" w:hAnsi="Aptos"/>
          <w:b w:val="0"/>
          <w:i w:val="0"/>
          <w:sz w:val="20"/>
        </w:rPr>
        <w:t>The arrangement is lawful if every client signs a detailed waiver acknowledging the AMFT’s status and agreeing to treatment under the business name.</w:t>
      </w:r>
    </w:p>
    <w:p>
      <w:pPr>
        <w:pStyle w:val="QuestionStem"/>
      </w:pPr>
      <w:r>
        <w:rPr>
          <w:rFonts w:ascii="Aptos" w:hAnsi="Aptos"/>
          <w:b/>
          <w:i w:val="0"/>
          <w:color w:val="087F78"/>
          <w:sz w:val="21"/>
        </w:rPr>
        <w:t xml:space="preserve">5. </w:t>
      </w:r>
      <w:r>
        <w:rPr>
          <w:rFonts w:ascii="Aptos" w:hAnsi="Aptos"/>
          <w:b/>
          <w:i w:val="0"/>
          <w:sz w:val="21"/>
        </w:rPr>
        <w:t>A graduate student is enrolled in a qualifying MFT degree program, has met the required coursework threshold, and is counseling clients as part of a school-coordinated practicum. Which professional status applies?</w:t>
      </w:r>
    </w:p>
    <w:p>
      <w:pPr>
        <w:pStyle w:val="CTAOption"/>
        <w:keepNext/>
        <w:numPr>
          <w:ilvl w:val="0"/>
          <w:numId w:val="304"/>
        </w:numPr>
        <w:spacing w:before="0" w:after="100" w:line="290" w:lineRule="auto"/>
      </w:pPr>
      <w:r>
        <w:rPr>
          <w:rFonts w:ascii="Aptos" w:hAnsi="Aptos"/>
          <w:b w:val="0"/>
          <w:i w:val="0"/>
          <w:sz w:val="20"/>
        </w:rPr>
        <w:t>Licensed Marriage and Family Therapist.</w:t>
      </w:r>
    </w:p>
    <w:p>
      <w:pPr>
        <w:pStyle w:val="CTAOption"/>
        <w:keepNext/>
        <w:numPr>
          <w:ilvl w:val="0"/>
          <w:numId w:val="304"/>
        </w:numPr>
        <w:spacing w:before="0" w:after="100" w:line="290" w:lineRule="auto"/>
      </w:pPr>
      <w:r>
        <w:rPr>
          <w:rFonts w:ascii="Aptos" w:hAnsi="Aptos"/>
          <w:b w:val="0"/>
          <w:i w:val="0"/>
          <w:sz w:val="20"/>
        </w:rPr>
        <w:t>Marriage and family therapist trainee.</w:t>
      </w:r>
    </w:p>
    <w:p>
      <w:pPr>
        <w:pStyle w:val="CTAOption"/>
        <w:keepNext/>
        <w:numPr>
          <w:ilvl w:val="0"/>
          <w:numId w:val="304"/>
        </w:numPr>
        <w:spacing w:before="0" w:after="100" w:line="290" w:lineRule="auto"/>
      </w:pPr>
      <w:r>
        <w:rPr>
          <w:rFonts w:ascii="Aptos" w:hAnsi="Aptos"/>
          <w:b w:val="0"/>
          <w:i w:val="0"/>
          <w:sz w:val="20"/>
        </w:rPr>
        <w:t>Registered Associate Marriage and Family Therapist.</w:t>
      </w:r>
    </w:p>
    <w:p>
      <w:pPr>
        <w:pStyle w:val="CTAOption"/>
        <w:keepNext w:val="0"/>
        <w:numPr>
          <w:ilvl w:val="0"/>
          <w:numId w:val="304"/>
        </w:numPr>
        <w:spacing w:before="0" w:after="200" w:line="290" w:lineRule="auto"/>
      </w:pPr>
      <w:r>
        <w:rPr>
          <w:rFonts w:ascii="Aptos" w:hAnsi="Aptos"/>
          <w:b w:val="0"/>
          <w:i w:val="0"/>
          <w:sz w:val="20"/>
        </w:rPr>
        <w:t>Applicant for LMFT licensure.</w:t>
      </w:r>
    </w:p>
    <w:p>
      <w:pPr>
        <w:pStyle w:val="QuestionStem"/>
      </w:pPr>
      <w:r>
        <w:rPr>
          <w:rFonts w:ascii="Aptos" w:hAnsi="Aptos"/>
          <w:b/>
          <w:i w:val="0"/>
          <w:color w:val="087F78"/>
          <w:sz w:val="21"/>
        </w:rPr>
        <w:t xml:space="preserve">6. </w:t>
      </w:r>
      <w:r>
        <w:rPr>
          <w:rFonts w:ascii="Aptos" w:hAnsi="Aptos"/>
          <w:b/>
          <w:i w:val="0"/>
          <w:sz w:val="21"/>
        </w:rPr>
        <w:t>A registered AMFT is asked to use an intensive family intervention the AMFT has never performed. The service is generally within LMFT scope, but the supervisor plans to review the case next month. No emergency requires immediate use of the intervention. What should the AMFT do NEXT?</w:t>
      </w:r>
    </w:p>
    <w:p>
      <w:pPr>
        <w:pStyle w:val="CTAOption"/>
        <w:keepNext/>
        <w:numPr>
          <w:ilvl w:val="0"/>
          <w:numId w:val="305"/>
        </w:numPr>
        <w:spacing w:before="0" w:after="100" w:line="290" w:lineRule="auto"/>
      </w:pPr>
      <w:r>
        <w:rPr>
          <w:rFonts w:ascii="Aptos" w:hAnsi="Aptos"/>
          <w:b w:val="0"/>
          <w:i w:val="0"/>
          <w:sz w:val="20"/>
        </w:rPr>
        <w:t>Begin the intervention because a service within LMFT scope is automatically within the AMFT’s authority whenever the associate has reviewed written instructions.</w:t>
      </w:r>
    </w:p>
    <w:p>
      <w:pPr>
        <w:pStyle w:val="CTAOption"/>
        <w:keepNext/>
        <w:numPr>
          <w:ilvl w:val="0"/>
          <w:numId w:val="305"/>
        </w:numPr>
        <w:spacing w:before="0" w:after="100" w:line="290" w:lineRule="auto"/>
      </w:pPr>
      <w:r>
        <w:rPr>
          <w:rFonts w:ascii="Aptos" w:hAnsi="Aptos"/>
          <w:b w:val="0"/>
          <w:i w:val="0"/>
          <w:sz w:val="20"/>
        </w:rPr>
        <w:t>Begin the intervention after telling the family that the AMFT is learning the method.</w:t>
      </w:r>
    </w:p>
    <w:p>
      <w:pPr>
        <w:pStyle w:val="CTAOption"/>
        <w:keepNext/>
        <w:numPr>
          <w:ilvl w:val="0"/>
          <w:numId w:val="305"/>
        </w:numPr>
        <w:spacing w:before="0" w:after="100" w:line="290" w:lineRule="auto"/>
      </w:pPr>
      <w:r>
        <w:rPr>
          <w:rFonts w:ascii="Aptos" w:hAnsi="Aptos"/>
          <w:b w:val="0"/>
          <w:i w:val="0"/>
          <w:sz w:val="20"/>
        </w:rPr>
        <w:t>Document the supervisor’s delayed review, obtain the family’s agreement, and proceed because documentation transfers responsibility for the intervention to the supervisor.</w:t>
      </w:r>
    </w:p>
    <w:p>
      <w:pPr>
        <w:pStyle w:val="CTAOption"/>
        <w:keepNext w:val="0"/>
        <w:numPr>
          <w:ilvl w:val="0"/>
          <w:numId w:val="305"/>
        </w:numPr>
        <w:spacing w:before="0" w:after="200" w:line="290" w:lineRule="auto"/>
      </w:pPr>
      <w:r>
        <w:rPr>
          <w:rFonts w:ascii="Aptos" w:hAnsi="Aptos"/>
          <w:b w:val="0"/>
          <w:i w:val="0"/>
          <w:sz w:val="20"/>
        </w:rPr>
        <w:t>Defer the intervention, disclose the competence gap, and obtain timely qualified direction or an appropriate alternative.</w:t>
      </w:r>
    </w:p>
    <w:p>
      <w:r>
        <w:br w:type="page"/>
      </w:r>
    </w:p>
    <w:p>
      <w:pPr>
        <w:pStyle w:val="QuestionStem"/>
      </w:pPr>
      <w:r>
        <w:rPr>
          <w:rFonts w:ascii="Aptos" w:hAnsi="Aptos"/>
          <w:b/>
          <w:i w:val="0"/>
          <w:color w:val="087F78"/>
          <w:sz w:val="21"/>
        </w:rPr>
        <w:t xml:space="preserve">7. </w:t>
      </w:r>
      <w:r>
        <w:rPr>
          <w:rFonts w:ascii="Aptos" w:hAnsi="Aptos"/>
          <w:b/>
          <w:i w:val="0"/>
          <w:sz w:val="21"/>
        </w:rPr>
        <w:t>Which set contains the required core elements of an AMFT advertisement under the rules operative April 1, 2026?</w:t>
      </w:r>
    </w:p>
    <w:p>
      <w:pPr>
        <w:pStyle w:val="CTAOption"/>
        <w:keepNext/>
        <w:numPr>
          <w:ilvl w:val="0"/>
          <w:numId w:val="306"/>
        </w:numPr>
        <w:spacing w:before="0" w:after="100" w:line="290" w:lineRule="auto"/>
      </w:pPr>
      <w:r>
        <w:rPr>
          <w:rFonts w:ascii="Aptos" w:hAnsi="Aptos"/>
          <w:b w:val="0"/>
          <w:i w:val="0"/>
          <w:sz w:val="20"/>
        </w:rPr>
        <w:t>Filed name; permitted registration title and number; employer or volunteer entity; and a statement of supervision by a licensed person.</w:t>
      </w:r>
    </w:p>
    <w:p>
      <w:pPr>
        <w:pStyle w:val="CTAOption"/>
        <w:keepNext/>
        <w:numPr>
          <w:ilvl w:val="0"/>
          <w:numId w:val="306"/>
        </w:numPr>
        <w:spacing w:before="0" w:after="100" w:line="290" w:lineRule="auto"/>
      </w:pPr>
      <w:r>
        <w:rPr>
          <w:rFonts w:ascii="Aptos" w:hAnsi="Aptos"/>
          <w:b w:val="0"/>
          <w:i w:val="0"/>
          <w:sz w:val="20"/>
        </w:rPr>
        <w:t>First name; academic degree; supervisor’s first name; and years of experience.</w:t>
      </w:r>
    </w:p>
    <w:p>
      <w:pPr>
        <w:pStyle w:val="CTAOption"/>
        <w:keepNext/>
        <w:numPr>
          <w:ilvl w:val="0"/>
          <w:numId w:val="306"/>
        </w:numPr>
        <w:spacing w:before="0" w:after="100" w:line="290" w:lineRule="auto"/>
      </w:pPr>
      <w:r>
        <w:rPr>
          <w:rFonts w:ascii="Aptos" w:hAnsi="Aptos"/>
          <w:b w:val="0"/>
          <w:i w:val="0"/>
          <w:sz w:val="20"/>
        </w:rPr>
        <w:t>The abbreviation AMFT, registration number, academic degree, and a link to another page identifying the employer and supervised status.</w:t>
      </w:r>
    </w:p>
    <w:p>
      <w:pPr>
        <w:pStyle w:val="CTAOption"/>
        <w:keepNext w:val="0"/>
        <w:numPr>
          <w:ilvl w:val="0"/>
          <w:numId w:val="306"/>
        </w:numPr>
        <w:spacing w:before="0" w:after="200" w:line="290" w:lineRule="auto"/>
      </w:pPr>
      <w:r>
        <w:rPr>
          <w:rFonts w:ascii="Aptos" w:hAnsi="Aptos"/>
          <w:b w:val="0"/>
          <w:i w:val="0"/>
          <w:sz w:val="20"/>
        </w:rPr>
        <w:t>Business name, treatment specialties, and a statement that consultation is available.</w:t>
      </w:r>
    </w:p>
    <w:p>
      <w:pPr>
        <w:pStyle w:val="QuestionStem"/>
      </w:pPr>
      <w:r>
        <w:rPr>
          <w:rFonts w:ascii="Aptos" w:hAnsi="Aptos"/>
          <w:b/>
          <w:i w:val="0"/>
          <w:color w:val="087F78"/>
          <w:sz w:val="21"/>
        </w:rPr>
        <w:t xml:space="preserve">8. </w:t>
      </w:r>
      <w:r>
        <w:rPr>
          <w:rFonts w:ascii="Aptos" w:hAnsi="Aptos"/>
          <w:b/>
          <w:i w:val="0"/>
          <w:sz w:val="21"/>
        </w:rPr>
        <w:t>A website lists “Taylor Nguyen, Registered Associate Marriage and Family Therapist, Registration No. 123456, employed by Harbor Family Center.” What required advertising element is missing?</w:t>
      </w:r>
    </w:p>
    <w:p>
      <w:pPr>
        <w:pStyle w:val="CTAOption"/>
        <w:keepNext/>
        <w:numPr>
          <w:ilvl w:val="0"/>
          <w:numId w:val="307"/>
        </w:numPr>
        <w:spacing w:before="0" w:after="100" w:line="290" w:lineRule="auto"/>
      </w:pPr>
      <w:r>
        <w:rPr>
          <w:rFonts w:ascii="Aptos" w:hAnsi="Aptos"/>
          <w:b w:val="0"/>
          <w:i w:val="0"/>
          <w:sz w:val="20"/>
        </w:rPr>
        <w:t>A statement of the associate’s preferred treatment theory.</w:t>
      </w:r>
    </w:p>
    <w:p>
      <w:pPr>
        <w:pStyle w:val="CTAOption"/>
        <w:keepNext/>
        <w:numPr>
          <w:ilvl w:val="0"/>
          <w:numId w:val="307"/>
        </w:numPr>
        <w:spacing w:before="0" w:after="100" w:line="290" w:lineRule="auto"/>
      </w:pPr>
      <w:r>
        <w:rPr>
          <w:rFonts w:ascii="Aptos" w:hAnsi="Aptos"/>
          <w:b w:val="0"/>
          <w:i w:val="0"/>
          <w:sz w:val="20"/>
        </w:rPr>
        <w:t>The supervisor’s personal telephone number and current license expiration date.</w:t>
      </w:r>
    </w:p>
    <w:p>
      <w:pPr>
        <w:pStyle w:val="CTAOption"/>
        <w:keepNext/>
        <w:numPr>
          <w:ilvl w:val="0"/>
          <w:numId w:val="307"/>
        </w:numPr>
        <w:spacing w:before="0" w:after="100" w:line="290" w:lineRule="auto"/>
      </w:pPr>
      <w:r>
        <w:rPr>
          <w:rFonts w:ascii="Aptos" w:hAnsi="Aptos"/>
          <w:b w:val="0"/>
          <w:i w:val="0"/>
          <w:sz w:val="20"/>
        </w:rPr>
        <w:t>A statement that the associate is supervised by a licensed person.</w:t>
      </w:r>
    </w:p>
    <w:p>
      <w:pPr>
        <w:pStyle w:val="CTAOption"/>
        <w:keepNext w:val="0"/>
        <w:numPr>
          <w:ilvl w:val="0"/>
          <w:numId w:val="307"/>
        </w:numPr>
        <w:spacing w:before="0" w:after="200" w:line="290" w:lineRule="auto"/>
      </w:pPr>
      <w:r>
        <w:rPr>
          <w:rFonts w:ascii="Aptos" w:hAnsi="Aptos"/>
          <w:b w:val="0"/>
          <w:i w:val="0"/>
          <w:sz w:val="20"/>
        </w:rPr>
        <w:t>The associate’s examination score and clinical-exam eligibility date.</w:t>
      </w:r>
    </w:p>
    <w:p>
      <w:pPr>
        <w:pStyle w:val="QuestionStem"/>
      </w:pPr>
      <w:r>
        <w:rPr>
          <w:rFonts w:ascii="Aptos" w:hAnsi="Aptos"/>
          <w:b/>
          <w:i w:val="0"/>
          <w:color w:val="087F78"/>
          <w:sz w:val="21"/>
        </w:rPr>
        <w:t xml:space="preserve">9. </w:t>
      </w:r>
      <w:r>
        <w:rPr>
          <w:rFonts w:ascii="Aptos" w:hAnsi="Aptos"/>
          <w:b/>
          <w:i w:val="0"/>
          <w:sz w:val="21"/>
        </w:rPr>
        <w:t>Before an AMFT’s first psychotherapy session, the employer gives the client the Board complaint notice but the AMFT has not explained the associate’s own status. What is the BEST action before providing services?</w:t>
      </w:r>
    </w:p>
    <w:p>
      <w:pPr>
        <w:pStyle w:val="CTAOption"/>
        <w:keepNext/>
        <w:numPr>
          <w:ilvl w:val="0"/>
          <w:numId w:val="308"/>
        </w:numPr>
        <w:spacing w:before="0" w:after="100" w:line="290" w:lineRule="auto"/>
      </w:pPr>
      <w:r>
        <w:rPr>
          <w:rFonts w:ascii="Aptos" w:hAnsi="Aptos"/>
          <w:b w:val="0"/>
          <w:i w:val="0"/>
          <w:sz w:val="20"/>
        </w:rPr>
        <w:t>Proceed because the Board notice replaces every other status disclosure once the employer documents that the client received it before psychotherapy.</w:t>
      </w:r>
    </w:p>
    <w:p>
      <w:pPr>
        <w:pStyle w:val="CTAOption"/>
        <w:keepNext/>
        <w:numPr>
          <w:ilvl w:val="0"/>
          <w:numId w:val="308"/>
        </w:numPr>
        <w:spacing w:before="0" w:after="100" w:line="290" w:lineRule="auto"/>
      </w:pPr>
      <w:r>
        <w:rPr>
          <w:rFonts w:ascii="Aptos" w:hAnsi="Aptos"/>
          <w:b w:val="0"/>
          <w:i w:val="0"/>
          <w:sz w:val="20"/>
        </w:rPr>
        <w:t>Wait until the client asks whether the AMFT is licensed.</w:t>
      </w:r>
    </w:p>
    <w:p>
      <w:pPr>
        <w:pStyle w:val="CTAOption"/>
        <w:keepNext/>
        <w:numPr>
          <w:ilvl w:val="0"/>
          <w:numId w:val="308"/>
        </w:numPr>
        <w:spacing w:before="0" w:after="100" w:line="290" w:lineRule="auto"/>
      </w:pPr>
      <w:r>
        <w:rPr>
          <w:rFonts w:ascii="Aptos" w:hAnsi="Aptos"/>
          <w:b w:val="0"/>
          <w:i w:val="0"/>
          <w:sz w:val="20"/>
        </w:rPr>
        <w:t>Provide the supervisor’s name, license type, and telephone number because that information establishes the AMFT’s own legal status for the client.</w:t>
      </w:r>
    </w:p>
    <w:p>
      <w:pPr>
        <w:pStyle w:val="CTAOption"/>
        <w:keepNext w:val="0"/>
        <w:numPr>
          <w:ilvl w:val="0"/>
          <w:numId w:val="308"/>
        </w:numPr>
        <w:spacing w:before="0" w:after="200" w:line="290" w:lineRule="auto"/>
      </w:pPr>
      <w:r>
        <w:rPr>
          <w:rFonts w:ascii="Aptos" w:hAnsi="Aptos"/>
          <w:b w:val="0"/>
          <w:i w:val="0"/>
          <w:sz w:val="20"/>
        </w:rPr>
        <w:t>Disclose the AMFT’s unlicensed registered status, registration number, employer, and authorized supervision before providing services.</w:t>
      </w:r>
    </w:p>
    <w:p>
      <w:r>
        <w:br w:type="page"/>
      </w:r>
    </w:p>
    <w:p>
      <w:pPr>
        <w:pStyle w:val="QuestionStem"/>
      </w:pPr>
      <w:r>
        <w:rPr>
          <w:rFonts w:ascii="Aptos" w:hAnsi="Aptos"/>
          <w:b/>
          <w:i w:val="0"/>
          <w:color w:val="087F78"/>
          <w:sz w:val="21"/>
        </w:rPr>
        <w:t xml:space="preserve">10. </w:t>
      </w:r>
      <w:r>
        <w:rPr>
          <w:rFonts w:ascii="Aptos" w:hAnsi="Aptos"/>
          <w:b/>
          <w:i w:val="0"/>
          <w:sz w:val="21"/>
        </w:rPr>
        <w:t>An employer-created directory profile describes an AMFT as a “licensed couples therapist.” The AMFT’s registration number appears, but the required registration title, employer name, and supervised-status statement do not. The AMFT did not write the profile. What is the BEST response?</w:t>
      </w:r>
    </w:p>
    <w:p>
      <w:pPr>
        <w:pStyle w:val="CTAOption"/>
        <w:keepNext/>
        <w:numPr>
          <w:ilvl w:val="0"/>
          <w:numId w:val="309"/>
        </w:numPr>
        <w:spacing w:before="0" w:after="100" w:line="290" w:lineRule="auto"/>
      </w:pPr>
      <w:r>
        <w:rPr>
          <w:rFonts w:ascii="Aptos" w:hAnsi="Aptos"/>
          <w:b w:val="0"/>
          <w:i w:val="0"/>
          <w:sz w:val="20"/>
        </w:rPr>
        <w:t>Leave the profile unchanged because only the employer can be responsible for its wording.</w:t>
      </w:r>
    </w:p>
    <w:p>
      <w:pPr>
        <w:pStyle w:val="CTAOption"/>
        <w:keepNext/>
        <w:numPr>
          <w:ilvl w:val="0"/>
          <w:numId w:val="309"/>
        </w:numPr>
        <w:spacing w:before="0" w:after="100" w:line="290" w:lineRule="auto"/>
      </w:pPr>
      <w:r>
        <w:rPr>
          <w:rFonts w:ascii="Aptos" w:hAnsi="Aptos"/>
          <w:b w:val="0"/>
          <w:i w:val="0"/>
          <w:sz w:val="20"/>
        </w:rPr>
        <w:t>Promptly seek correction, notify the supervisor and employer, and document the response and any client impact.</w:t>
      </w:r>
    </w:p>
    <w:p>
      <w:pPr>
        <w:pStyle w:val="CTAOption"/>
        <w:keepNext/>
        <w:numPr>
          <w:ilvl w:val="0"/>
          <w:numId w:val="309"/>
        </w:numPr>
        <w:spacing w:before="0" w:after="100" w:line="290" w:lineRule="auto"/>
      </w:pPr>
      <w:r>
        <w:rPr>
          <w:rFonts w:ascii="Aptos" w:hAnsi="Aptos"/>
          <w:b w:val="0"/>
          <w:i w:val="0"/>
          <w:sz w:val="20"/>
        </w:rPr>
        <w:t>Add the AMFT’s academic degree, the employer’s name, and the supervisor’s license number while keeping the “licensed” description because the registration number is shown.</w:t>
      </w:r>
    </w:p>
    <w:p>
      <w:pPr>
        <w:pStyle w:val="CTAOption"/>
        <w:keepNext w:val="0"/>
        <w:numPr>
          <w:ilvl w:val="0"/>
          <w:numId w:val="309"/>
        </w:numPr>
        <w:spacing w:before="0" w:after="200" w:line="290" w:lineRule="auto"/>
      </w:pPr>
      <w:r>
        <w:rPr>
          <w:rFonts w:ascii="Aptos" w:hAnsi="Aptos"/>
          <w:b w:val="0"/>
          <w:i w:val="0"/>
          <w:sz w:val="20"/>
        </w:rPr>
        <w:t>Wait for a consumer complaint before making a change.</w:t>
      </w:r>
    </w:p>
    <w:p>
      <w:pPr>
        <w:pStyle w:val="QuestionStem"/>
      </w:pPr>
      <w:r>
        <w:rPr>
          <w:rFonts w:ascii="Aptos" w:hAnsi="Aptos"/>
          <w:b/>
          <w:i w:val="0"/>
          <w:color w:val="087F78"/>
          <w:sz w:val="21"/>
        </w:rPr>
        <w:t xml:space="preserve">11. </w:t>
      </w:r>
      <w:r>
        <w:rPr>
          <w:rFonts w:ascii="Aptos" w:hAnsi="Aptos"/>
          <w:b/>
          <w:i w:val="0"/>
          <w:sz w:val="21"/>
        </w:rPr>
        <w:t>Under California’s LMFT Practice Act, which statement BEST defines supervision of an AMFT?</w:t>
      </w:r>
    </w:p>
    <w:p>
      <w:pPr>
        <w:pStyle w:val="CTAOption"/>
        <w:keepNext/>
        <w:numPr>
          <w:ilvl w:val="0"/>
          <w:numId w:val="310"/>
        </w:numPr>
        <w:spacing w:before="0" w:after="100" w:line="290" w:lineRule="auto"/>
      </w:pPr>
      <w:r>
        <w:rPr>
          <w:rFonts w:ascii="Aptos" w:hAnsi="Aptos"/>
          <w:b w:val="0"/>
          <w:i w:val="0"/>
          <w:sz w:val="20"/>
        </w:rPr>
        <w:t>Optional advice from any experienced colleague.</w:t>
      </w:r>
    </w:p>
    <w:p>
      <w:pPr>
        <w:pStyle w:val="CTAOption"/>
        <w:keepNext/>
        <w:numPr>
          <w:ilvl w:val="0"/>
          <w:numId w:val="310"/>
        </w:numPr>
        <w:spacing w:before="0" w:after="100" w:line="290" w:lineRule="auto"/>
      </w:pPr>
      <w:r>
        <w:rPr>
          <w:rFonts w:ascii="Aptos" w:hAnsi="Aptos"/>
          <w:b w:val="0"/>
          <w:i w:val="0"/>
          <w:sz w:val="20"/>
        </w:rPr>
        <w:t>Administrative review of productivity without review of clinical services.</w:t>
      </w:r>
    </w:p>
    <w:p>
      <w:pPr>
        <w:pStyle w:val="CTAOption"/>
        <w:keepNext/>
        <w:numPr>
          <w:ilvl w:val="0"/>
          <w:numId w:val="310"/>
        </w:numPr>
        <w:spacing w:before="0" w:after="100" w:line="290" w:lineRule="auto"/>
      </w:pPr>
      <w:r>
        <w:rPr>
          <w:rFonts w:ascii="Aptos" w:hAnsi="Aptos"/>
          <w:b w:val="0"/>
          <w:i w:val="0"/>
          <w:sz w:val="20"/>
        </w:rPr>
        <w:t>Responsibility for and control of the supervisee’s mental-health service quality.</w:t>
      </w:r>
    </w:p>
    <w:p>
      <w:pPr>
        <w:pStyle w:val="CTAOption"/>
        <w:keepNext w:val="0"/>
        <w:numPr>
          <w:ilvl w:val="0"/>
          <w:numId w:val="310"/>
        </w:numPr>
        <w:spacing w:before="0" w:after="200" w:line="290" w:lineRule="auto"/>
      </w:pPr>
      <w:r>
        <w:rPr>
          <w:rFonts w:ascii="Aptos" w:hAnsi="Aptos"/>
          <w:b w:val="0"/>
          <w:i w:val="0"/>
          <w:sz w:val="20"/>
        </w:rPr>
        <w:t>Peer discussion that occurs whenever the AMFT requests it.</w:t>
      </w:r>
    </w:p>
    <w:p>
      <w:pPr>
        <w:pStyle w:val="QuestionStem"/>
      </w:pPr>
      <w:r>
        <w:rPr>
          <w:rFonts w:ascii="Aptos" w:hAnsi="Aptos"/>
          <w:b/>
          <w:i w:val="0"/>
          <w:color w:val="087F78"/>
          <w:sz w:val="21"/>
        </w:rPr>
        <w:t xml:space="preserve">12. </w:t>
      </w:r>
      <w:r>
        <w:rPr>
          <w:rFonts w:ascii="Aptos" w:hAnsi="Aptos"/>
          <w:b/>
          <w:i w:val="0"/>
          <w:sz w:val="21"/>
        </w:rPr>
        <w:t>An AMFT performs 12 hours of direct clinical counseling in one work setting during a week in which experience is claimed. What direct-supervisor-contact requirement applies for that setting?</w:t>
      </w:r>
    </w:p>
    <w:p>
      <w:pPr>
        <w:pStyle w:val="CTAOption"/>
        <w:keepNext/>
        <w:numPr>
          <w:ilvl w:val="0"/>
          <w:numId w:val="311"/>
        </w:numPr>
        <w:spacing w:before="0" w:after="100" w:line="290" w:lineRule="auto"/>
      </w:pPr>
      <w:r>
        <w:rPr>
          <w:rFonts w:ascii="Aptos" w:hAnsi="Aptos"/>
          <w:b w:val="0"/>
          <w:i w:val="0"/>
          <w:sz w:val="20"/>
        </w:rPr>
        <w:t>At least the ordinary weekly hour plus one additional hour of direct supervisor contact for that setting.</w:t>
      </w:r>
    </w:p>
    <w:p>
      <w:pPr>
        <w:pStyle w:val="CTAOption"/>
        <w:keepNext/>
        <w:numPr>
          <w:ilvl w:val="0"/>
          <w:numId w:val="311"/>
        </w:numPr>
        <w:spacing w:before="0" w:after="100" w:line="290" w:lineRule="auto"/>
      </w:pPr>
      <w:r>
        <w:rPr>
          <w:rFonts w:ascii="Aptos" w:hAnsi="Aptos"/>
          <w:b w:val="0"/>
          <w:i w:val="0"/>
          <w:sz w:val="20"/>
        </w:rPr>
        <w:t>Only one hour is required because additional supervision applies only to trainees.</w:t>
      </w:r>
    </w:p>
    <w:p>
      <w:pPr>
        <w:pStyle w:val="CTAOption"/>
        <w:keepNext/>
        <w:numPr>
          <w:ilvl w:val="0"/>
          <w:numId w:val="311"/>
        </w:numPr>
        <w:spacing w:before="0" w:after="100" w:line="290" w:lineRule="auto"/>
      </w:pPr>
      <w:r>
        <w:rPr>
          <w:rFonts w:ascii="Aptos" w:hAnsi="Aptos"/>
          <w:b w:val="0"/>
          <w:i w:val="0"/>
          <w:sz w:val="20"/>
        </w:rPr>
        <w:t>The extra hour may be postponed to the following month if the supervisor documents it.</w:t>
      </w:r>
    </w:p>
    <w:p>
      <w:pPr>
        <w:pStyle w:val="CTAOption"/>
        <w:keepNext w:val="0"/>
        <w:numPr>
          <w:ilvl w:val="0"/>
          <w:numId w:val="311"/>
        </w:numPr>
        <w:spacing w:before="0" w:after="200" w:line="290" w:lineRule="auto"/>
      </w:pPr>
      <w:r>
        <w:rPr>
          <w:rFonts w:ascii="Aptos" w:hAnsi="Aptos"/>
          <w:b w:val="0"/>
          <w:i w:val="0"/>
          <w:sz w:val="20"/>
        </w:rPr>
        <w:t>No direct supervisor contact is required if the AMFT also attends peer consultation.</w:t>
      </w:r>
    </w:p>
    <w:p>
      <w:r>
        <w:br w:type="page"/>
      </w:r>
    </w:p>
    <w:p>
      <w:pPr>
        <w:pStyle w:val="QuestionStem"/>
      </w:pPr>
      <w:r>
        <w:rPr>
          <w:rFonts w:ascii="Aptos" w:hAnsi="Aptos"/>
          <w:b/>
          <w:i w:val="0"/>
          <w:color w:val="087F78"/>
          <w:sz w:val="21"/>
        </w:rPr>
        <w:t xml:space="preserve">13. </w:t>
      </w:r>
      <w:r>
        <w:rPr>
          <w:rFonts w:ascii="Aptos" w:hAnsi="Aptos"/>
          <w:b/>
          <w:i w:val="0"/>
          <w:sz w:val="21"/>
        </w:rPr>
        <w:t>An AMFT faces a nonurgent treatment decision outside the plan already approved in supervision. The regular supervisor is unavailable until tomorrow, and no qualified substitute has been arranged. What should the AMFT do FIRST?</w:t>
      </w:r>
    </w:p>
    <w:p>
      <w:pPr>
        <w:pStyle w:val="CTAOption"/>
        <w:keepNext/>
        <w:numPr>
          <w:ilvl w:val="0"/>
          <w:numId w:val="312"/>
        </w:numPr>
        <w:spacing w:before="0" w:after="100" w:line="290" w:lineRule="auto"/>
      </w:pPr>
      <w:r>
        <w:rPr>
          <w:rFonts w:ascii="Aptos" w:hAnsi="Aptos"/>
          <w:b w:val="0"/>
          <w:i w:val="0"/>
          <w:sz w:val="20"/>
        </w:rPr>
        <w:t>Make the decision independently because temporary unavailability expands the AMFT’s authority.</w:t>
      </w:r>
    </w:p>
    <w:p>
      <w:pPr>
        <w:pStyle w:val="CTAOption"/>
        <w:keepNext/>
        <w:numPr>
          <w:ilvl w:val="0"/>
          <w:numId w:val="312"/>
        </w:numPr>
        <w:spacing w:before="0" w:after="100" w:line="290" w:lineRule="auto"/>
      </w:pPr>
      <w:r>
        <w:rPr>
          <w:rFonts w:ascii="Aptos" w:hAnsi="Aptos"/>
          <w:b w:val="0"/>
          <w:i w:val="0"/>
          <w:sz w:val="20"/>
        </w:rPr>
        <w:t>Defer the uncertain nonurgent action and obtain lawful supervision before changing the treatment plan.</w:t>
      </w:r>
    </w:p>
    <w:p>
      <w:pPr>
        <w:pStyle w:val="CTAOption"/>
        <w:keepNext/>
        <w:numPr>
          <w:ilvl w:val="0"/>
          <w:numId w:val="312"/>
        </w:numPr>
        <w:spacing w:before="0" w:after="100" w:line="290" w:lineRule="auto"/>
      </w:pPr>
      <w:r>
        <w:rPr>
          <w:rFonts w:ascii="Aptos" w:hAnsi="Aptos"/>
          <w:b w:val="0"/>
          <w:i w:val="0"/>
          <w:sz w:val="20"/>
        </w:rPr>
        <w:t>Ask a peer to approve the change and record the conversation as supervision.</w:t>
      </w:r>
    </w:p>
    <w:p>
      <w:pPr>
        <w:pStyle w:val="CTAOption"/>
        <w:keepNext w:val="0"/>
        <w:numPr>
          <w:ilvl w:val="0"/>
          <w:numId w:val="312"/>
        </w:numPr>
        <w:spacing w:before="0" w:after="200" w:line="290" w:lineRule="auto"/>
      </w:pPr>
      <w:r>
        <w:rPr>
          <w:rFonts w:ascii="Aptos" w:hAnsi="Aptos"/>
          <w:b w:val="0"/>
          <w:i w:val="0"/>
          <w:sz w:val="20"/>
        </w:rPr>
        <w:t>End treatment immediately without assessing continuity or available supervisory resources.</w:t>
      </w:r>
    </w:p>
    <w:p>
      <w:pPr>
        <w:pStyle w:val="QuestionStem"/>
      </w:pPr>
      <w:r>
        <w:rPr>
          <w:rFonts w:ascii="Aptos" w:hAnsi="Aptos"/>
          <w:b/>
          <w:i w:val="0"/>
          <w:color w:val="087F78"/>
          <w:sz w:val="21"/>
        </w:rPr>
        <w:t xml:space="preserve">14. </w:t>
      </w:r>
      <w:r>
        <w:rPr>
          <w:rFonts w:ascii="Aptos" w:hAnsi="Aptos"/>
          <w:b/>
          <w:i w:val="0"/>
          <w:sz w:val="21"/>
        </w:rPr>
        <w:t>A supervisor instructs an AMFT to continue a specialized intervention despite the AMFT’s lack of training and a client’s worsening symptoms. The client is not in immediate life-threatening danger. What is the BEST next step?</w:t>
      </w:r>
    </w:p>
    <w:p>
      <w:pPr>
        <w:pStyle w:val="CTAOption"/>
        <w:keepNext/>
        <w:numPr>
          <w:ilvl w:val="0"/>
          <w:numId w:val="313"/>
        </w:numPr>
        <w:spacing w:before="0" w:after="100" w:line="290" w:lineRule="auto"/>
      </w:pPr>
      <w:r>
        <w:rPr>
          <w:rFonts w:ascii="Aptos" w:hAnsi="Aptos"/>
          <w:b w:val="0"/>
          <w:i w:val="0"/>
          <w:sz w:val="20"/>
        </w:rPr>
        <w:t>Continue because supervisor approval eliminates competence concerns.</w:t>
      </w:r>
    </w:p>
    <w:p>
      <w:pPr>
        <w:pStyle w:val="CTAOption"/>
        <w:keepNext/>
        <w:numPr>
          <w:ilvl w:val="0"/>
          <w:numId w:val="313"/>
        </w:numPr>
        <w:spacing w:before="0" w:after="100" w:line="290" w:lineRule="auto"/>
      </w:pPr>
      <w:r>
        <w:rPr>
          <w:rFonts w:ascii="Aptos" w:hAnsi="Aptos"/>
          <w:b w:val="0"/>
          <w:i w:val="0"/>
          <w:sz w:val="20"/>
        </w:rPr>
        <w:t>Obtain a broader client waiver, document the supervisor’s instruction, and continue the intervention while monitoring until actual harm can be demonstrated.</w:t>
      </w:r>
    </w:p>
    <w:p>
      <w:pPr>
        <w:pStyle w:val="CTAOption"/>
        <w:keepNext/>
        <w:numPr>
          <w:ilvl w:val="0"/>
          <w:numId w:val="313"/>
        </w:numPr>
        <w:spacing w:before="0" w:after="100" w:line="290" w:lineRule="auto"/>
      </w:pPr>
      <w:r>
        <w:rPr>
          <w:rFonts w:ascii="Aptos" w:hAnsi="Aptos"/>
          <w:b w:val="0"/>
          <w:i w:val="0"/>
          <w:sz w:val="20"/>
        </w:rPr>
        <w:t>Stop all services immediately, notify the client by message, and close the case without arranging continuity because the symptoms have worsened.</w:t>
      </w:r>
    </w:p>
    <w:p>
      <w:pPr>
        <w:pStyle w:val="CTAOption"/>
        <w:keepNext w:val="0"/>
        <w:numPr>
          <w:ilvl w:val="0"/>
          <w:numId w:val="313"/>
        </w:numPr>
        <w:spacing w:before="0" w:after="200" w:line="290" w:lineRule="auto"/>
      </w:pPr>
      <w:r>
        <w:rPr>
          <w:rFonts w:ascii="Aptos" w:hAnsi="Aptos"/>
          <w:b w:val="0"/>
          <w:i w:val="0"/>
          <w:sz w:val="20"/>
        </w:rPr>
        <w:t>Pause the unsupported intervention, reassess the client, obtain qualified help, arrange competent continuity, and document the response.</w:t>
      </w:r>
    </w:p>
    <w:p>
      <w:pPr>
        <w:pStyle w:val="QuestionStem"/>
      </w:pPr>
      <w:r>
        <w:rPr>
          <w:rFonts w:ascii="Aptos" w:hAnsi="Aptos"/>
          <w:b/>
          <w:i w:val="0"/>
          <w:color w:val="087F78"/>
          <w:sz w:val="21"/>
        </w:rPr>
        <w:t xml:space="preserve">15. </w:t>
      </w:r>
      <w:r>
        <w:rPr>
          <w:rFonts w:ascii="Aptos" w:hAnsi="Aptos"/>
          <w:b/>
          <w:i w:val="0"/>
          <w:sz w:val="21"/>
        </w:rPr>
        <w:t>In a lawful work setting, an AMFT may perform mental-health and related services in which work relationship?</w:t>
      </w:r>
    </w:p>
    <w:p>
      <w:pPr>
        <w:pStyle w:val="CTAOption"/>
        <w:keepNext/>
        <w:numPr>
          <w:ilvl w:val="0"/>
          <w:numId w:val="314"/>
        </w:numPr>
        <w:spacing w:before="0" w:after="100" w:line="290" w:lineRule="auto"/>
      </w:pPr>
      <w:r>
        <w:rPr>
          <w:rFonts w:ascii="Aptos" w:hAnsi="Aptos"/>
          <w:b w:val="0"/>
          <w:i w:val="0"/>
          <w:sz w:val="20"/>
        </w:rPr>
        <w:t>As an independent contractor if the contract includes weekly supervision.</w:t>
      </w:r>
    </w:p>
    <w:p>
      <w:pPr>
        <w:pStyle w:val="CTAOption"/>
        <w:keepNext/>
        <w:numPr>
          <w:ilvl w:val="0"/>
          <w:numId w:val="314"/>
        </w:numPr>
        <w:spacing w:before="0" w:after="100" w:line="290" w:lineRule="auto"/>
      </w:pPr>
      <w:r>
        <w:rPr>
          <w:rFonts w:ascii="Aptos" w:hAnsi="Aptos"/>
          <w:b w:val="0"/>
          <w:i w:val="0"/>
          <w:sz w:val="20"/>
        </w:rPr>
        <w:t>As a self-employed practitioner who invoices clients directly.</w:t>
      </w:r>
    </w:p>
    <w:p>
      <w:pPr>
        <w:pStyle w:val="CTAOption"/>
        <w:keepNext/>
        <w:numPr>
          <w:ilvl w:val="0"/>
          <w:numId w:val="314"/>
        </w:numPr>
        <w:spacing w:before="0" w:after="100" w:line="290" w:lineRule="auto"/>
      </w:pPr>
      <w:r>
        <w:rPr>
          <w:rFonts w:ascii="Aptos" w:hAnsi="Aptos"/>
          <w:b w:val="0"/>
          <w:i w:val="0"/>
          <w:sz w:val="20"/>
        </w:rPr>
        <w:t>As an employee or a genuine volunteer under required supervision.</w:t>
      </w:r>
    </w:p>
    <w:p>
      <w:pPr>
        <w:pStyle w:val="CTAOption"/>
        <w:keepNext w:val="0"/>
        <w:numPr>
          <w:ilvl w:val="0"/>
          <w:numId w:val="314"/>
        </w:numPr>
        <w:spacing w:before="0" w:after="200" w:line="290" w:lineRule="auto"/>
      </w:pPr>
      <w:r>
        <w:rPr>
          <w:rFonts w:ascii="Aptos" w:hAnsi="Aptos"/>
          <w:b w:val="0"/>
          <w:i w:val="0"/>
          <w:sz w:val="20"/>
        </w:rPr>
        <w:t>As a business partner of the employer if the ownership share is small.</w:t>
      </w:r>
    </w:p>
    <w:p>
      <w:r>
        <w:br w:type="page"/>
      </w:r>
    </w:p>
    <w:p>
      <w:pPr>
        <w:pStyle w:val="QuestionStem"/>
      </w:pPr>
      <w:r>
        <w:rPr>
          <w:rFonts w:ascii="Aptos" w:hAnsi="Aptos"/>
          <w:b/>
          <w:i w:val="0"/>
          <w:color w:val="087F78"/>
          <w:sz w:val="21"/>
        </w:rPr>
        <w:t xml:space="preserve">16. </w:t>
      </w:r>
      <w:r>
        <w:rPr>
          <w:rFonts w:ascii="Aptos" w:hAnsi="Aptos"/>
          <w:b/>
          <w:i w:val="0"/>
          <w:sz w:val="21"/>
        </w:rPr>
        <w:t>A private-practice owner offers an AMFT a W-2 position but requires the AMFT to collect payment directly from clients and pay the practice a monthly room-and-marketing fee. Weekly supervision will be provided. What is the BEST response?</w:t>
      </w:r>
    </w:p>
    <w:p>
      <w:pPr>
        <w:pStyle w:val="CTAOption"/>
        <w:keepNext/>
        <w:numPr>
          <w:ilvl w:val="0"/>
          <w:numId w:val="315"/>
        </w:numPr>
        <w:spacing w:before="0" w:after="100" w:line="290" w:lineRule="auto"/>
      </w:pPr>
      <w:r>
        <w:rPr>
          <w:rFonts w:ascii="Aptos" w:hAnsi="Aptos"/>
          <w:b w:val="0"/>
          <w:i w:val="0"/>
          <w:sz w:val="20"/>
        </w:rPr>
        <w:t>Decline or correct the arrangement because direct client payment and employer-business charges remain prohibited despite the W-2 and supervision.</w:t>
      </w:r>
    </w:p>
    <w:p>
      <w:pPr>
        <w:pStyle w:val="CTAOption"/>
        <w:keepNext/>
        <w:numPr>
          <w:ilvl w:val="0"/>
          <w:numId w:val="315"/>
        </w:numPr>
        <w:spacing w:before="0" w:after="100" w:line="290" w:lineRule="auto"/>
      </w:pPr>
      <w:r>
        <w:rPr>
          <w:rFonts w:ascii="Aptos" w:hAnsi="Aptos"/>
          <w:b w:val="0"/>
          <w:i w:val="0"/>
          <w:sz w:val="20"/>
        </w:rPr>
        <w:t>Accept because a W-2 automatically makes every payment and business arrangement lawful when the employer also controls scheduling, records, and supervision.</w:t>
      </w:r>
    </w:p>
    <w:p>
      <w:pPr>
        <w:pStyle w:val="CTAOption"/>
        <w:keepNext/>
        <w:numPr>
          <w:ilvl w:val="0"/>
          <w:numId w:val="315"/>
        </w:numPr>
        <w:spacing w:before="0" w:after="100" w:line="290" w:lineRule="auto"/>
      </w:pPr>
      <w:r>
        <w:rPr>
          <w:rFonts w:ascii="Aptos" w:hAnsi="Aptos"/>
          <w:b w:val="0"/>
          <w:i w:val="0"/>
          <w:sz w:val="20"/>
        </w:rPr>
        <w:t>Accept if clients consent in writing to paying the AMFT directly.</w:t>
      </w:r>
    </w:p>
    <w:p>
      <w:pPr>
        <w:pStyle w:val="CTAOption"/>
        <w:keepNext w:val="0"/>
        <w:numPr>
          <w:ilvl w:val="0"/>
          <w:numId w:val="315"/>
        </w:numPr>
        <w:spacing w:before="0" w:after="200" w:line="290" w:lineRule="auto"/>
      </w:pPr>
      <w:r>
        <w:rPr>
          <w:rFonts w:ascii="Aptos" w:hAnsi="Aptos"/>
          <w:b w:val="0"/>
          <w:i w:val="0"/>
          <w:sz w:val="20"/>
        </w:rPr>
        <w:t>Accept the room fee but not the marketing fee because space charges are customary employment expenses and only advertising costs create a prohibited business interest.</w:t>
      </w:r>
    </w:p>
    <w:p>
      <w:pPr>
        <w:pStyle w:val="QuestionStem"/>
      </w:pPr>
      <w:r>
        <w:rPr>
          <w:rFonts w:ascii="Aptos" w:hAnsi="Aptos"/>
          <w:b/>
          <w:i w:val="0"/>
          <w:color w:val="087F78"/>
          <w:sz w:val="21"/>
        </w:rPr>
        <w:t xml:space="preserve">17. </w:t>
      </w:r>
      <w:r>
        <w:rPr>
          <w:rFonts w:ascii="Aptos" w:hAnsi="Aptos"/>
          <w:b/>
          <w:i w:val="0"/>
          <w:sz w:val="21"/>
        </w:rPr>
        <w:t>An AMFT plans to conduct telehealth sessions from a temporary rental while traveling. The employer has approved telehealth generally but has not approved that location. What should the AMFT do BEFORE providing services there?</w:t>
      </w:r>
    </w:p>
    <w:p>
      <w:pPr>
        <w:pStyle w:val="CTAOption"/>
        <w:keepNext/>
        <w:numPr>
          <w:ilvl w:val="0"/>
          <w:numId w:val="316"/>
        </w:numPr>
        <w:spacing w:before="0" w:after="100" w:line="290" w:lineRule="auto"/>
      </w:pPr>
      <w:r>
        <w:rPr>
          <w:rFonts w:ascii="Aptos" w:hAnsi="Aptos"/>
          <w:b w:val="0"/>
          <w:i w:val="0"/>
          <w:sz w:val="20"/>
        </w:rPr>
        <w:t>Proceed because telehealth may occur from any private location selected by the AMFT if the technology is encrypted and clients receive advance notice.</w:t>
      </w:r>
    </w:p>
    <w:p>
      <w:pPr>
        <w:pStyle w:val="CTAOption"/>
        <w:keepNext/>
        <w:numPr>
          <w:ilvl w:val="0"/>
          <w:numId w:val="316"/>
        </w:numPr>
        <w:spacing w:before="0" w:after="100" w:line="290" w:lineRule="auto"/>
      </w:pPr>
      <w:r>
        <w:rPr>
          <w:rFonts w:ascii="Aptos" w:hAnsi="Aptos"/>
          <w:b w:val="0"/>
          <w:i w:val="0"/>
          <w:sz w:val="20"/>
        </w:rPr>
        <w:t>Obtain employer authorization for the location and verify that supervision, privacy, security, and other requirements can be met.</w:t>
      </w:r>
    </w:p>
    <w:p>
      <w:pPr>
        <w:pStyle w:val="CTAOption"/>
        <w:keepNext/>
        <w:numPr>
          <w:ilvl w:val="0"/>
          <w:numId w:val="316"/>
        </w:numPr>
        <w:spacing w:before="0" w:after="100" w:line="290" w:lineRule="auto"/>
      </w:pPr>
      <w:r>
        <w:rPr>
          <w:rFonts w:ascii="Aptos" w:hAnsi="Aptos"/>
          <w:b w:val="0"/>
          <w:i w:val="0"/>
          <w:sz w:val="20"/>
        </w:rPr>
        <w:t>Proceed if the clients agree not to disclose the AMFT’s location.</w:t>
      </w:r>
    </w:p>
    <w:p>
      <w:pPr>
        <w:pStyle w:val="CTAOption"/>
        <w:keepNext w:val="0"/>
        <w:numPr>
          <w:ilvl w:val="0"/>
          <w:numId w:val="316"/>
        </w:numPr>
        <w:spacing w:before="0" w:after="200" w:line="290" w:lineRule="auto"/>
      </w:pPr>
      <w:r>
        <w:rPr>
          <w:rFonts w:ascii="Aptos" w:hAnsi="Aptos"/>
          <w:b w:val="0"/>
          <w:i w:val="0"/>
          <w:sz w:val="20"/>
        </w:rPr>
        <w:t>Convert the sessions to an independent side practice for the trip because temporary services do not affect the AMFT’s regular employment relationship.</w:t>
      </w:r>
    </w:p>
    <w:p>
      <w:pPr>
        <w:pStyle w:val="QuestionStem"/>
      </w:pPr>
      <w:r>
        <w:rPr>
          <w:rFonts w:ascii="Aptos" w:hAnsi="Aptos"/>
          <w:b/>
          <w:i w:val="0"/>
          <w:color w:val="087F78"/>
          <w:sz w:val="21"/>
        </w:rPr>
        <w:t xml:space="preserve">18. </w:t>
      </w:r>
      <w:r>
        <w:rPr>
          <w:rFonts w:ascii="Aptos" w:hAnsi="Aptos"/>
          <w:b/>
          <w:i w:val="0"/>
          <w:sz w:val="21"/>
        </w:rPr>
        <w:t>A graduate applies for initial AMFT registration within 90 days of receiving the qualifying degree and completes the required fingerprinting. While the application is pending, a private practice offers a supervised W-2 position. Which response is MOST accurate?</w:t>
      </w:r>
    </w:p>
    <w:p>
      <w:pPr>
        <w:pStyle w:val="CTAOption"/>
        <w:keepNext/>
        <w:numPr>
          <w:ilvl w:val="0"/>
          <w:numId w:val="317"/>
        </w:numPr>
        <w:spacing w:before="0" w:after="100" w:line="290" w:lineRule="auto"/>
      </w:pPr>
      <w:r>
        <w:rPr>
          <w:rFonts w:ascii="Aptos" w:hAnsi="Aptos"/>
          <w:b w:val="0"/>
          <w:i w:val="0"/>
          <w:sz w:val="20"/>
        </w:rPr>
        <w:t>The graduate may begin because timely filing and completed fingerprinting permit supervised postdegree work in every lawful mental-health setting while registration is pending.</w:t>
      </w:r>
    </w:p>
    <w:p>
      <w:pPr>
        <w:pStyle w:val="CTAOption"/>
        <w:keepNext/>
        <w:numPr>
          <w:ilvl w:val="0"/>
          <w:numId w:val="317"/>
        </w:numPr>
        <w:spacing w:before="0" w:after="100" w:line="290" w:lineRule="auto"/>
      </w:pPr>
      <w:r>
        <w:rPr>
          <w:rFonts w:ascii="Aptos" w:hAnsi="Aptos"/>
          <w:b w:val="0"/>
          <w:i w:val="0"/>
          <w:sz w:val="20"/>
        </w:rPr>
        <w:t>The graduate may begin if the private-practice owner signs the required supervision and oversight agreements before the first client is scheduled.</w:t>
      </w:r>
    </w:p>
    <w:p>
      <w:pPr>
        <w:pStyle w:val="CTAOption"/>
        <w:keepNext/>
        <w:numPr>
          <w:ilvl w:val="0"/>
          <w:numId w:val="317"/>
        </w:numPr>
        <w:spacing w:before="0" w:after="100" w:line="290" w:lineRule="auto"/>
      </w:pPr>
      <w:r>
        <w:rPr>
          <w:rFonts w:ascii="Aptos" w:hAnsi="Aptos"/>
          <w:b w:val="0"/>
          <w:i w:val="0"/>
          <w:sz w:val="20"/>
        </w:rPr>
        <w:t>The graduate must wait for AMFT registration before working or volunteering in private practice, even if the other 90-day-rule conditions are met.</w:t>
      </w:r>
    </w:p>
    <w:p>
      <w:pPr>
        <w:pStyle w:val="CTAOption"/>
        <w:keepNext w:val="0"/>
        <w:numPr>
          <w:ilvl w:val="0"/>
          <w:numId w:val="317"/>
        </w:numPr>
        <w:spacing w:before="0" w:after="200" w:line="290" w:lineRule="auto"/>
      </w:pPr>
      <w:r>
        <w:rPr>
          <w:rFonts w:ascii="Aptos" w:hAnsi="Aptos"/>
          <w:b w:val="0"/>
          <w:i w:val="0"/>
          <w:sz w:val="20"/>
        </w:rPr>
        <w:t>The graduate may begin if the employer and graduate agree that none of the pre-registration services will later be claimed as supervised experience.</w:t>
      </w:r>
    </w:p>
    <w:p>
      <w:r>
        <w:br w:type="page"/>
      </w:r>
    </w:p>
    <w:p>
      <w:pPr>
        <w:pStyle w:val="QuestionStem"/>
      </w:pPr>
      <w:r>
        <w:rPr>
          <w:rFonts w:ascii="Aptos" w:hAnsi="Aptos"/>
          <w:b/>
          <w:i w:val="0"/>
          <w:color w:val="087F78"/>
          <w:sz w:val="21"/>
        </w:rPr>
        <w:t xml:space="preserve">19. </w:t>
      </w:r>
      <w:r>
        <w:rPr>
          <w:rFonts w:ascii="Aptos" w:hAnsi="Aptos"/>
          <w:b/>
          <w:i w:val="0"/>
          <w:sz w:val="21"/>
        </w:rPr>
        <w:t>An AMFT discovers that a professional profile has described the AMFT as “licensed” for three weeks. No client has complained. What should occur FIRST?</w:t>
      </w:r>
    </w:p>
    <w:p>
      <w:pPr>
        <w:pStyle w:val="CTAOption"/>
        <w:keepNext/>
        <w:numPr>
          <w:ilvl w:val="0"/>
          <w:numId w:val="318"/>
        </w:numPr>
        <w:spacing w:before="0" w:after="100" w:line="290" w:lineRule="auto"/>
      </w:pPr>
      <w:r>
        <w:rPr>
          <w:rFonts w:ascii="Aptos" w:hAnsi="Aptos"/>
          <w:b w:val="0"/>
          <w:i w:val="0"/>
          <w:sz w:val="20"/>
        </w:rPr>
        <w:t>Wait to determine whether any client relied on the statement or reports confusion about the AMFT’s professional status.</w:t>
      </w:r>
    </w:p>
    <w:p>
      <w:pPr>
        <w:pStyle w:val="CTAOption"/>
        <w:keepNext/>
        <w:numPr>
          <w:ilvl w:val="0"/>
          <w:numId w:val="318"/>
        </w:numPr>
        <w:spacing w:before="0" w:after="100" w:line="290" w:lineRule="auto"/>
      </w:pPr>
      <w:r>
        <w:rPr>
          <w:rFonts w:ascii="Aptos" w:hAnsi="Aptos"/>
          <w:b w:val="0"/>
          <w:i w:val="0"/>
          <w:sz w:val="20"/>
        </w:rPr>
        <w:t>Write a detailed note, notify the employer by email, but leave the profile online until the next scheduled supervision meeting.</w:t>
      </w:r>
    </w:p>
    <w:p>
      <w:pPr>
        <w:pStyle w:val="CTAOption"/>
        <w:keepNext/>
        <w:numPr>
          <w:ilvl w:val="0"/>
          <w:numId w:val="318"/>
        </w:numPr>
        <w:spacing w:before="0" w:after="100" w:line="290" w:lineRule="auto"/>
      </w:pPr>
      <w:r>
        <w:rPr>
          <w:rFonts w:ascii="Aptos" w:hAnsi="Aptos"/>
          <w:b w:val="0"/>
          <w:i w:val="0"/>
          <w:sz w:val="20"/>
        </w:rPr>
        <w:t>Ask current clients to sign an acknowledgment that the wording was accidental and that they understand the AMFT is unlicensed.</w:t>
      </w:r>
    </w:p>
    <w:p>
      <w:pPr>
        <w:pStyle w:val="CTAOption"/>
        <w:keepNext w:val="0"/>
        <w:numPr>
          <w:ilvl w:val="0"/>
          <w:numId w:val="318"/>
        </w:numPr>
        <w:spacing w:before="0" w:after="200" w:line="290" w:lineRule="auto"/>
      </w:pPr>
      <w:r>
        <w:rPr>
          <w:rFonts w:ascii="Aptos" w:hAnsi="Aptos"/>
          <w:b w:val="0"/>
          <w:i w:val="0"/>
          <w:sz w:val="20"/>
        </w:rPr>
        <w:t>Correct or remove the inaccurate representation promptly, then address supervisor/employer notification, client impact, consultation, and documentation as applicable.</w:t>
      </w:r>
    </w:p>
    <w:p>
      <w:pPr>
        <w:pStyle w:val="QuestionStem"/>
      </w:pPr>
      <w:r>
        <w:rPr>
          <w:rFonts w:ascii="Aptos" w:hAnsi="Aptos"/>
          <w:b/>
          <w:i w:val="0"/>
          <w:color w:val="087F78"/>
          <w:sz w:val="21"/>
        </w:rPr>
        <w:t xml:space="preserve">20. </w:t>
      </w:r>
      <w:r>
        <w:rPr>
          <w:rFonts w:ascii="Aptos" w:hAnsi="Aptos"/>
          <w:b/>
          <w:i w:val="0"/>
          <w:sz w:val="21"/>
        </w:rPr>
        <w:t>An employer tells an AMFT to keep accepting direct client payments while management “reviews the rule.” The supervisor says to document the instruction and continue for now. What is the BEST response?</w:t>
      </w:r>
    </w:p>
    <w:p>
      <w:pPr>
        <w:pStyle w:val="CTAOption"/>
        <w:keepNext/>
        <w:numPr>
          <w:ilvl w:val="0"/>
          <w:numId w:val="319"/>
        </w:numPr>
        <w:spacing w:before="0" w:after="100" w:line="290" w:lineRule="auto"/>
      </w:pPr>
      <w:r>
        <w:rPr>
          <w:rFonts w:ascii="Aptos" w:hAnsi="Aptos"/>
          <w:b w:val="0"/>
          <w:i w:val="0"/>
          <w:sz w:val="20"/>
        </w:rPr>
        <w:t>Stop the prohibited payment arrangement, notify the supervisor and employer, obtain needed guidance, and document lawful continuity.</w:t>
      </w:r>
    </w:p>
    <w:p>
      <w:pPr>
        <w:pStyle w:val="CTAOption"/>
        <w:keepNext/>
        <w:numPr>
          <w:ilvl w:val="0"/>
          <w:numId w:val="319"/>
        </w:numPr>
        <w:spacing w:before="0" w:after="100" w:line="290" w:lineRule="auto"/>
      </w:pPr>
      <w:r>
        <w:rPr>
          <w:rFonts w:ascii="Aptos" w:hAnsi="Aptos"/>
          <w:b w:val="0"/>
          <w:i w:val="0"/>
          <w:sz w:val="20"/>
        </w:rPr>
        <w:t>Continue because the supervisor assumes responsibility for the AMFT’s conduct and the employer, rather than the associate, designed the payment procedure.</w:t>
      </w:r>
    </w:p>
    <w:p>
      <w:pPr>
        <w:pStyle w:val="CTAOption"/>
        <w:keepNext/>
        <w:numPr>
          <w:ilvl w:val="0"/>
          <w:numId w:val="319"/>
        </w:numPr>
        <w:spacing w:before="0" w:after="100" w:line="290" w:lineRule="auto"/>
      </w:pPr>
      <w:r>
        <w:rPr>
          <w:rFonts w:ascii="Aptos" w:hAnsi="Aptos"/>
          <w:b w:val="0"/>
          <w:i w:val="0"/>
          <w:sz w:val="20"/>
        </w:rPr>
        <w:t>Continue until the Board issues a written warning to this specific employer.</w:t>
      </w:r>
    </w:p>
    <w:p>
      <w:pPr>
        <w:pStyle w:val="CTAOption"/>
        <w:keepNext w:val="0"/>
        <w:numPr>
          <w:ilvl w:val="0"/>
          <w:numId w:val="319"/>
        </w:numPr>
        <w:spacing w:before="0" w:after="200" w:line="290" w:lineRule="auto"/>
      </w:pPr>
      <w:r>
        <w:rPr>
          <w:rFonts w:ascii="Aptos" w:hAnsi="Aptos"/>
          <w:b w:val="0"/>
          <w:i w:val="0"/>
          <w:sz w:val="20"/>
        </w:rPr>
        <w:t>Keep the payments in a separate account, provide receipts to clients, and transfer the balance to the employer after management finishes reviewing the rule.</w:t>
      </w:r>
    </w:p>
    <w:p>
      <w:pPr>
        <w:pStyle w:val="QuestionStem"/>
      </w:pPr>
      <w:r>
        <w:rPr>
          <w:rFonts w:ascii="Aptos" w:hAnsi="Aptos"/>
          <w:b/>
          <w:i w:val="0"/>
          <w:color w:val="087F78"/>
          <w:sz w:val="21"/>
        </w:rPr>
        <w:t xml:space="preserve">21. </w:t>
      </w:r>
      <w:r>
        <w:rPr>
          <w:rFonts w:ascii="Aptos" w:hAnsi="Aptos"/>
          <w:b/>
          <w:i w:val="0"/>
          <w:sz w:val="21"/>
        </w:rPr>
        <w:t>Which statement correctly distinguishes TAKEN from PASSED for the LMFT California Law and Ethics Examination?</w:t>
      </w:r>
    </w:p>
    <w:p>
      <w:pPr>
        <w:pStyle w:val="CTAOption"/>
        <w:keepNext/>
        <w:numPr>
          <w:ilvl w:val="0"/>
          <w:numId w:val="320"/>
        </w:numPr>
        <w:spacing w:before="0" w:after="100" w:line="290" w:lineRule="auto"/>
      </w:pPr>
      <w:r>
        <w:rPr>
          <w:rFonts w:ascii="Aptos" w:hAnsi="Aptos"/>
          <w:b w:val="0"/>
          <w:i w:val="0"/>
          <w:sz w:val="20"/>
        </w:rPr>
        <w:t>Taking the exam automatically satisfies the examination requirement for LMFT licensure.</w:t>
      </w:r>
    </w:p>
    <w:p>
      <w:pPr>
        <w:pStyle w:val="CTAOption"/>
        <w:keepNext/>
        <w:numPr>
          <w:ilvl w:val="0"/>
          <w:numId w:val="320"/>
        </w:numPr>
        <w:spacing w:before="0" w:after="100" w:line="290" w:lineRule="auto"/>
      </w:pPr>
      <w:r>
        <w:rPr>
          <w:rFonts w:ascii="Aptos" w:hAnsi="Aptos"/>
          <w:b w:val="0"/>
          <w:i w:val="0"/>
          <w:sz w:val="20"/>
        </w:rPr>
        <w:t>Until passage, an AMFT takes the exam during each renewal cycle; passage is required for licensure and a subsequent registration.</w:t>
      </w:r>
    </w:p>
    <w:p>
      <w:pPr>
        <w:pStyle w:val="CTAOption"/>
        <w:keepNext/>
        <w:numPr>
          <w:ilvl w:val="0"/>
          <w:numId w:val="320"/>
        </w:numPr>
        <w:spacing w:before="0" w:after="100" w:line="290" w:lineRule="auto"/>
      </w:pPr>
      <w:r>
        <w:rPr>
          <w:rFonts w:ascii="Aptos" w:hAnsi="Aptos"/>
          <w:b w:val="0"/>
          <w:i w:val="0"/>
          <w:sz w:val="20"/>
        </w:rPr>
        <w:t>Passing is required for every annual renewal, even after the exam has already been passed.</w:t>
      </w:r>
    </w:p>
    <w:p>
      <w:pPr>
        <w:pStyle w:val="CTAOption"/>
        <w:keepNext w:val="0"/>
        <w:numPr>
          <w:ilvl w:val="0"/>
          <w:numId w:val="320"/>
        </w:numPr>
        <w:spacing w:before="0" w:after="200" w:line="290" w:lineRule="auto"/>
      </w:pPr>
      <w:r>
        <w:rPr>
          <w:rFonts w:ascii="Aptos" w:hAnsi="Aptos"/>
          <w:b w:val="0"/>
          <w:i w:val="0"/>
          <w:sz w:val="20"/>
        </w:rPr>
        <w:t>Taking and passing have the same legal effect when the candidate appears, completes every section, and receives an official result from the testing vendor.</w:t>
      </w:r>
    </w:p>
    <w:p>
      <w:r>
        <w:br w:type="page"/>
      </w:r>
    </w:p>
    <w:p>
      <w:pPr>
        <w:pStyle w:val="QuestionStem"/>
      </w:pPr>
      <w:r>
        <w:rPr>
          <w:rFonts w:ascii="Aptos" w:hAnsi="Aptos"/>
          <w:b/>
          <w:i w:val="0"/>
          <w:color w:val="087F78"/>
          <w:sz w:val="21"/>
        </w:rPr>
        <w:t xml:space="preserve">22. </w:t>
      </w:r>
      <w:r>
        <w:rPr>
          <w:rFonts w:ascii="Aptos" w:hAnsi="Aptos"/>
          <w:b/>
          <w:i w:val="0"/>
          <w:sz w:val="21"/>
        </w:rPr>
        <w:t>An AMFT has passed the LMFT California Law and Ethics Examination and is preparing for the next annual registration renewal. Which statement is accurate?</w:t>
      </w:r>
    </w:p>
    <w:p>
      <w:pPr>
        <w:pStyle w:val="CTAOption"/>
        <w:keepNext/>
        <w:numPr>
          <w:ilvl w:val="0"/>
          <w:numId w:val="321"/>
        </w:numPr>
        <w:spacing w:before="0" w:after="100" w:line="290" w:lineRule="auto"/>
      </w:pPr>
      <w:r>
        <w:rPr>
          <w:rFonts w:ascii="Aptos" w:hAnsi="Aptos"/>
          <w:b w:val="0"/>
          <w:i w:val="0"/>
          <w:sz w:val="20"/>
        </w:rPr>
        <w:t>The AMFT must retake the examination during every renewal period despite having passed, because each annual registration creates a new examination cycle.</w:t>
      </w:r>
    </w:p>
    <w:p>
      <w:pPr>
        <w:pStyle w:val="CTAOption"/>
        <w:keepNext/>
        <w:numPr>
          <w:ilvl w:val="0"/>
          <w:numId w:val="321"/>
        </w:numPr>
        <w:spacing w:before="0" w:after="100" w:line="290" w:lineRule="auto"/>
      </w:pPr>
      <w:r>
        <w:rPr>
          <w:rFonts w:ascii="Aptos" w:hAnsi="Aptos"/>
          <w:b w:val="0"/>
          <w:i w:val="0"/>
          <w:sz w:val="20"/>
        </w:rPr>
        <w:t>Passing converts the AMFT registration into an LMFT license.</w:t>
      </w:r>
    </w:p>
    <w:p>
      <w:pPr>
        <w:pStyle w:val="CTAOption"/>
        <w:keepNext/>
        <w:numPr>
          <w:ilvl w:val="0"/>
          <w:numId w:val="321"/>
        </w:numPr>
        <w:spacing w:before="0" w:after="100" w:line="290" w:lineRule="auto"/>
      </w:pPr>
      <w:r>
        <w:rPr>
          <w:rFonts w:ascii="Aptos" w:hAnsi="Aptos"/>
          <w:b w:val="0"/>
          <w:i w:val="0"/>
          <w:sz w:val="20"/>
        </w:rPr>
        <w:t>The exam generally need not be retaken, but the separate three-hour California law-and-ethics CE requirement still applies.</w:t>
      </w:r>
    </w:p>
    <w:p>
      <w:pPr>
        <w:pStyle w:val="CTAOption"/>
        <w:keepNext w:val="0"/>
        <w:numPr>
          <w:ilvl w:val="0"/>
          <w:numId w:val="321"/>
        </w:numPr>
        <w:spacing w:before="0" w:after="200" w:line="290" w:lineRule="auto"/>
      </w:pPr>
      <w:r>
        <w:rPr>
          <w:rFonts w:ascii="Aptos" w:hAnsi="Aptos"/>
          <w:b w:val="0"/>
          <w:i w:val="0"/>
          <w:sz w:val="20"/>
        </w:rPr>
        <w:t>Completing CTA-EP-001 satisfies the Board’s continuing-education requirement because its law-and-ethics content is more extensive than the minimum renewal course.</w:t>
      </w:r>
    </w:p>
    <w:p>
      <w:pPr>
        <w:pStyle w:val="QuestionStem"/>
      </w:pPr>
      <w:r>
        <w:rPr>
          <w:rFonts w:ascii="Aptos" w:hAnsi="Aptos"/>
          <w:b/>
          <w:i w:val="0"/>
          <w:color w:val="087F78"/>
          <w:sz w:val="21"/>
        </w:rPr>
        <w:t xml:space="preserve">23. </w:t>
      </w:r>
      <w:r>
        <w:rPr>
          <w:rFonts w:ascii="Aptos" w:hAnsi="Aptos"/>
          <w:b/>
          <w:i w:val="0"/>
          <w:sz w:val="21"/>
        </w:rPr>
        <w:t>An AMFT has passed the Law and Ethics Examination and completed the required experience hours. The AMFT says, “I can schedule the clinical examination immediately and I am essentially licensed.” What is the BEST correction?</w:t>
      </w:r>
    </w:p>
    <w:p>
      <w:pPr>
        <w:pStyle w:val="CTAOption"/>
        <w:keepNext/>
        <w:numPr>
          <w:ilvl w:val="0"/>
          <w:numId w:val="322"/>
        </w:numPr>
        <w:spacing w:before="0" w:after="100" w:line="290" w:lineRule="auto"/>
      </w:pPr>
      <w:r>
        <w:rPr>
          <w:rFonts w:ascii="Aptos" w:hAnsi="Aptos"/>
          <w:b w:val="0"/>
          <w:i w:val="0"/>
          <w:sz w:val="20"/>
        </w:rPr>
        <w:t>Correct; passing Law and Ethics creates automatic clinical-exam eligibility and independent practice authority once the candidate has also completed the required hours.</w:t>
      </w:r>
    </w:p>
    <w:p>
      <w:pPr>
        <w:pStyle w:val="CTAOption"/>
        <w:keepNext/>
        <w:numPr>
          <w:ilvl w:val="0"/>
          <w:numId w:val="322"/>
        </w:numPr>
        <w:spacing w:before="0" w:after="100" w:line="290" w:lineRule="auto"/>
      </w:pPr>
      <w:r>
        <w:rPr>
          <w:rFonts w:ascii="Aptos" w:hAnsi="Aptos"/>
          <w:b w:val="0"/>
          <w:i w:val="0"/>
          <w:sz w:val="20"/>
        </w:rPr>
        <w:t>Correct; completing hours eliminates the need for Board review of education and experience.</w:t>
      </w:r>
    </w:p>
    <w:p>
      <w:pPr>
        <w:pStyle w:val="CTAOption"/>
        <w:keepNext/>
        <w:numPr>
          <w:ilvl w:val="0"/>
          <w:numId w:val="322"/>
        </w:numPr>
        <w:spacing w:before="0" w:after="100" w:line="290" w:lineRule="auto"/>
      </w:pPr>
      <w:r>
        <w:rPr>
          <w:rFonts w:ascii="Aptos" w:hAnsi="Aptos"/>
          <w:b w:val="0"/>
          <w:i w:val="0"/>
          <w:sz w:val="20"/>
        </w:rPr>
        <w:t>Incorrect only because the AMFT must repeat the Law and Ethics Examination and obtain a new passing result before scheduling the clinical examination.</w:t>
      </w:r>
    </w:p>
    <w:p>
      <w:pPr>
        <w:pStyle w:val="CTAOption"/>
        <w:keepNext w:val="0"/>
        <w:numPr>
          <w:ilvl w:val="0"/>
          <w:numId w:val="322"/>
        </w:numPr>
        <w:spacing w:before="0" w:after="200" w:line="290" w:lineRule="auto"/>
      </w:pPr>
      <w:r>
        <w:rPr>
          <w:rFonts w:ascii="Aptos" w:hAnsi="Aptos"/>
          <w:b w:val="0"/>
          <w:i w:val="0"/>
          <w:sz w:val="20"/>
        </w:rPr>
        <w:t>Incorrect; Board approval and clinical-exam eligibility must follow verification of prerequisites, and the person remains unlicensed until issuance.</w:t>
      </w:r>
    </w:p>
    <w:p>
      <w:pPr>
        <w:pStyle w:val="QuestionStem"/>
      </w:pPr>
      <w:r>
        <w:rPr>
          <w:rFonts w:ascii="Aptos" w:hAnsi="Aptos"/>
          <w:b/>
          <w:i w:val="0"/>
          <w:color w:val="087F78"/>
          <w:sz w:val="21"/>
        </w:rPr>
        <w:t xml:space="preserve">24. </w:t>
      </w:r>
      <w:r>
        <w:rPr>
          <w:rFonts w:ascii="Aptos" w:hAnsi="Aptos"/>
          <w:b/>
          <w:i w:val="0"/>
          <w:sz w:val="21"/>
        </w:rPr>
        <w:t>As of August 2, 2026, an AMFT reads that the BBS projected a July 1, 2027 transition to the AMFTRB National Examination as the California clinical examination. Which interpretation is MOST accurate?</w:t>
      </w:r>
    </w:p>
    <w:p>
      <w:pPr>
        <w:pStyle w:val="CTAOption"/>
        <w:keepNext/>
        <w:numPr>
          <w:ilvl w:val="0"/>
          <w:numId w:val="323"/>
        </w:numPr>
        <w:spacing w:before="0" w:after="100" w:line="290" w:lineRule="auto"/>
      </w:pPr>
      <w:r>
        <w:rPr>
          <w:rFonts w:ascii="Aptos" w:hAnsi="Aptos"/>
          <w:b w:val="0"/>
          <w:i w:val="0"/>
          <w:sz w:val="20"/>
        </w:rPr>
        <w:t>The transition remains pending; current clinical-exam instructions control, and California Law and Ethics remains a separate state requirement.</w:t>
      </w:r>
    </w:p>
    <w:p>
      <w:pPr>
        <w:pStyle w:val="CTAOption"/>
        <w:keepNext/>
        <w:numPr>
          <w:ilvl w:val="0"/>
          <w:numId w:val="323"/>
        </w:numPr>
        <w:spacing w:before="0" w:after="100" w:line="290" w:lineRule="auto"/>
      </w:pPr>
      <w:r>
        <w:rPr>
          <w:rFonts w:ascii="Aptos" w:hAnsi="Aptos"/>
          <w:b w:val="0"/>
          <w:i w:val="0"/>
          <w:sz w:val="20"/>
        </w:rPr>
        <w:t>The projection immediately replaces both California examinations with the AMFTRB examination because the Board approved the policy direction and announced a target date.</w:t>
      </w:r>
    </w:p>
    <w:p>
      <w:pPr>
        <w:pStyle w:val="CTAOption"/>
        <w:keepNext/>
        <w:numPr>
          <w:ilvl w:val="0"/>
          <w:numId w:val="323"/>
        </w:numPr>
        <w:spacing w:before="0" w:after="100" w:line="290" w:lineRule="auto"/>
      </w:pPr>
      <w:r>
        <w:rPr>
          <w:rFonts w:ascii="Aptos" w:hAnsi="Aptos"/>
          <w:b w:val="0"/>
          <w:i w:val="0"/>
          <w:sz w:val="20"/>
        </w:rPr>
        <w:t>The AMFTRB examination is already required for every AMFT renewal.</w:t>
      </w:r>
    </w:p>
    <w:p>
      <w:pPr>
        <w:pStyle w:val="CTAOption"/>
        <w:keepNext w:val="0"/>
        <w:numPr>
          <w:ilvl w:val="0"/>
          <w:numId w:val="323"/>
        </w:numPr>
        <w:spacing w:before="0" w:after="200" w:line="290" w:lineRule="auto"/>
      </w:pPr>
      <w:r>
        <w:rPr>
          <w:rFonts w:ascii="Aptos" w:hAnsi="Aptos"/>
          <w:b w:val="0"/>
          <w:i w:val="0"/>
          <w:sz w:val="20"/>
        </w:rPr>
        <w:t>The pending transition eliminates the need to pass California Law and Ethics before clinical-exam eligibility because the national examination will cover both legal and clinical content.</w:t>
      </w:r>
    </w:p>
    <w:p>
      <w:r>
        <w:br w:type="page"/>
      </w:r>
    </w:p>
    <w:p>
      <w:pPr>
        <w:pStyle w:val="QuestionStem"/>
      </w:pPr>
      <w:r>
        <w:rPr>
          <w:rFonts w:ascii="Aptos" w:hAnsi="Aptos"/>
          <w:b/>
          <w:i w:val="0"/>
          <w:color w:val="087F78"/>
          <w:sz w:val="21"/>
        </w:rPr>
        <w:t xml:space="preserve">25. </w:t>
      </w:r>
      <w:r>
        <w:rPr>
          <w:rFonts w:ascii="Aptos" w:hAnsi="Aptos"/>
          <w:b/>
          <w:i w:val="0"/>
          <w:sz w:val="21"/>
        </w:rPr>
        <w:t>An AMFT with a subsequent registration accepts a “contractor” role in a private practice. The website says “Morgan Ruiz, AMFT, Couples Therapist,” clients pay Morgan directly, and the owner offers informal weekly consultation but has not accepted supervisory responsibility. What is the BEST integrated response?</w:t>
      </w:r>
    </w:p>
    <w:p>
      <w:pPr>
        <w:pStyle w:val="CTAOption"/>
        <w:keepNext/>
        <w:numPr>
          <w:ilvl w:val="0"/>
          <w:numId w:val="324"/>
        </w:numPr>
        <w:spacing w:before="0" w:after="100" w:line="290" w:lineRule="auto"/>
      </w:pPr>
      <w:r>
        <w:rPr>
          <w:rFonts w:ascii="Aptos" w:hAnsi="Aptos"/>
          <w:b w:val="0"/>
          <w:i w:val="0"/>
          <w:sz w:val="20"/>
        </w:rPr>
        <w:t>Continue after adding the registration number, employer name, and supervision statement because complete disclosure is the only controlling issue in an associate arrangement.</w:t>
      </w:r>
    </w:p>
    <w:p>
      <w:pPr>
        <w:pStyle w:val="CTAOption"/>
        <w:keepNext/>
        <w:numPr>
          <w:ilvl w:val="0"/>
          <w:numId w:val="324"/>
        </w:numPr>
        <w:spacing w:before="0" w:after="100" w:line="290" w:lineRule="auto"/>
      </w:pPr>
      <w:r>
        <w:rPr>
          <w:rFonts w:ascii="Aptos" w:hAnsi="Aptos"/>
          <w:b w:val="0"/>
          <w:i w:val="0"/>
          <w:sz w:val="20"/>
        </w:rPr>
        <w:t>Continue because couples therapy is within LMFT scope, the associate has a registration, and weekly consultation is clinically useful even without formal supervisory responsibility.</w:t>
      </w:r>
    </w:p>
    <w:p>
      <w:pPr>
        <w:pStyle w:val="CTAOption"/>
        <w:keepNext/>
        <w:numPr>
          <w:ilvl w:val="0"/>
          <w:numId w:val="324"/>
        </w:numPr>
        <w:spacing w:before="0" w:after="100" w:line="290" w:lineRule="auto"/>
      </w:pPr>
      <w:r>
        <w:rPr>
          <w:rFonts w:ascii="Aptos" w:hAnsi="Aptos"/>
          <w:b w:val="0"/>
          <w:i w:val="0"/>
          <w:sz w:val="20"/>
        </w:rPr>
        <w:t>Stop the arrangement; correct advertising and disclosures, end direct payment, and establish a lawful setting, work relationship, and supervision.</w:t>
      </w:r>
    </w:p>
    <w:p>
      <w:pPr>
        <w:pStyle w:val="CTAOption"/>
        <w:keepNext w:val="0"/>
        <w:numPr>
          <w:ilvl w:val="0"/>
          <w:numId w:val="324"/>
        </w:numPr>
        <w:spacing w:before="0" w:after="200" w:line="290" w:lineRule="auto"/>
      </w:pPr>
      <w:r>
        <w:rPr>
          <w:rFonts w:ascii="Aptos" w:hAnsi="Aptos"/>
          <w:b w:val="0"/>
          <w:i w:val="0"/>
          <w:sz w:val="20"/>
        </w:rPr>
        <w:t>Ask clients to consent to contractor status and direct payment, then document that continued care in the private practice best protects the treatment relationship.</w:t>
      </w:r>
    </w:p>
    <w:p>
      <w:r>
        <w:br w:type="page"/>
      </w:r>
    </w:p>
    <w:p>
      <w:pPr>
        <w:pStyle w:val="Heading1"/>
      </w:pPr>
      <w:r>
        <w:t>Completion Record</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NEXT STEP  </w:t>
      </w:r>
      <w:r>
        <w:rPr>
          <w:rFonts w:ascii="Aptos" w:hAnsi="Aptos"/>
          <w:b w:val="0"/>
          <w:i w:val="0"/>
          <w:color w:val="0B2545"/>
          <w:sz w:val="20"/>
        </w:rPr>
        <w:t>At the approved review point, compare your responses with the separate controlled answer key and detailed rationales. Record error tags and revisit the specified unit before moving into Workbook 1.</w:t>
      </w:r>
    </w:p>
    <w:p>
      <w:pPr>
        <w:keepNext w:val="0"/>
        <w:spacing w:before="0" w:after="120" w:line="276" w:lineRule="auto"/>
      </w:pPr>
      <w:r>
        <w:rPr>
          <w:rFonts w:ascii="Aptos" w:hAnsi="Aptos"/>
          <w:b w:val="0"/>
          <w:i w:val="0"/>
          <w:sz w:val="21"/>
        </w:rPr>
        <w:t>Items answered: ______ / 25</w:t>
      </w:r>
    </w:p>
    <w:p>
      <w:pPr>
        <w:keepNext w:val="0"/>
        <w:spacing w:before="0" w:after="120" w:line="276" w:lineRule="auto"/>
      </w:pPr>
      <w:r>
        <w:rPr>
          <w:rFonts w:ascii="Aptos" w:hAnsi="Aptos"/>
          <w:b w:val="0"/>
          <w:i w:val="0"/>
          <w:sz w:val="21"/>
        </w:rPr>
        <w:t>Items correct after scoring: ______ / 25</w:t>
      </w:r>
    </w:p>
    <w:p>
      <w:pPr>
        <w:keepNext w:val="0"/>
        <w:spacing w:before="0" w:after="120" w:line="276" w:lineRule="auto"/>
      </w:pPr>
      <w:r>
        <w:rPr>
          <w:rFonts w:ascii="Aptos" w:hAnsi="Aptos"/>
          <w:b w:val="0"/>
          <w:i w:val="0"/>
          <w:sz w:val="21"/>
        </w:rPr>
        <w:t>Primary error tags: __________________________________________________________</w:t>
      </w:r>
    </w:p>
    <w:p>
      <w:pPr>
        <w:keepNext w:val="0"/>
        <w:spacing w:before="0" w:after="120" w:line="276" w:lineRule="auto"/>
      </w:pPr>
      <w:r>
        <w:rPr>
          <w:rFonts w:ascii="Aptos" w:hAnsi="Aptos"/>
          <w:b w:val="0"/>
          <w:i w:val="0"/>
          <w:sz w:val="21"/>
        </w:rPr>
        <w:t>Units to revisit: ______________________________________________________________</w:t>
      </w:r>
    </w:p>
    <w:p>
      <w:pPr>
        <w:keepNext w:val="0"/>
        <w:spacing w:before="0" w:after="120" w:line="276" w:lineRule="auto"/>
      </w:pPr>
      <w:r>
        <w:rPr>
          <w:rFonts w:ascii="Aptos" w:hAnsi="Aptos"/>
          <w:b w:val="0"/>
          <w:i w:val="0"/>
          <w:sz w:val="21"/>
        </w:rPr>
        <w:t>Learner signature: ____________________________________     Date: ______________</w:t>
      </w:r>
    </w:p>
    <w:p>
      <w:pPr>
        <w:keepNext w:val="0"/>
        <w:spacing w:before="0" w:after="120" w:line="276" w:lineRule="auto"/>
      </w:pPr>
      <w:r>
        <w:rPr>
          <w:rFonts w:ascii="Aptos" w:hAnsi="Aptos"/>
          <w:b w:val="0"/>
          <w:i/>
          <w:sz w:val="17"/>
        </w:rPr>
        <w:t>© 2026 Clinical Training and Supervision Academy. Personal use by enrolled learners only. Do not share, post, reproduce, sell, or distribute.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40" w:lineRule="auto"/>
    </w:pPr>
    <w:r>
      <w:rPr>
        <w:rFonts w:ascii="Aptos" w:hAnsi="Aptos"/>
        <w:b w:val="0"/>
        <w:i w:val="0"/>
        <w:color w:val="404B5A"/>
        <w:sz w:val="16"/>
      </w:rPr>
      <w:t>Candidate Form v1.1  |  No CE Credit</w:t>
    </w:r>
    <w:r>
      <w:rPr>
        <w:rFonts w:ascii="Aptos" w:hAnsi="Aptos"/>
        <w:b w:val="0"/>
        <w:i w:val="0"/>
        <w:color w:val="404B5A"/>
        <w:sz w:val="16"/>
      </w:rPr>
      <w:tab/>
    </w:r>
    <w:r>
      <w:rPr>
        <w:rFonts w:ascii="Aptos" w:hAnsi="Aptos"/>
        <w:b w:val="0"/>
        <w:i w:val="0"/>
        <w:color w:val="404B5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Aptos" w:hAnsi="Aptos"/>
        <w:b/>
        <w:i w:val="0"/>
        <w:color w:val="0B2545"/>
        <w:sz w:val="17"/>
      </w:rPr>
      <w:t>CTA-EP-001  |  LMFT Practice Act Module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90">
    <w:multiLevelType w:val="singleLevel"/>
    <w:lvl w:ilvl="0">
      <w:start w:val="1"/>
      <w:numFmt w:val="bullet"/>
      <w:lvlText w:val="•"/>
      <w:lvlJc w:val="left"/>
      <w:pPr>
        <w:tabs>
          <w:tab w:val="num" w:pos="540"/>
        </w:tabs>
        <w:ind w:left="540" w:hanging="270"/>
        <w:spacing w:after="80" w:line="290" w:lineRule="auto"/>
      </w:pPr>
    </w:lvl>
  </w:abstractNum>
  <w:abstractNum w:abstractNumId="191">
    <w:multiLevelType w:val="singleLevel"/>
    <w:lvl w:ilvl="0">
      <w:start w:val="1"/>
      <w:numFmt w:val="upperLetter"/>
      <w:lvlText w:val="%1."/>
      <w:lvlJc w:val="left"/>
      <w:pPr>
        <w:tabs>
          <w:tab w:val="num" w:pos="540"/>
        </w:tabs>
        <w:ind w:left="540" w:hanging="270"/>
        <w:spacing w:after="80" w:line="290" w:lineRule="auto"/>
      </w:pPr>
    </w:lvl>
  </w:abstractNum>
  <w:abstractNum w:abstractNumId="192">
    <w:multiLevelType w:val="singleLevel"/>
    <w:lvl w:ilvl="0">
      <w:start w:val="1"/>
      <w:numFmt w:val="decimal"/>
      <w:lvlText w:val="%1."/>
      <w:lvlJc w:val="left"/>
      <w:pPr>
        <w:tabs>
          <w:tab w:val="num" w:pos="540"/>
        </w:tabs>
        <w:ind w:left="540" w:hanging="270"/>
        <w:spacing w:after="80" w:line="290" w:lineRule="auto"/>
      </w:pPr>
    </w:lvl>
  </w:abstractNum>
  <w:num w:numId="190">
    <w:abstractNumId w:val="190"/>
    <w:lvlOverride w:ilvl="0">
      <w:startOverride w:val="1"/>
    </w:lvlOverride>
  </w:num>
  <w:num w:numId="192">
    <w:abstractNumId w:val="192"/>
    <w:lvlOverride w:ilvl="0">
      <w:startOverride w:val="1"/>
    </w:lvlOverride>
  </w:num>
  <w:num w:numId="300">
    <w:abstractNumId w:val="191"/>
    <w:lvlOverride w:ilvl="0">
      <w:startOverride w:val="1"/>
    </w:lvlOverride>
  </w:num>
  <w:num w:numId="301">
    <w:abstractNumId w:val="191"/>
    <w:lvlOverride w:ilvl="0">
      <w:startOverride w:val="1"/>
    </w:lvlOverride>
  </w:num>
  <w:num w:numId="302">
    <w:abstractNumId w:val="191"/>
    <w:lvlOverride w:ilvl="0">
      <w:startOverride w:val="1"/>
    </w:lvlOverride>
  </w:num>
  <w:num w:numId="303">
    <w:abstractNumId w:val="191"/>
    <w:lvlOverride w:ilvl="0">
      <w:startOverride w:val="1"/>
    </w:lvlOverride>
  </w:num>
  <w:num w:numId="304">
    <w:abstractNumId w:val="191"/>
    <w:lvlOverride w:ilvl="0">
      <w:startOverride w:val="1"/>
    </w:lvlOverride>
  </w:num>
  <w:num w:numId="305">
    <w:abstractNumId w:val="191"/>
    <w:lvlOverride w:ilvl="0">
      <w:startOverride w:val="1"/>
    </w:lvlOverride>
  </w:num>
  <w:num w:numId="306">
    <w:abstractNumId w:val="191"/>
    <w:lvlOverride w:ilvl="0">
      <w:startOverride w:val="1"/>
    </w:lvlOverride>
  </w:num>
  <w:num w:numId="307">
    <w:abstractNumId w:val="191"/>
    <w:lvlOverride w:ilvl="0">
      <w:startOverride w:val="1"/>
    </w:lvlOverride>
  </w:num>
  <w:num w:numId="308">
    <w:abstractNumId w:val="191"/>
    <w:lvlOverride w:ilvl="0">
      <w:startOverride w:val="1"/>
    </w:lvlOverride>
  </w:num>
  <w:num w:numId="309">
    <w:abstractNumId w:val="191"/>
    <w:lvlOverride w:ilvl="0">
      <w:startOverride w:val="1"/>
    </w:lvlOverride>
  </w:num>
  <w:num w:numId="310">
    <w:abstractNumId w:val="191"/>
    <w:lvlOverride w:ilvl="0">
      <w:startOverride w:val="1"/>
    </w:lvlOverride>
  </w:num>
  <w:num w:numId="311">
    <w:abstractNumId w:val="191"/>
    <w:lvlOverride w:ilvl="0">
      <w:startOverride w:val="1"/>
    </w:lvlOverride>
  </w:num>
  <w:num w:numId="312">
    <w:abstractNumId w:val="191"/>
    <w:lvlOverride w:ilvl="0">
      <w:startOverride w:val="1"/>
    </w:lvlOverride>
  </w:num>
  <w:num w:numId="313">
    <w:abstractNumId w:val="191"/>
    <w:lvlOverride w:ilvl="0">
      <w:startOverride w:val="1"/>
    </w:lvlOverride>
  </w:num>
  <w:num w:numId="314">
    <w:abstractNumId w:val="191"/>
    <w:lvlOverride w:ilvl="0">
      <w:startOverride w:val="1"/>
    </w:lvlOverride>
  </w:num>
  <w:num w:numId="315">
    <w:abstractNumId w:val="191"/>
    <w:lvlOverride w:ilvl="0">
      <w:startOverride w:val="1"/>
    </w:lvlOverride>
  </w:num>
  <w:num w:numId="316">
    <w:abstractNumId w:val="191"/>
    <w:lvlOverride w:ilvl="0">
      <w:startOverride w:val="1"/>
    </w:lvlOverride>
  </w:num>
  <w:num w:numId="317">
    <w:abstractNumId w:val="191"/>
    <w:lvlOverride w:ilvl="0">
      <w:startOverride w:val="1"/>
    </w:lvlOverride>
  </w:num>
  <w:num w:numId="318">
    <w:abstractNumId w:val="191"/>
    <w:lvlOverride w:ilvl="0">
      <w:startOverride w:val="1"/>
    </w:lvlOverride>
  </w:num>
  <w:num w:numId="319">
    <w:abstractNumId w:val="191"/>
    <w:lvlOverride w:ilvl="0">
      <w:startOverride w:val="1"/>
    </w:lvlOverride>
  </w:num>
  <w:num w:numId="320">
    <w:abstractNumId w:val="191"/>
    <w:lvlOverride w:ilvl="0">
      <w:startOverride w:val="1"/>
    </w:lvlOverride>
  </w:num>
  <w:num w:numId="321">
    <w:abstractNumId w:val="191"/>
    <w:lvlOverride w:ilvl="0">
      <w:startOverride w:val="1"/>
    </w:lvlOverride>
  </w:num>
  <w:num w:numId="322">
    <w:abstractNumId w:val="191"/>
    <w:lvlOverride w:ilvl="0">
      <w:startOverride w:val="1"/>
    </w:lvlOverride>
  </w:num>
  <w:num w:numId="323">
    <w:abstractNumId w:val="191"/>
    <w:lvlOverride w:ilvl="0">
      <w:startOverride w:val="1"/>
    </w:lvlOverride>
  </w:num>
  <w:num w:numId="324">
    <w:abstractNumId w:val="1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87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87F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ullet">
    <w:name w:val="CTA Bullet"/>
    <w:basedOn w:val="Normal"/>
    <w:pPr>
      <w:spacing w:after="80" w:line="290" w:lineRule="auto"/>
      <w:numPr>
        <w:ilvl w:val="0"/>
        <w:numId w:val="190"/>
      </w:numPr>
    </w:pPr>
  </w:style>
  <w:style w:type="paragraph" w:customStyle="1" w:styleId="CTAOption">
    <w:name w:val="CTA Option"/>
    <w:basedOn w:val="Normal"/>
    <w:pPr>
      <w:spacing w:after="80" w:line="290" w:lineRule="auto"/>
      <w:numPr>
        <w:ilvl w:val="0"/>
        <w:numId w:val="191"/>
      </w:numPr>
    </w:pPr>
  </w:style>
  <w:style w:type="paragraph" w:customStyle="1" w:styleId="CTANumber">
    <w:name w:val="CTA Number"/>
    <w:basedOn w:val="Normal"/>
    <w:pPr>
      <w:spacing w:after="80" w:line="290" w:lineRule="auto"/>
      <w:numPr>
        <w:ilvl w:val="0"/>
        <w:numId w:val="192"/>
      </w:numPr>
    </w:pPr>
  </w:style>
  <w:style w:type="paragraph" w:customStyle="1" w:styleId="QuestionStem">
    <w:name w:val="Question Stem"/>
    <w:basedOn w:val="Normal"/>
    <w:pPr>
      <w:keepNext/>
      <w:spacing w:before="140" w:after="120" w:line="276" w:lineRule="auto"/>
    </w:pPr>
    <w:rPr>
      <w:rFonts w:ascii="Aptos" w:hAnsi="Aptos"/>
      <w:b/>
      <w:color w:val="0B2545"/>
      <w:sz w:val="21"/>
    </w:rPr>
  </w:style>
  <w:style w:type="paragraph" w:customStyle="1" w:styleId="SmallNote">
    <w:name w:val="Small Note"/>
    <w:basedOn w:val="Normal"/>
    <w:pPr>
      <w:spacing w:after="80" w:line="252" w:lineRule="auto"/>
    </w:pPr>
    <w:rPr>
      <w:rFonts w:ascii="Aptos" w:hAnsi="Aptos"/>
      <w:color w:val="404B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LMFT Practice Act Module 25-Question Assessment — Candidate Form v1.0</dc:title>
  <dc:subject>LMFT California Law and Ethics Exam Preparation — learner-facing assessment</dc:subject>
  <dc:creator>Clinical Training and Supervision Academy</dc:creator>
  <cp:keywords>LMFT, AMFT, California Law and Ethics, exam preparation, assessment</cp:keywords>
  <dc:description>Final internal answer-hidden candidate assessment approved August 3, 2026.</dc:description>
  <cp:lastModifiedBy/>
  <cp:revision>1</cp:revision>
  <dcterms:created xsi:type="dcterms:W3CDTF">2013-12-23T23:15:00Z</dcterms:created>
  <dcterms:modified xsi:type="dcterms:W3CDTF">2013-12-23T23:15:00Z</dcterms:modified>
  <cp:category/>
</cp:coreProperties>
</file>