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76" w:lineRule="auto"/>
        <w:jc w:val="center"/>
      </w:pPr>
      <w:r>
        <w:drawing>
          <wp:inline xmlns:a="http://schemas.openxmlformats.org/drawingml/2006/main" xmlns:pic="http://schemas.openxmlformats.org/drawingml/2006/picture">
            <wp:extent cx="2560320" cy="1850718"/>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2560320" cy="1850718"/>
                    </a:xfrm>
                    <a:prstGeom prst="rect"/>
                  </pic:spPr>
                </pic:pic>
              </a:graphicData>
            </a:graphic>
          </wp:inline>
        </w:drawing>
      </w:r>
    </w:p>
    <w:p>
      <w:pPr>
        <w:jc w:val="center"/>
      </w:pPr>
      <w:r>
        <w:rPr>
          <w:rFonts w:ascii="Aptos" w:hAnsi="Aptos"/>
          <w:b/>
          <w:i w:val="0"/>
          <w:color w:val="087F78"/>
          <w:sz w:val="20"/>
        </w:rPr>
        <w:t>CALIFORNIA LAW &amp; ETHICS EXAM PREPARATION</w:t>
      </w:r>
    </w:p>
    <w:p>
      <w:pPr>
        <w:pStyle w:val="Title"/>
        <w:jc w:val="center"/>
      </w:pPr>
      <w:r>
        <w:t>LMFT Practice Act Module</w:t>
        <w:br/>
        <w:t>25-Question Assessment</w:t>
      </w:r>
    </w:p>
    <w:p>
      <w:pPr>
        <w:pStyle w:val="Subtitle"/>
        <w:jc w:val="center"/>
      </w:pPr>
      <w:r>
        <w:t>Controlled Answer Key and Detailed Rationales</w:t>
      </w:r>
    </w:p>
    <w:p>
      <w:pPr>
        <w:keepNext w:val="0"/>
        <w:spacing w:before="60" w:after="160" w:line="269" w:lineRule="auto"/>
        <w:ind w:left="140" w:right="140"/>
        <w:shd w:fill="FDECEC"/>
        <w:pBdr>
          <w:top w:val="single" w:sz="8" w:space="3" w:color="9B1C1C"/>
          <w:left w:val="single" w:sz="8" w:space="3" w:color="9B1C1C"/>
          <w:bottom w:val="single" w:sz="8" w:space="3" w:color="9B1C1C"/>
          <w:right w:val="single" w:sz="8" w:space="3" w:color="9B1C1C"/>
        </w:pBdr>
      </w:pPr>
      <w:r>
        <w:rPr>
          <w:rFonts w:ascii="Aptos" w:hAnsi="Aptos"/>
          <w:b/>
          <w:i w:val="0"/>
          <w:color w:val="9B1C1C"/>
          <w:sz w:val="19"/>
        </w:rPr>
        <w:t xml:space="preserve">CONTROLLED DOCUMENT  </w:t>
      </w:r>
      <w:r>
        <w:rPr>
          <w:rFonts w:ascii="Aptos" w:hAnsi="Aptos"/>
          <w:b w:val="0"/>
          <w:i w:val="0"/>
          <w:color w:val="0B2545"/>
          <w:sz w:val="20"/>
        </w:rPr>
        <w:t>Administrator and instructional-control use only. Do not place this file in the learner assessment lesson before the approved answer-review point.</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700"/>
        <w:gridCol w:w="6540"/>
      </w:tblGrid>
      <w:tr>
        <w:trPr>
          <w:tblHeader w:val="true"/>
          <w:cantSplit/>
        </w:trPr>
        <w:tc>
          <w:tcPr>
            <w:tcW w:type="dxa" w:w="270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8"/>
              </w:rPr>
              <w:t>Program control</w:t>
            </w:r>
          </w:p>
        </w:tc>
        <w:tc>
          <w:tcPr>
            <w:tcW w:type="dxa" w:w="654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8"/>
              </w:rPr>
              <w:t>Approved identity</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Program</w:t>
            </w:r>
          </w:p>
        </w:tc>
        <w:tc>
          <w:tcPr>
            <w:tcW w:type="dxa" w:w="65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CTA LMFT California Law &amp; Ethics Exam Preparation Program</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Program code</w:t>
            </w:r>
          </w:p>
        </w:tc>
        <w:tc>
          <w:tcPr>
            <w:tcW w:type="dxa" w:w="65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CTA-EP-001</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Audience</w:t>
            </w:r>
          </w:p>
        </w:tc>
        <w:tc>
          <w:tcPr>
            <w:tcW w:type="dxa" w:w="65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LMFT and AMFT candidates only</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Classification</w:t>
            </w:r>
          </w:p>
        </w:tc>
        <w:tc>
          <w:tcPr>
            <w:tcW w:type="dxa" w:w="65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Exam Preparation Program | No CE Credit</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Assessment</w:t>
            </w:r>
          </w:p>
        </w:tc>
        <w:tc>
          <w:tcPr>
            <w:tcW w:type="dxa" w:w="65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25 original one-best-answer questions</w:t>
            </w:r>
          </w:p>
        </w:tc>
      </w:tr>
      <w:tr>
        <w:trPr>
          <w:cantSplit/>
        </w:trPr>
        <w:tc>
          <w:tcPr>
            <w:tcW w:type="dxa" w:w="27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Version / status</w:t>
            </w:r>
          </w:p>
        </w:tc>
        <w:tc>
          <w:tcPr>
            <w:tcW w:type="dxa" w:w="65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v1.1 | Final Internal Controlled Edition | August 3, 2026</w:t>
            </w:r>
          </w:p>
        </w:tc>
      </w:tr>
    </w:tbl>
    <w:p>
      <w:pPr>
        <w:keepNext w:val="0"/>
        <w:spacing w:before="0" w:after="0" w:line="240" w:lineRule="auto"/>
      </w:pP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PROGRAM BOUNDARY  </w:t>
      </w:r>
      <w:r>
        <w:rPr>
          <w:rFonts w:ascii="Aptos" w:hAnsi="Aptos"/>
          <w:b w:val="0"/>
          <w:i w:val="0"/>
          <w:color w:val="0B2545"/>
          <w:sz w:val="20"/>
        </w:rPr>
        <w:t>This controlled file supports the license-specific module assessment for the LMFT California Law and Ethics Exam Preparation Program. Release only at the approved answer-review point. It is not a CE course, provides no CE credit or CE certificate, and does not prepare learners for a clinical examination.</w:t>
      </w:r>
    </w:p>
    <w:p>
      <w:pPr>
        <w:jc w:val="center"/>
      </w:pPr>
      <w:r>
        <w:rPr>
          <w:rFonts w:ascii="Aptos" w:hAnsi="Aptos"/>
          <w:b/>
          <w:i w:val="0"/>
          <w:color w:val="087F78"/>
          <w:sz w:val="22"/>
        </w:rPr>
        <w:t>Teaching Clinicians How to Think.™</w:t>
      </w:r>
    </w:p>
    <w:p>
      <w:r>
        <w:br w:type="page"/>
      </w:r>
    </w:p>
    <w:p>
      <w:pPr>
        <w:pStyle w:val="Heading1"/>
      </w:pPr>
      <w:r>
        <w:t>Assessment Control Summary</w:t>
      </w:r>
    </w:p>
    <w:p>
      <w:pPr>
        <w:keepNext w:val="0"/>
        <w:spacing w:before="60" w:after="160" w:line="269" w:lineRule="auto"/>
        <w:ind w:left="140" w:right="140"/>
        <w:shd w:fill="FDECEC"/>
        <w:pBdr>
          <w:top w:val="single" w:sz="8" w:space="3" w:color="9B1C1C"/>
          <w:left w:val="single" w:sz="8" w:space="3" w:color="9B1C1C"/>
          <w:bottom w:val="single" w:sz="8" w:space="3" w:color="9B1C1C"/>
          <w:right w:val="single" w:sz="8" w:space="3" w:color="9B1C1C"/>
        </w:pBdr>
      </w:pPr>
      <w:r>
        <w:rPr>
          <w:rFonts w:ascii="Aptos" w:hAnsi="Aptos"/>
          <w:b/>
          <w:i w:val="0"/>
          <w:color w:val="9B1C1C"/>
          <w:sz w:val="19"/>
        </w:rPr>
        <w:t xml:space="preserve">RELEASE CONTROL  </w:t>
      </w:r>
      <w:r>
        <w:rPr>
          <w:rFonts w:ascii="Aptos" w:hAnsi="Aptos"/>
          <w:b w:val="0"/>
          <w:i w:val="0"/>
          <w:color w:val="0B2545"/>
          <w:sz w:val="20"/>
        </w:rPr>
        <w:t>Candidate Form and Controlled Key must remain separate. The candidate form contains no keyed answers, rationale text, difficulty labels, or internal item-control metadata.</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500"/>
        <w:gridCol w:w="6740"/>
      </w:tblGrid>
      <w:tr>
        <w:trPr>
          <w:tblHeader w:val="true"/>
          <w:cantSplit/>
        </w:trPr>
        <w:tc>
          <w:tcPr>
            <w:tcW w:type="dxa" w:w="250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8"/>
              </w:rPr>
              <w:t>Control</w:t>
            </w:r>
          </w:p>
        </w:tc>
        <w:tc>
          <w:tcPr>
            <w:tcW w:type="dxa" w:w="674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8"/>
              </w:rPr>
              <w:t>Reconciled result</w:t>
            </w:r>
          </w:p>
        </w:tc>
      </w:tr>
      <w:tr>
        <w:trPr>
          <w:cantSplit/>
        </w:trPr>
        <w:tc>
          <w:tcPr>
            <w:tcW w:type="dxa" w:w="25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Total items</w:t>
            </w:r>
          </w:p>
        </w:tc>
        <w:tc>
          <w:tcPr>
            <w:tcW w:type="dxa" w:w="67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25</w:t>
            </w:r>
          </w:p>
        </w:tc>
      </w:tr>
      <w:tr>
        <w:trPr>
          <w:cantSplit/>
        </w:trPr>
        <w:tc>
          <w:tcPr>
            <w:tcW w:type="dxa" w:w="25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Difficulty</w:t>
            </w:r>
          </w:p>
        </w:tc>
        <w:tc>
          <w:tcPr>
            <w:tcW w:type="dxa" w:w="67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7 Easy | 11 Moderate | 7 Difficult</w:t>
            </w:r>
          </w:p>
        </w:tc>
      </w:tr>
      <w:tr>
        <w:trPr>
          <w:cantSplit/>
        </w:trPr>
        <w:tc>
          <w:tcPr>
            <w:tcW w:type="dxa" w:w="25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Item types</w:t>
            </w:r>
          </w:p>
        </w:tc>
        <w:tc>
          <w:tcPr>
            <w:tcW w:type="dxa" w:w="67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5 Knowledge/Recognition | 11 Application/Sequencing | 7 Scenario-Based | 2 Integrated Challenge</w:t>
            </w:r>
          </w:p>
        </w:tc>
      </w:tr>
      <w:tr>
        <w:trPr>
          <w:cantSplit/>
        </w:trPr>
        <w:tc>
          <w:tcPr>
            <w:tcW w:type="dxa" w:w="25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Correct positions</w:t>
            </w:r>
          </w:p>
        </w:tc>
        <w:tc>
          <w:tcPr>
            <w:tcW w:type="dxa" w:w="67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A: 6 | B: 6 | C: 7 | D: 6</w:t>
            </w:r>
          </w:p>
        </w:tc>
      </w:tr>
      <w:tr>
        <w:trPr>
          <w:cantSplit/>
        </w:trPr>
        <w:tc>
          <w:tcPr>
            <w:tcW w:type="dxa" w:w="25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Item range</w:t>
            </w:r>
          </w:p>
        </w:tc>
        <w:tc>
          <w:tcPr>
            <w:tcW w:type="dxa" w:w="674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CTA-EP-001-LS-001 through CTA-EP-001-LS-025</w:t>
            </w:r>
          </w:p>
        </w:tc>
      </w:tr>
      <w:tr>
        <w:trPr>
          <w:cantSplit/>
        </w:trPr>
        <w:tc>
          <w:tcPr>
            <w:tcW w:type="dxa" w:w="2500"/>
            <w:shd w:fill="E8EEF5"/>
            <w:vAlign w:val="center"/>
            <w:tcMar>
              <w:top w:w="100" w:type="dxa"/>
              <w:start w:w="120" w:type="dxa"/>
              <w:bottom w:w="100" w:type="dxa"/>
              <w:end w:w="120" w:type="dxa"/>
            </w:tcMar>
          </w:tcPr>
          <w:p>
            <w:pPr>
              <w:keepNext w:val="0"/>
              <w:spacing w:before="0" w:after="40" w:line="259" w:lineRule="auto"/>
            </w:pPr>
            <w:r>
              <w:rPr>
                <w:rFonts w:ascii="Aptos" w:hAnsi="Aptos"/>
                <w:b/>
                <w:i w:val="0"/>
                <w:color w:val="0B2545"/>
                <w:sz w:val="18"/>
              </w:rPr>
              <w:t>Source review</w:t>
            </w:r>
          </w:p>
        </w:tc>
        <w:tc>
          <w:tcPr>
            <w:tcW w:type="dxa" w:w="674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8"/>
              </w:rPr>
              <w:t>August 2, 2026</w:t>
            </w:r>
          </w:p>
        </w:tc>
      </w:tr>
    </w:tbl>
    <w:p>
      <w:pPr>
        <w:keepNext w:val="0"/>
        <w:spacing w:before="0" w:after="0" w:line="240" w:lineRule="auto"/>
      </w:pPr>
    </w:p>
    <w:p>
      <w:pPr>
        <w:pStyle w:val="Heading2"/>
      </w:pPr>
      <w:r>
        <w:t>Quick Answer Key and Blueprint Crosswalk</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200"/>
        <w:gridCol w:w="650"/>
        <w:gridCol w:w="650"/>
        <w:gridCol w:w="1550"/>
        <w:gridCol w:w="1200"/>
        <w:gridCol w:w="2990"/>
      </w:tblGrid>
      <w:tr>
        <w:trPr>
          <w:tblHeader w:val="true"/>
          <w:cantSplit/>
        </w:trPr>
        <w:tc>
          <w:tcPr>
            <w:tcW w:type="dxa" w:w="220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5"/>
              </w:rPr>
              <w:t>Item ID</w:t>
            </w:r>
          </w:p>
        </w:tc>
        <w:tc>
          <w:tcPr>
            <w:tcW w:type="dxa" w:w="65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5"/>
              </w:rPr>
              <w:t>Key</w:t>
            </w:r>
          </w:p>
        </w:tc>
        <w:tc>
          <w:tcPr>
            <w:tcW w:type="dxa" w:w="65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5"/>
              </w:rPr>
              <w:t>Unit</w:t>
            </w:r>
          </w:p>
        </w:tc>
        <w:tc>
          <w:tcPr>
            <w:tcW w:type="dxa" w:w="155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5"/>
              </w:rPr>
              <w:t>LO</w:t>
            </w:r>
          </w:p>
        </w:tc>
        <w:tc>
          <w:tcPr>
            <w:tcW w:type="dxa" w:w="120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5"/>
              </w:rPr>
              <w:t>Difficulty</w:t>
            </w:r>
          </w:p>
        </w:tc>
        <w:tc>
          <w:tcPr>
            <w:tcW w:type="dxa" w:w="299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5"/>
              </w:rPr>
              <w:t>Type</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CTA-EP-001-LS-001</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B</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1</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LO-1</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Easy</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Knowledge/Recognition</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CTA-EP-001-LS-002</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D</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1</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LO-1, LO-12</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CTA-EP-001-LS-003</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A</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2</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LO-3</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Easy</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Knowledge/Recognition</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CTA-EP-001-LS-004</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C</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2</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LO-3, LO-4</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CTA-EP-001-LS-005</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B</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2</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LO-2</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CTA-EP-001-LS-006</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D</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2</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LO-3, LO-4, LO-7</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Difficult</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Scenario-Based</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CTA-EP-001-LS-007</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A</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3</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LO-5</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Easy</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Knowledge/Recognition</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CTA-EP-001-LS-008</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C</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3</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LO-5, LO-8</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CTA-EP-001-LS-009</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D</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3</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LO-5</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Scenario-Based</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CTA-EP-001-LS-010</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B</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3</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LO-5, LO-8, LO-12</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Difficult</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Scenario-Based</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CTA-EP-001-LS-011</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C</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4</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LO-7</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Easy</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Knowledge/Recognition</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CTA-EP-001-LS-012</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A</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4</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LO-7</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CTA-EP-001-LS-013</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B</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4</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LO-4, LO-7, LO-12</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CTA-EP-001-LS-014</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D</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4</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LO-4, LO-7, LO-12</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Difficult</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Scenario-Based</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CTA-EP-001-LS-015</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C</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5</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LO-4, LO-6</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Easy</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CTA-EP-001-LS-016</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A</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5</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LO-6, LO-8</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CTA-EP-001-LS-017</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B</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5</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LO-6</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Scenario-Based</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CTA-EP-001-LS-018</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C</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5</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LO-2, LO-4, LO-6</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Difficult</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Scenario-Based</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CTA-EP-001-LS-019</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D</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6</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LO-8, LO-12</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CTA-EP-001-LS-020</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A</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6</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LO-7, LO-8, LO-12</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Difficult</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Scenario-Based</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CTA-EP-001-LS-021</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B</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7</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LO-9</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Easy</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Knowledge/Recognition</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CTA-EP-001-LS-022</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C</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7</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LO-9</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Easy</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CTA-EP-001-LS-023</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D</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7</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LO-9, LO-10</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Moderate</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Application/Sequencing</w:t>
            </w:r>
          </w:p>
        </w:tc>
      </w:tr>
      <w:tr>
        <w:trPr>
          <w:cantSplit/>
        </w:trPr>
        <w:tc>
          <w:tcPr>
            <w:tcW w:type="dxa" w:w="2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CTA-EP-001-LS-024</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A</w:t>
            </w:r>
          </w:p>
        </w:tc>
        <w:tc>
          <w:tcPr>
            <w:tcW w:type="dxa" w:w="65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8</w:t>
            </w:r>
          </w:p>
        </w:tc>
        <w:tc>
          <w:tcPr>
            <w:tcW w:type="dxa" w:w="155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LO-10, LO-11, LO-12</w:t>
            </w:r>
          </w:p>
        </w:tc>
        <w:tc>
          <w:tcPr>
            <w:tcW w:type="dxa" w:w="120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Difficult</w:t>
            </w:r>
          </w:p>
        </w:tc>
        <w:tc>
          <w:tcPr>
            <w:tcW w:type="dxa" w:w="299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Integrated Challenge</w:t>
            </w:r>
          </w:p>
        </w:tc>
      </w:tr>
      <w:tr>
        <w:trPr>
          <w:cantSplit/>
        </w:trPr>
        <w:tc>
          <w:tcPr>
            <w:tcW w:type="dxa" w:w="2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CTA-EP-001-LS-025</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C</w:t>
            </w:r>
          </w:p>
        </w:tc>
        <w:tc>
          <w:tcPr>
            <w:tcW w:type="dxa" w:w="65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5"/>
              </w:rPr>
              <w:t>8</w:t>
            </w:r>
          </w:p>
        </w:tc>
        <w:tc>
          <w:tcPr>
            <w:tcW w:type="dxa" w:w="155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LO-4, LO-5, LO-6, LO-7, LO-8, LO-12</w:t>
            </w:r>
          </w:p>
        </w:tc>
        <w:tc>
          <w:tcPr>
            <w:tcW w:type="dxa" w:w="120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Difficult</w:t>
            </w:r>
          </w:p>
        </w:tc>
        <w:tc>
          <w:tcPr>
            <w:tcW w:type="dxa" w:w="299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5"/>
              </w:rPr>
              <w:t>Integrated Challenge</w:t>
            </w:r>
          </w:p>
        </w:tc>
      </w:tr>
    </w:tbl>
    <w:p>
      <w:pPr>
        <w:keepNext w:val="0"/>
        <w:spacing w:before="0" w:after="0" w:line="240" w:lineRule="auto"/>
      </w:pPr>
    </w:p>
    <w:p>
      <w:pPr>
        <w:pStyle w:val="Heading2"/>
      </w:pPr>
      <w:r>
        <w:t>Domain and Difficulty Reconciliation</w:t>
      </w:r>
    </w:p>
    <w:tbl>
      <w:tblPr>
        <w:tblW w:type="dxa" w:w="9240"/>
        <w:jc w:val="left"/>
        <w:tblLayout w:type="fixed"/>
        <w:tblLook w:firstColumn="1" w:firstRow="1" w:lastColumn="0" w:lastRow="0" w:noHBand="0" w:noVBand="1" w:val="04A0"/>
        <w:tblInd w:w="12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4920"/>
        <w:gridCol w:w="1080"/>
        <w:gridCol w:w="1080"/>
        <w:gridCol w:w="1080"/>
        <w:gridCol w:w="1080"/>
      </w:tblGrid>
      <w:tr>
        <w:trPr>
          <w:tblHeader w:val="true"/>
          <w:cantSplit/>
        </w:trPr>
        <w:tc>
          <w:tcPr>
            <w:tcW w:type="dxa" w:w="4920"/>
            <w:shd w:fill="0B2545"/>
            <w:vAlign w:val="center"/>
            <w:tcMar>
              <w:top w:w="100" w:type="dxa"/>
              <w:start w:w="120" w:type="dxa"/>
              <w:bottom w:w="100" w:type="dxa"/>
              <w:end w:w="120" w:type="dxa"/>
            </w:tcMar>
          </w:tcPr>
          <w:p>
            <w:pPr>
              <w:keepNext w:val="0"/>
              <w:spacing w:before="0" w:after="40" w:line="259" w:lineRule="auto"/>
            </w:pPr>
            <w:r>
              <w:rPr>
                <w:rFonts w:ascii="Aptos" w:hAnsi="Aptos"/>
                <w:b/>
                <w:i w:val="0"/>
                <w:color w:val="FFFFFF"/>
                <w:sz w:val="16"/>
              </w:rPr>
              <w:t>Domain</w:t>
            </w:r>
          </w:p>
        </w:tc>
        <w:tc>
          <w:tcPr>
            <w:tcW w:type="dxa" w:w="108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6"/>
              </w:rPr>
              <w:t>Items</w:t>
            </w:r>
          </w:p>
        </w:tc>
        <w:tc>
          <w:tcPr>
            <w:tcW w:type="dxa" w:w="108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6"/>
              </w:rPr>
              <w:t>Easy</w:t>
            </w:r>
          </w:p>
        </w:tc>
        <w:tc>
          <w:tcPr>
            <w:tcW w:type="dxa" w:w="108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6"/>
              </w:rPr>
              <w:t>Moderate</w:t>
            </w:r>
          </w:p>
        </w:tc>
        <w:tc>
          <w:tcPr>
            <w:tcW w:type="dxa" w:w="1080"/>
            <w:shd w:fill="0B2545"/>
            <w:vAlign w:val="center"/>
            <w:tcMar>
              <w:top w:w="100" w:type="dxa"/>
              <w:start w:w="120" w:type="dxa"/>
              <w:bottom w:w="100" w:type="dxa"/>
              <w:end w:w="120" w:type="dxa"/>
            </w:tcMar>
          </w:tcPr>
          <w:p>
            <w:pPr>
              <w:keepNext w:val="0"/>
              <w:spacing w:before="0" w:after="40" w:line="259" w:lineRule="auto"/>
              <w:jc w:val="center"/>
            </w:pPr>
            <w:r>
              <w:rPr>
                <w:rFonts w:ascii="Aptos" w:hAnsi="Aptos"/>
                <w:b/>
                <w:i w:val="0"/>
                <w:color w:val="FFFFFF"/>
                <w:sz w:val="16"/>
              </w:rPr>
              <w:t>Difficult</w:t>
            </w:r>
          </w:p>
        </w:tc>
      </w:tr>
      <w:tr>
        <w:trPr>
          <w:cantSplit/>
        </w:trPr>
        <w:tc>
          <w:tcPr>
            <w:tcW w:type="dxa" w:w="492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1. Authority and hierarchy</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0</w:t>
            </w:r>
          </w:p>
        </w:tc>
      </w:tr>
      <w:tr>
        <w:trPr>
          <w:cantSplit/>
        </w:trPr>
        <w:tc>
          <w:tcPr>
            <w:tcW w:type="dxa" w:w="492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2. LMFT scope and identity</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4</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r>
      <w:tr>
        <w:trPr>
          <w:cantSplit/>
        </w:trPr>
        <w:tc>
          <w:tcPr>
            <w:tcW w:type="dxa" w:w="492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3. Titles, notice, and advertising</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4</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r>
      <w:tr>
        <w:trPr>
          <w:cantSplit/>
        </w:trPr>
        <w:tc>
          <w:tcPr>
            <w:tcW w:type="dxa" w:w="492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4. Supervision and accountability</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4</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r>
      <w:tr>
        <w:trPr>
          <w:cantSplit/>
        </w:trPr>
        <w:tc>
          <w:tcPr>
            <w:tcW w:type="dxa" w:w="492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5. Settings, employment, and payment</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4</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r>
      <w:tr>
        <w:trPr>
          <w:cantSplit/>
        </w:trPr>
        <w:tc>
          <w:tcPr>
            <w:tcW w:type="dxa" w:w="492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6. Responsibility and enforcement</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0</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r>
      <w:tr>
        <w:trPr>
          <w:cantSplit/>
        </w:trPr>
        <w:tc>
          <w:tcPr>
            <w:tcW w:type="dxa" w:w="492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7. Registration and exam pathway</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3</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0</w:t>
            </w:r>
          </w:p>
        </w:tc>
      </w:tr>
      <w:tr>
        <w:trPr>
          <w:cantSplit/>
        </w:trPr>
        <w:tc>
          <w:tcPr>
            <w:tcW w:type="dxa" w:w="4920"/>
            <w:shd w:fill="FAFBFC"/>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8. Exam distinctions and integration</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0</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0</w:t>
            </w:r>
          </w:p>
        </w:tc>
        <w:tc>
          <w:tcPr>
            <w:tcW w:type="dxa" w:w="1080"/>
            <w:shd w:fill="FAFBFC"/>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w:t>
            </w:r>
          </w:p>
        </w:tc>
      </w:tr>
      <w:tr>
        <w:trPr>
          <w:cantSplit/>
        </w:trPr>
        <w:tc>
          <w:tcPr>
            <w:tcW w:type="dxa" w:w="4920"/>
            <w:vAlign w:val="center"/>
            <w:tcMar>
              <w:top w:w="100" w:type="dxa"/>
              <w:start w:w="120" w:type="dxa"/>
              <w:bottom w:w="100" w:type="dxa"/>
              <w:end w:w="120" w:type="dxa"/>
            </w:tcMar>
          </w:tcPr>
          <w:p>
            <w:pPr>
              <w:keepNext w:val="0"/>
              <w:spacing w:before="0" w:after="40" w:line="259" w:lineRule="auto"/>
            </w:pPr>
            <w:r>
              <w:rPr>
                <w:rFonts w:ascii="Aptos" w:hAnsi="Aptos"/>
                <w:b w:val="0"/>
                <w:i w:val="0"/>
                <w:color w:val="0B2545"/>
                <w:sz w:val="16"/>
              </w:rPr>
              <w:t>TOTAL</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25</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7</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11</w:t>
            </w:r>
          </w:p>
        </w:tc>
        <w:tc>
          <w:tcPr>
            <w:tcW w:type="dxa" w:w="1080"/>
            <w:vAlign w:val="center"/>
            <w:tcMar>
              <w:top w:w="100" w:type="dxa"/>
              <w:start w:w="120" w:type="dxa"/>
              <w:bottom w:w="100" w:type="dxa"/>
              <w:end w:w="120" w:type="dxa"/>
            </w:tcMar>
          </w:tcPr>
          <w:p>
            <w:pPr>
              <w:keepNext w:val="0"/>
              <w:spacing w:before="0" w:after="40" w:line="259" w:lineRule="auto"/>
              <w:jc w:val="center"/>
            </w:pPr>
            <w:r>
              <w:rPr>
                <w:rFonts w:ascii="Aptos" w:hAnsi="Aptos"/>
                <w:b w:val="0"/>
                <w:i w:val="0"/>
                <w:color w:val="0B2545"/>
                <w:sz w:val="16"/>
              </w:rPr>
              <w:t>7</w:t>
            </w:r>
          </w:p>
        </w:tc>
      </w:tr>
    </w:tbl>
    <w:p>
      <w:pPr>
        <w:keepNext w:val="0"/>
        <w:spacing w:before="0" w:after="0" w:line="240" w:lineRule="auto"/>
      </w:pPr>
    </w:p>
    <w:p>
      <w:r>
        <w:br w:type="page"/>
      </w:r>
    </w:p>
    <w:p>
      <w:pPr>
        <w:pStyle w:val="Heading1"/>
      </w:pPr>
      <w:r>
        <w:t>Detailed Answer Key and Rationales</w:t>
      </w:r>
    </w:p>
    <w:p>
      <w:pPr>
        <w:pStyle w:val="Heading2"/>
      </w:pPr>
      <w:r>
        <w:t>1. CTA-EP-001-LS-001</w:t>
      </w:r>
    </w:p>
    <w:p>
      <w:pPr>
        <w:pStyle w:val="SmallNote"/>
      </w:pPr>
      <w:r>
        <w:rPr>
          <w:rFonts w:ascii="Aptos" w:hAnsi="Aptos"/>
          <w:b w:val="0"/>
          <w:i w:val="0"/>
          <w:color w:val="404B5A"/>
          <w:sz w:val="17"/>
        </w:rPr>
        <w:t>Unit 1 | LO-1 | Easy | Knowledge/Recognition | Error tag: Current-vs-Pending</w:t>
      </w:r>
    </w:p>
    <w:p>
      <w:pPr>
        <w:pStyle w:val="QuestionStem"/>
      </w:pPr>
      <w:r>
        <w:rPr>
          <w:rFonts w:ascii="Aptos" w:hAnsi="Aptos"/>
          <w:b/>
          <w:i w:val="0"/>
          <w:sz w:val="20"/>
        </w:rPr>
        <w:t>An AMFT finds an employer policy that conflicts with a current California regulation governing associate advertising. Which authority should the AMFT apply to determine the minimum legal advertising requirements?</w:t>
      </w:r>
    </w:p>
    <w:p>
      <w:pPr>
        <w:pStyle w:val="CTAOption"/>
        <w:keepNext/>
        <w:numPr>
          <w:ilvl w:val="0"/>
          <w:numId w:val="500"/>
        </w:numPr>
        <w:spacing w:before="0" w:after="80" w:line="290" w:lineRule="auto"/>
      </w:pPr>
      <w:r>
        <w:rPr>
          <w:rFonts w:ascii="Aptos" w:hAnsi="Aptos"/>
          <w:b w:val="0"/>
          <w:i w:val="0"/>
          <w:sz w:val="20"/>
        </w:rPr>
        <w:t>The employer policy, because it governs the workplace.</w:t>
      </w:r>
    </w:p>
    <w:p>
      <w:pPr>
        <w:pStyle w:val="CTAOption"/>
        <w:keepNext/>
        <w:numPr>
          <w:ilvl w:val="0"/>
          <w:numId w:val="500"/>
        </w:numPr>
        <w:spacing w:before="0" w:after="80" w:line="290" w:lineRule="auto"/>
      </w:pPr>
      <w:r>
        <w:rPr>
          <w:rFonts w:ascii="Aptos" w:hAnsi="Aptos"/>
          <w:b w:val="0"/>
          <w:i w:val="0"/>
          <w:sz w:val="20"/>
        </w:rPr>
        <w:t>The current California statute and regulation applicable to AMFT advertising.</w:t>
      </w:r>
    </w:p>
    <w:p>
      <w:pPr>
        <w:pStyle w:val="CTAOption"/>
        <w:keepNext/>
        <w:numPr>
          <w:ilvl w:val="0"/>
          <w:numId w:val="500"/>
        </w:numPr>
        <w:spacing w:before="0" w:after="80" w:line="290" w:lineRule="auto"/>
      </w:pPr>
      <w:r>
        <w:rPr>
          <w:rFonts w:ascii="Aptos" w:hAnsi="Aptos"/>
          <w:b w:val="0"/>
          <w:i w:val="0"/>
          <w:sz w:val="20"/>
        </w:rPr>
        <w:t>A general ethical principle, because ethics always supersede statutes.</w:t>
      </w:r>
    </w:p>
    <w:p>
      <w:pPr>
        <w:pStyle w:val="CTAOption"/>
        <w:keepNext w:val="0"/>
        <w:numPr>
          <w:ilvl w:val="0"/>
          <w:numId w:val="500"/>
        </w:numPr>
        <w:spacing w:before="0" w:after="80" w:line="290" w:lineRule="auto"/>
      </w:pPr>
      <w:r>
        <w:rPr>
          <w:rFonts w:ascii="Aptos" w:hAnsi="Aptos"/>
          <w:b w:val="0"/>
          <w:i w:val="0"/>
          <w:sz w:val="20"/>
        </w:rPr>
        <w:t>A proposed Board change, because the Board may adopt it later.</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B. The current California statute and regulation applicable to AMFT advertising.</w:t>
      </w:r>
    </w:p>
    <w:p>
      <w:pPr>
        <w:pStyle w:val="Heading3"/>
      </w:pPr>
      <w:r>
        <w:t>Option-by-Option Rationales</w:t>
      </w:r>
    </w:p>
    <w:p>
      <w:pPr>
        <w:pStyle w:val="CTAOption"/>
        <w:keepNext/>
        <w:numPr>
          <w:ilvl w:val="0"/>
          <w:numId w:val="600"/>
        </w:numPr>
        <w:spacing w:before="0" w:after="100" w:line="290" w:lineRule="auto"/>
      </w:pPr>
      <w:r>
        <w:rPr>
          <w:rFonts w:ascii="Aptos" w:hAnsi="Aptos"/>
          <w:b/>
          <w:i w:val="0"/>
          <w:color w:val="087F78"/>
          <w:sz w:val="20"/>
        </w:rPr>
        <w:t xml:space="preserve">Incorrect. </w:t>
      </w:r>
      <w:r>
        <w:rPr>
          <w:rFonts w:ascii="Aptos" w:hAnsi="Aptos"/>
          <w:b w:val="0"/>
          <w:i w:val="0"/>
          <w:sz w:val="20"/>
        </w:rPr>
        <w:t>An employer may impose a stricter lawful policy, but its policy cannot replace or reduce a current statutory or regulatory requirement.</w:t>
      </w:r>
    </w:p>
    <w:p>
      <w:pPr>
        <w:pStyle w:val="CTAOption"/>
        <w:keepNext/>
        <w:numPr>
          <w:ilvl w:val="0"/>
          <w:numId w:val="600"/>
        </w:numPr>
        <w:spacing w:before="0" w:after="100" w:line="290" w:lineRule="auto"/>
      </w:pPr>
      <w:r>
        <w:rPr>
          <w:rFonts w:ascii="Aptos" w:hAnsi="Aptos"/>
          <w:b/>
          <w:i w:val="0"/>
          <w:color w:val="087F78"/>
          <w:sz w:val="20"/>
        </w:rPr>
        <w:t xml:space="preserve">Correct. </w:t>
      </w:r>
      <w:r>
        <w:rPr>
          <w:rFonts w:ascii="Aptos" w:hAnsi="Aptos"/>
          <w:b w:val="0"/>
          <w:i w:val="0"/>
          <w:sz w:val="20"/>
        </w:rPr>
        <w:t>The controlling minimum legal rule comes from the current profession-specific statute and operative regulation. Current Board guidance can then help explain administration and application.</w:t>
      </w:r>
    </w:p>
    <w:p>
      <w:pPr>
        <w:pStyle w:val="CTAOption"/>
        <w:keepNext/>
        <w:numPr>
          <w:ilvl w:val="0"/>
          <w:numId w:val="600"/>
        </w:numPr>
        <w:spacing w:before="0" w:after="100" w:line="290" w:lineRule="auto"/>
      </w:pPr>
      <w:r>
        <w:rPr>
          <w:rFonts w:ascii="Aptos" w:hAnsi="Aptos"/>
          <w:b/>
          <w:i w:val="0"/>
          <w:color w:val="087F78"/>
          <w:sz w:val="20"/>
        </w:rPr>
        <w:t xml:space="preserve">Incorrect. </w:t>
      </w:r>
      <w:r>
        <w:rPr>
          <w:rFonts w:ascii="Aptos" w:hAnsi="Aptos"/>
          <w:b w:val="0"/>
          <w:i w:val="0"/>
          <w:sz w:val="20"/>
        </w:rPr>
        <w:t>Ethical standards supplement legal duties; they do not override a controlling California statute or regulation.</w:t>
      </w:r>
    </w:p>
    <w:p>
      <w:pPr>
        <w:pStyle w:val="CTAOption"/>
        <w:keepNext w:val="0"/>
        <w:numPr>
          <w:ilvl w:val="0"/>
          <w:numId w:val="600"/>
        </w:numPr>
        <w:spacing w:before="0" w:after="100" w:line="290" w:lineRule="auto"/>
      </w:pPr>
      <w:r>
        <w:rPr>
          <w:rFonts w:ascii="Aptos" w:hAnsi="Aptos"/>
          <w:b/>
          <w:i w:val="0"/>
          <w:color w:val="087F78"/>
          <w:sz w:val="20"/>
        </w:rPr>
        <w:t xml:space="preserve">Incorrect. </w:t>
      </w:r>
      <w:r>
        <w:rPr>
          <w:rFonts w:ascii="Aptos" w:hAnsi="Aptos"/>
          <w:b w:val="0"/>
          <w:i w:val="0"/>
          <w:sz w:val="20"/>
        </w:rPr>
        <w:t>A proposal or future implementation plan is not enforceable merely because adoption is being considered.</w:t>
      </w:r>
    </w:p>
    <w:p>
      <w:pPr>
        <w:pStyle w:val="SmallNote"/>
      </w:pPr>
      <w:r>
        <w:rPr>
          <w:rFonts w:ascii="Aptos" w:hAnsi="Aptos"/>
          <w:b/>
          <w:i w:val="0"/>
          <w:color w:val="087F78"/>
          <w:sz w:val="17"/>
        </w:rPr>
        <w:t xml:space="preserve">Primary authority: </w:t>
      </w:r>
      <w:r>
        <w:rPr>
          <w:rFonts w:ascii="Aptos" w:hAnsi="Aptos"/>
          <w:b w:val="0"/>
          <w:i w:val="0"/>
          <w:color w:val="404B5A"/>
          <w:sz w:val="17"/>
        </w:rPr>
        <w:t>BPC §§ 4980–4980.06; 16 CCR div. 18; operative 16 CCR § 1811</w:t>
      </w:r>
    </w:p>
    <w:p>
      <w:pPr>
        <w:pStyle w:val="SmallNote"/>
      </w:pPr>
      <w:r>
        <w:rPr>
          <w:rFonts w:ascii="Aptos" w:hAnsi="Aptos"/>
          <w:b/>
          <w:i w:val="0"/>
          <w:color w:val="087F78"/>
          <w:sz w:val="17"/>
        </w:rPr>
        <w:t xml:space="preserve">Remediation: </w:t>
      </w:r>
      <w:r>
        <w:rPr>
          <w:rFonts w:ascii="Aptos" w:hAnsi="Aptos"/>
          <w:b w:val="0"/>
          <w:i w:val="0"/>
          <w:color w:val="404B5A"/>
          <w:sz w:val="17"/>
        </w:rPr>
        <w:t>Unit 1 — Authority, Practice Act Architecture, and Source Hierarchy</w:t>
      </w:r>
    </w:p>
    <w:p>
      <w:pPr>
        <w:pStyle w:val="SmallNote"/>
      </w:pPr>
      <w:r>
        <w:rPr>
          <w:rFonts w:ascii="Aptos" w:hAnsi="Aptos"/>
          <w:b/>
          <w:i w:val="0"/>
          <w:color w:val="087F78"/>
          <w:sz w:val="17"/>
        </w:rPr>
        <w:t xml:space="preserve">Internal control: </w:t>
      </w:r>
      <w:r>
        <w:rPr>
          <w:rFonts w:ascii="Aptos" w:hAnsi="Aptos"/>
          <w:b w:val="0"/>
          <w:i w:val="0"/>
          <w:color w:val="404B5A"/>
          <w:sz w:val="17"/>
        </w:rPr>
        <w:t>CTA-EP-001-LS-001 | Unit 1 | LO-1 | Easy | Knowledge/Recognition</w:t>
      </w:r>
    </w:p>
    <w:p>
      <w:r>
        <w:br w:type="page"/>
      </w:r>
    </w:p>
    <w:p>
      <w:pPr>
        <w:pStyle w:val="Heading2"/>
      </w:pPr>
      <w:r>
        <w:t>2. CTA-EP-001-LS-002</w:t>
      </w:r>
    </w:p>
    <w:p>
      <w:pPr>
        <w:pStyle w:val="SmallNote"/>
      </w:pPr>
      <w:r>
        <w:rPr>
          <w:rFonts w:ascii="Aptos" w:hAnsi="Aptos"/>
          <w:b w:val="0"/>
          <w:i w:val="0"/>
          <w:color w:val="404B5A"/>
          <w:sz w:val="17"/>
        </w:rPr>
        <w:t>Unit 1 | LO-1, LO-12 | Moderate | Application/Sequencing | Error tag: Current-vs-Pending</w:t>
      </w:r>
    </w:p>
    <w:p>
      <w:pPr>
        <w:pStyle w:val="QuestionStem"/>
      </w:pPr>
      <w:r>
        <w:rPr>
          <w:rFonts w:ascii="Aptos" w:hAnsi="Aptos"/>
          <w:b/>
          <w:i w:val="0"/>
          <w:sz w:val="20"/>
        </w:rPr>
        <w:t>A Board agenda item describes a possible future examination change. A study-group leader says candidates should treat the proposal as current law. What is the BEST response?</w:t>
      </w:r>
    </w:p>
    <w:p>
      <w:pPr>
        <w:pStyle w:val="CTAOption"/>
        <w:keepNext/>
        <w:numPr>
          <w:ilvl w:val="0"/>
          <w:numId w:val="501"/>
        </w:numPr>
        <w:spacing w:before="0" w:after="80" w:line="290" w:lineRule="auto"/>
      </w:pPr>
      <w:r>
        <w:rPr>
          <w:rFonts w:ascii="Aptos" w:hAnsi="Aptos"/>
          <w:b w:val="0"/>
          <w:i w:val="0"/>
          <w:sz w:val="20"/>
        </w:rPr>
        <w:t>Apply the proposal now because a Board agenda item is equivalent to an operative regulation.</w:t>
      </w:r>
    </w:p>
    <w:p>
      <w:pPr>
        <w:pStyle w:val="CTAOption"/>
        <w:keepNext/>
        <w:numPr>
          <w:ilvl w:val="0"/>
          <w:numId w:val="501"/>
        </w:numPr>
        <w:spacing w:before="0" w:after="80" w:line="290" w:lineRule="auto"/>
      </w:pPr>
      <w:r>
        <w:rPr>
          <w:rFonts w:ascii="Aptos" w:hAnsi="Aptos"/>
          <w:b w:val="0"/>
          <w:i w:val="0"/>
          <w:sz w:val="20"/>
        </w:rPr>
        <w:t>Ignore all Board publications and rely only on the employer’s interpretation.</w:t>
      </w:r>
    </w:p>
    <w:p>
      <w:pPr>
        <w:pStyle w:val="CTAOption"/>
        <w:keepNext/>
        <w:numPr>
          <w:ilvl w:val="0"/>
          <w:numId w:val="501"/>
        </w:numPr>
        <w:spacing w:before="0" w:after="80" w:line="290" w:lineRule="auto"/>
      </w:pPr>
      <w:r>
        <w:rPr>
          <w:rFonts w:ascii="Aptos" w:hAnsi="Aptos"/>
          <w:b w:val="0"/>
          <w:i w:val="0"/>
          <w:sz w:val="20"/>
        </w:rPr>
        <w:t>Choose whichever rule is more favorable to the candidate.</w:t>
      </w:r>
    </w:p>
    <w:p>
      <w:pPr>
        <w:pStyle w:val="CTAOption"/>
        <w:keepNext w:val="0"/>
        <w:numPr>
          <w:ilvl w:val="0"/>
          <w:numId w:val="501"/>
        </w:numPr>
        <w:spacing w:before="0" w:after="80" w:line="290" w:lineRule="auto"/>
      </w:pPr>
      <w:r>
        <w:rPr>
          <w:rFonts w:ascii="Aptos" w:hAnsi="Aptos"/>
          <w:b w:val="0"/>
          <w:i w:val="0"/>
          <w:sz w:val="20"/>
        </w:rPr>
        <w:t>Label the proposal as pending, apply the rule currently in effect, and monitor official implementation updates.</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D. Label the proposal as pending, apply the rule currently in effect, and monitor official implementation updates.</w:t>
      </w:r>
    </w:p>
    <w:p>
      <w:pPr>
        <w:pStyle w:val="Heading3"/>
      </w:pPr>
      <w:r>
        <w:t>Option-by-Option Rationales</w:t>
      </w:r>
    </w:p>
    <w:p>
      <w:pPr>
        <w:pStyle w:val="CTAOption"/>
        <w:keepNext/>
        <w:numPr>
          <w:ilvl w:val="0"/>
          <w:numId w:val="601"/>
        </w:numPr>
        <w:spacing w:before="0" w:after="100" w:line="290" w:lineRule="auto"/>
      </w:pPr>
      <w:r>
        <w:rPr>
          <w:rFonts w:ascii="Aptos" w:hAnsi="Aptos"/>
          <w:b/>
          <w:i w:val="0"/>
          <w:color w:val="087F78"/>
          <w:sz w:val="20"/>
        </w:rPr>
        <w:t xml:space="preserve">Incorrect. </w:t>
      </w:r>
      <w:r>
        <w:rPr>
          <w:rFonts w:ascii="Aptos" w:hAnsi="Aptos"/>
          <w:b w:val="0"/>
          <w:i w:val="0"/>
          <w:sz w:val="20"/>
        </w:rPr>
        <w:t>An agenda item may document policy development, but it is not automatically an operative statute or regulation.</w:t>
      </w:r>
    </w:p>
    <w:p>
      <w:pPr>
        <w:pStyle w:val="CTAOption"/>
        <w:keepNext/>
        <w:numPr>
          <w:ilvl w:val="0"/>
          <w:numId w:val="601"/>
        </w:numPr>
        <w:spacing w:before="0" w:after="100" w:line="290" w:lineRule="auto"/>
      </w:pPr>
      <w:r>
        <w:rPr>
          <w:rFonts w:ascii="Aptos" w:hAnsi="Aptos"/>
          <w:b/>
          <w:i w:val="0"/>
          <w:color w:val="087F78"/>
          <w:sz w:val="20"/>
        </w:rPr>
        <w:t xml:space="preserve">Incorrect. </w:t>
      </w:r>
      <w:r>
        <w:rPr>
          <w:rFonts w:ascii="Aptos" w:hAnsi="Aptos"/>
          <w:b w:val="0"/>
          <w:i w:val="0"/>
          <w:sz w:val="20"/>
        </w:rPr>
        <w:t>Employer interpretation cannot replace current law or official Board procedure.</w:t>
      </w:r>
    </w:p>
    <w:p>
      <w:pPr>
        <w:pStyle w:val="CTAOption"/>
        <w:keepNext/>
        <w:numPr>
          <w:ilvl w:val="0"/>
          <w:numId w:val="601"/>
        </w:numPr>
        <w:spacing w:before="0" w:after="100" w:line="290" w:lineRule="auto"/>
      </w:pPr>
      <w:r>
        <w:rPr>
          <w:rFonts w:ascii="Aptos" w:hAnsi="Aptos"/>
          <w:b/>
          <w:i w:val="0"/>
          <w:color w:val="087F78"/>
          <w:sz w:val="20"/>
        </w:rPr>
        <w:t xml:space="preserve">Incorrect. </w:t>
      </w:r>
      <w:r>
        <w:rPr>
          <w:rFonts w:ascii="Aptos" w:hAnsi="Aptos"/>
          <w:b w:val="0"/>
          <w:i w:val="0"/>
          <w:sz w:val="20"/>
        </w:rPr>
        <w:t>Legal analysis does not turn on personal advantage; it turns on the most specific current controlling authority.</w:t>
      </w:r>
    </w:p>
    <w:p>
      <w:pPr>
        <w:pStyle w:val="CTAOption"/>
        <w:keepNext w:val="0"/>
        <w:numPr>
          <w:ilvl w:val="0"/>
          <w:numId w:val="601"/>
        </w:numPr>
        <w:spacing w:before="0" w:after="100" w:line="290" w:lineRule="auto"/>
      </w:pPr>
      <w:r>
        <w:rPr>
          <w:rFonts w:ascii="Aptos" w:hAnsi="Aptos"/>
          <w:b/>
          <w:i w:val="0"/>
          <w:color w:val="087F78"/>
          <w:sz w:val="20"/>
        </w:rPr>
        <w:t xml:space="preserve">Correct. </w:t>
      </w:r>
      <w:r>
        <w:rPr>
          <w:rFonts w:ascii="Aptos" w:hAnsi="Aptos"/>
          <w:b w:val="0"/>
          <w:i w:val="0"/>
          <w:sz w:val="20"/>
        </w:rPr>
        <w:t>Candidates must separate present enforceable requirements from proposed changes and use official updates to identify when a change actually becomes effective.</w:t>
      </w:r>
    </w:p>
    <w:p>
      <w:pPr>
        <w:pStyle w:val="SmallNote"/>
      </w:pPr>
      <w:r>
        <w:rPr>
          <w:rFonts w:ascii="Aptos" w:hAnsi="Aptos"/>
          <w:b/>
          <w:i w:val="0"/>
          <w:color w:val="087F78"/>
          <w:sz w:val="17"/>
        </w:rPr>
        <w:t xml:space="preserve">Primary authority: </w:t>
      </w:r>
      <w:r>
        <w:rPr>
          <w:rFonts w:ascii="Aptos" w:hAnsi="Aptos"/>
          <w:b w:val="0"/>
          <w:i w:val="0"/>
          <w:color w:val="404B5A"/>
          <w:sz w:val="17"/>
        </w:rPr>
        <w:t>Current BBS statutes and regulations; official BBS rulemaking and implementation notices</w:t>
      </w:r>
    </w:p>
    <w:p>
      <w:pPr>
        <w:pStyle w:val="SmallNote"/>
      </w:pPr>
      <w:r>
        <w:rPr>
          <w:rFonts w:ascii="Aptos" w:hAnsi="Aptos"/>
          <w:b/>
          <w:i w:val="0"/>
          <w:color w:val="087F78"/>
          <w:sz w:val="17"/>
        </w:rPr>
        <w:t xml:space="preserve">Remediation: </w:t>
      </w:r>
      <w:r>
        <w:rPr>
          <w:rFonts w:ascii="Aptos" w:hAnsi="Aptos"/>
          <w:b w:val="0"/>
          <w:i w:val="0"/>
          <w:color w:val="404B5A"/>
          <w:sz w:val="17"/>
        </w:rPr>
        <w:t>Unit 1 — How to Resolve an Apparent Conflict</w:t>
      </w:r>
    </w:p>
    <w:p>
      <w:pPr>
        <w:pStyle w:val="SmallNote"/>
      </w:pPr>
      <w:r>
        <w:rPr>
          <w:rFonts w:ascii="Aptos" w:hAnsi="Aptos"/>
          <w:b/>
          <w:i w:val="0"/>
          <w:color w:val="087F78"/>
          <w:sz w:val="17"/>
        </w:rPr>
        <w:t xml:space="preserve">Internal control: </w:t>
      </w:r>
      <w:r>
        <w:rPr>
          <w:rFonts w:ascii="Aptos" w:hAnsi="Aptos"/>
          <w:b w:val="0"/>
          <w:i w:val="0"/>
          <w:color w:val="404B5A"/>
          <w:sz w:val="17"/>
        </w:rPr>
        <w:t>CTA-EP-001-LS-002 | Unit 1 | LO-1, LO-12 | Moderate | Application/Sequencing</w:t>
      </w:r>
    </w:p>
    <w:p>
      <w:r>
        <w:br w:type="page"/>
      </w:r>
    </w:p>
    <w:p>
      <w:pPr>
        <w:pStyle w:val="Heading2"/>
      </w:pPr>
      <w:r>
        <w:t>3. CTA-EP-001-LS-003</w:t>
      </w:r>
    </w:p>
    <w:p>
      <w:pPr>
        <w:pStyle w:val="SmallNote"/>
      </w:pPr>
      <w:r>
        <w:rPr>
          <w:rFonts w:ascii="Aptos" w:hAnsi="Aptos"/>
          <w:b w:val="0"/>
          <w:i w:val="0"/>
          <w:color w:val="404B5A"/>
          <w:sz w:val="17"/>
        </w:rPr>
        <w:t>Unit 2 | LO-3 | Easy | Knowledge/Recognition | Error tag: Scope</w:t>
      </w:r>
    </w:p>
    <w:p>
      <w:pPr>
        <w:pStyle w:val="QuestionStem"/>
      </w:pPr>
      <w:r>
        <w:rPr>
          <w:rFonts w:ascii="Aptos" w:hAnsi="Aptos"/>
          <w:b/>
          <w:i w:val="0"/>
          <w:sz w:val="20"/>
        </w:rPr>
        <w:t>Which description BEST reflects California’s statutory scope of marriage and family therapy?</w:t>
      </w:r>
    </w:p>
    <w:p>
      <w:pPr>
        <w:pStyle w:val="CTAOption"/>
        <w:keepNext/>
        <w:numPr>
          <w:ilvl w:val="0"/>
          <w:numId w:val="502"/>
        </w:numPr>
        <w:spacing w:before="0" w:after="80" w:line="290" w:lineRule="auto"/>
      </w:pPr>
      <w:r>
        <w:rPr>
          <w:rFonts w:ascii="Aptos" w:hAnsi="Aptos"/>
          <w:b w:val="0"/>
          <w:i w:val="0"/>
          <w:sz w:val="20"/>
        </w:rPr>
        <w:t>Applying psychotherapeutic and family-systems theories and methods to assess and treat relational, emotional, behavioral, mental-health, and substance-use concerns involving individuals, couples, or groups.</w:t>
      </w:r>
    </w:p>
    <w:p>
      <w:pPr>
        <w:pStyle w:val="CTAOption"/>
        <w:keepNext/>
        <w:numPr>
          <w:ilvl w:val="0"/>
          <w:numId w:val="502"/>
        </w:numPr>
        <w:spacing w:before="0" w:after="80" w:line="290" w:lineRule="auto"/>
      </w:pPr>
      <w:r>
        <w:rPr>
          <w:rFonts w:ascii="Aptos" w:hAnsi="Aptos"/>
          <w:b w:val="0"/>
          <w:i w:val="0"/>
          <w:sz w:val="20"/>
        </w:rPr>
        <w:t>Providing only premarital counseling to couples who have no mental-health diagnosis.</w:t>
      </w:r>
    </w:p>
    <w:p>
      <w:pPr>
        <w:pStyle w:val="CTAOption"/>
        <w:keepNext/>
        <w:numPr>
          <w:ilvl w:val="0"/>
          <w:numId w:val="502"/>
        </w:numPr>
        <w:spacing w:before="0" w:after="80" w:line="290" w:lineRule="auto"/>
      </w:pPr>
      <w:r>
        <w:rPr>
          <w:rFonts w:ascii="Aptos" w:hAnsi="Aptos"/>
          <w:b w:val="0"/>
          <w:i w:val="0"/>
          <w:sz w:val="20"/>
        </w:rPr>
        <w:t>Providing any health, educational, or social service requested by an individual, couple, or family whenever the clinician has general helping experience.</w:t>
      </w:r>
    </w:p>
    <w:p>
      <w:pPr>
        <w:pStyle w:val="CTAOption"/>
        <w:keepNext w:val="0"/>
        <w:numPr>
          <w:ilvl w:val="0"/>
          <w:numId w:val="502"/>
        </w:numPr>
        <w:spacing w:before="0" w:after="80" w:line="290" w:lineRule="auto"/>
      </w:pPr>
      <w:r>
        <w:rPr>
          <w:rFonts w:ascii="Aptos" w:hAnsi="Aptos"/>
          <w:b w:val="0"/>
          <w:i w:val="0"/>
          <w:sz w:val="20"/>
        </w:rPr>
        <w:t>Performing only crisis intervention and referring all relational treatment to another profession.</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A. Applying psychotherapeutic and family-systems theories and methods to assess and treat relational, emotional, behavioral, mental-health, and substance-use concerns involving individuals, couples, or groups.</w:t>
      </w:r>
    </w:p>
    <w:p>
      <w:pPr>
        <w:pStyle w:val="Heading3"/>
      </w:pPr>
      <w:r>
        <w:t>Option-by-Option Rationales</w:t>
      </w:r>
    </w:p>
    <w:p>
      <w:pPr>
        <w:pStyle w:val="CTAOption"/>
        <w:keepNext/>
        <w:numPr>
          <w:ilvl w:val="0"/>
          <w:numId w:val="602"/>
        </w:numPr>
        <w:spacing w:before="0" w:after="100" w:line="290" w:lineRule="auto"/>
      </w:pPr>
      <w:r>
        <w:rPr>
          <w:rFonts w:ascii="Aptos" w:hAnsi="Aptos"/>
          <w:b/>
          <w:i w:val="0"/>
          <w:color w:val="087F78"/>
          <w:sz w:val="20"/>
        </w:rPr>
        <w:t xml:space="preserve">Correct. </w:t>
      </w:r>
      <w:r>
        <w:rPr>
          <w:rFonts w:ascii="Aptos" w:hAnsi="Aptos"/>
          <w:b w:val="0"/>
          <w:i w:val="0"/>
          <w:sz w:val="20"/>
        </w:rPr>
        <w:t>This option captures the statute’s family-systems and psychotherapeutic foundation, populations served, and range of concerns addressed.</w:t>
      </w:r>
    </w:p>
    <w:p>
      <w:pPr>
        <w:pStyle w:val="CTAOption"/>
        <w:keepNext/>
        <w:numPr>
          <w:ilvl w:val="0"/>
          <w:numId w:val="602"/>
        </w:numPr>
        <w:spacing w:before="0" w:after="100" w:line="290" w:lineRule="auto"/>
      </w:pPr>
      <w:r>
        <w:rPr>
          <w:rFonts w:ascii="Aptos" w:hAnsi="Aptos"/>
          <w:b/>
          <w:i w:val="0"/>
          <w:color w:val="087F78"/>
          <w:sz w:val="20"/>
        </w:rPr>
        <w:t xml:space="preserve">Incorrect. </w:t>
      </w:r>
      <w:r>
        <w:rPr>
          <w:rFonts w:ascii="Aptos" w:hAnsi="Aptos"/>
          <w:b w:val="0"/>
          <w:i w:val="0"/>
          <w:sz w:val="20"/>
        </w:rPr>
        <w:t>The statutory scope is not limited to premarital counseling or to clients without a diagnosis.</w:t>
      </w:r>
    </w:p>
    <w:p>
      <w:pPr>
        <w:pStyle w:val="CTAOption"/>
        <w:keepNext/>
        <w:numPr>
          <w:ilvl w:val="0"/>
          <w:numId w:val="602"/>
        </w:numPr>
        <w:spacing w:before="0" w:after="100" w:line="290" w:lineRule="auto"/>
      </w:pPr>
      <w:r>
        <w:rPr>
          <w:rFonts w:ascii="Aptos" w:hAnsi="Aptos"/>
          <w:b/>
          <w:i w:val="0"/>
          <w:color w:val="087F78"/>
          <w:sz w:val="20"/>
        </w:rPr>
        <w:t xml:space="preserve">Incorrect. </w:t>
      </w:r>
      <w:r>
        <w:rPr>
          <w:rFonts w:ascii="Aptos" w:hAnsi="Aptos"/>
          <w:b w:val="0"/>
          <w:i w:val="0"/>
          <w:sz w:val="20"/>
        </w:rPr>
        <w:t>LMFT scope is defined by law and does not extend to every health service merely because a family requests it.</w:t>
      </w:r>
    </w:p>
    <w:p>
      <w:pPr>
        <w:pStyle w:val="CTAOption"/>
        <w:keepNext w:val="0"/>
        <w:numPr>
          <w:ilvl w:val="0"/>
          <w:numId w:val="602"/>
        </w:numPr>
        <w:spacing w:before="0" w:after="100" w:line="290" w:lineRule="auto"/>
      </w:pPr>
      <w:r>
        <w:rPr>
          <w:rFonts w:ascii="Aptos" w:hAnsi="Aptos"/>
          <w:b/>
          <w:i w:val="0"/>
          <w:color w:val="087F78"/>
          <w:sz w:val="20"/>
        </w:rPr>
        <w:t xml:space="preserve">Incorrect. </w:t>
      </w:r>
      <w:r>
        <w:rPr>
          <w:rFonts w:ascii="Aptos" w:hAnsi="Aptos"/>
          <w:b w:val="0"/>
          <w:i w:val="0"/>
          <w:sz w:val="20"/>
        </w:rPr>
        <w:t>The scope expressly includes relational therapy, psychotherapy, assessment, treatment planning, case management, consultation, and other specified services.</w:t>
      </w:r>
    </w:p>
    <w:p>
      <w:pPr>
        <w:pStyle w:val="SmallNote"/>
      </w:pPr>
      <w:r>
        <w:rPr>
          <w:rFonts w:ascii="Aptos" w:hAnsi="Aptos"/>
          <w:b/>
          <w:i w:val="0"/>
          <w:color w:val="087F78"/>
          <w:sz w:val="17"/>
        </w:rPr>
        <w:t xml:space="preserve">Primary authority: </w:t>
      </w:r>
      <w:r>
        <w:rPr>
          <w:rFonts w:ascii="Aptos" w:hAnsi="Aptos"/>
          <w:b w:val="0"/>
          <w:i w:val="0"/>
          <w:color w:val="404B5A"/>
          <w:sz w:val="17"/>
        </w:rPr>
        <w:t>BPC § 4980.02</w:t>
      </w:r>
    </w:p>
    <w:p>
      <w:pPr>
        <w:pStyle w:val="SmallNote"/>
      </w:pPr>
      <w:r>
        <w:rPr>
          <w:rFonts w:ascii="Aptos" w:hAnsi="Aptos"/>
          <w:b/>
          <w:i w:val="0"/>
          <w:color w:val="087F78"/>
          <w:sz w:val="17"/>
        </w:rPr>
        <w:t xml:space="preserve">Remediation: </w:t>
      </w:r>
      <w:r>
        <w:rPr>
          <w:rFonts w:ascii="Aptos" w:hAnsi="Aptos"/>
          <w:b w:val="0"/>
          <w:i w:val="0"/>
          <w:color w:val="404B5A"/>
          <w:sz w:val="17"/>
        </w:rPr>
        <w:t>Unit 2 — The LMFT Scope</w:t>
      </w:r>
    </w:p>
    <w:p>
      <w:pPr>
        <w:pStyle w:val="SmallNote"/>
      </w:pPr>
      <w:r>
        <w:rPr>
          <w:rFonts w:ascii="Aptos" w:hAnsi="Aptos"/>
          <w:b/>
          <w:i w:val="0"/>
          <w:color w:val="087F78"/>
          <w:sz w:val="17"/>
        </w:rPr>
        <w:t xml:space="preserve">Internal control: </w:t>
      </w:r>
      <w:r>
        <w:rPr>
          <w:rFonts w:ascii="Aptos" w:hAnsi="Aptos"/>
          <w:b w:val="0"/>
          <w:i w:val="0"/>
          <w:color w:val="404B5A"/>
          <w:sz w:val="17"/>
        </w:rPr>
        <w:t>CTA-EP-001-LS-003 | Unit 2 | LO-3 | Easy | Knowledge/Recognition</w:t>
      </w:r>
    </w:p>
    <w:p>
      <w:r>
        <w:br w:type="page"/>
      </w:r>
    </w:p>
    <w:p>
      <w:pPr>
        <w:pStyle w:val="Heading2"/>
      </w:pPr>
      <w:r>
        <w:t>4. CTA-EP-001-LS-004</w:t>
      </w:r>
    </w:p>
    <w:p>
      <w:pPr>
        <w:pStyle w:val="SmallNote"/>
      </w:pPr>
      <w:r>
        <w:rPr>
          <w:rFonts w:ascii="Aptos" w:hAnsi="Aptos"/>
          <w:b w:val="0"/>
          <w:i w:val="0"/>
          <w:color w:val="404B5A"/>
          <w:sz w:val="17"/>
        </w:rPr>
        <w:t>Unit 2 | LO-3, LO-4 | Moderate | Application/Sequencing | Error tag: Scope</w:t>
      </w:r>
    </w:p>
    <w:p>
      <w:pPr>
        <w:pStyle w:val="QuestionStem"/>
      </w:pPr>
      <w:r>
        <w:rPr>
          <w:rFonts w:ascii="Aptos" w:hAnsi="Aptos"/>
          <w:b/>
          <w:i w:val="0"/>
          <w:sz w:val="20"/>
        </w:rPr>
        <w:t>A registered AMFT is competent to provide couples psychotherapy and is offered office space to see couples under the AMFT’s own business name. Which analysis is MOST accurate?</w:t>
      </w:r>
    </w:p>
    <w:p>
      <w:pPr>
        <w:pStyle w:val="CTAOption"/>
        <w:keepNext/>
        <w:numPr>
          <w:ilvl w:val="0"/>
          <w:numId w:val="503"/>
        </w:numPr>
        <w:spacing w:before="0" w:after="80" w:line="290" w:lineRule="auto"/>
      </w:pPr>
      <w:r>
        <w:rPr>
          <w:rFonts w:ascii="Aptos" w:hAnsi="Aptos"/>
          <w:b w:val="0"/>
          <w:i w:val="0"/>
          <w:sz w:val="20"/>
        </w:rPr>
        <w:t>Competence alone permits independent practice because couples psychotherapy is within LMFT scope and the AMFT has enough training to provide it safely.</w:t>
      </w:r>
    </w:p>
    <w:p>
      <w:pPr>
        <w:pStyle w:val="CTAOption"/>
        <w:keepNext/>
        <w:numPr>
          <w:ilvl w:val="0"/>
          <w:numId w:val="503"/>
        </w:numPr>
        <w:spacing w:before="0" w:after="80" w:line="290" w:lineRule="auto"/>
      </w:pPr>
      <w:r>
        <w:rPr>
          <w:rFonts w:ascii="Aptos" w:hAnsi="Aptos"/>
          <w:b w:val="0"/>
          <w:i w:val="0"/>
          <w:sz w:val="20"/>
        </w:rPr>
        <w:t>The service is outside LMFT scope because LMFTs may treat only families, not couples.</w:t>
      </w:r>
    </w:p>
    <w:p>
      <w:pPr>
        <w:pStyle w:val="CTAOption"/>
        <w:keepNext/>
        <w:numPr>
          <w:ilvl w:val="0"/>
          <w:numId w:val="503"/>
        </w:numPr>
        <w:spacing w:before="0" w:after="80" w:line="290" w:lineRule="auto"/>
      </w:pPr>
      <w:r>
        <w:rPr>
          <w:rFonts w:ascii="Aptos" w:hAnsi="Aptos"/>
          <w:b w:val="0"/>
          <w:i w:val="0"/>
          <w:sz w:val="20"/>
        </w:rPr>
        <w:t>The service may be within LMFT scope and the AMFT’s competence, but the AMFT still needs a lawful employment or volunteer arrangement and required supervision.</w:t>
      </w:r>
    </w:p>
    <w:p>
      <w:pPr>
        <w:pStyle w:val="CTAOption"/>
        <w:keepNext w:val="0"/>
        <w:numPr>
          <w:ilvl w:val="0"/>
          <w:numId w:val="503"/>
        </w:numPr>
        <w:spacing w:before="0" w:after="80" w:line="290" w:lineRule="auto"/>
      </w:pPr>
      <w:r>
        <w:rPr>
          <w:rFonts w:ascii="Aptos" w:hAnsi="Aptos"/>
          <w:b w:val="0"/>
          <w:i w:val="0"/>
          <w:sz w:val="20"/>
        </w:rPr>
        <w:t>The arrangement is lawful if every client signs a detailed waiver acknowledging the AMFT’s status and agreeing to treatment under the business name.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C. The service may be within LMFT scope and the AMFT’s competence, but the AMFT still needs a lawful employment or volunteer arrangement and required supervision.</w:t>
      </w:r>
    </w:p>
    <w:p>
      <w:pPr>
        <w:pStyle w:val="Heading3"/>
      </w:pPr>
      <w:r>
        <w:t>Option-by-Option Rationales</w:t>
      </w:r>
    </w:p>
    <w:p>
      <w:pPr>
        <w:pStyle w:val="CTAOption"/>
        <w:keepNext/>
        <w:numPr>
          <w:ilvl w:val="0"/>
          <w:numId w:val="603"/>
        </w:numPr>
        <w:spacing w:before="0" w:after="100" w:line="290" w:lineRule="auto"/>
      </w:pPr>
      <w:r>
        <w:rPr>
          <w:rFonts w:ascii="Aptos" w:hAnsi="Aptos"/>
          <w:b/>
          <w:i w:val="0"/>
          <w:color w:val="087F78"/>
          <w:sz w:val="20"/>
        </w:rPr>
        <w:t xml:space="preserve">Incorrect. </w:t>
      </w:r>
      <w:r>
        <w:rPr>
          <w:rFonts w:ascii="Aptos" w:hAnsi="Aptos"/>
          <w:b w:val="0"/>
          <w:i w:val="0"/>
          <w:sz w:val="20"/>
        </w:rPr>
        <w:t>Profession-wide scope and individual competence do not create independent authority for a registered associate.</w:t>
      </w:r>
    </w:p>
    <w:p>
      <w:pPr>
        <w:pStyle w:val="CTAOption"/>
        <w:keepNext/>
        <w:numPr>
          <w:ilvl w:val="0"/>
          <w:numId w:val="603"/>
        </w:numPr>
        <w:spacing w:before="0" w:after="100" w:line="290" w:lineRule="auto"/>
      </w:pPr>
      <w:r>
        <w:rPr>
          <w:rFonts w:ascii="Aptos" w:hAnsi="Aptos"/>
          <w:b/>
          <w:i w:val="0"/>
          <w:color w:val="087F78"/>
          <w:sz w:val="20"/>
        </w:rPr>
        <w:t xml:space="preserve">Incorrect. </w:t>
      </w:r>
      <w:r>
        <w:rPr>
          <w:rFonts w:ascii="Aptos" w:hAnsi="Aptos"/>
          <w:b w:val="0"/>
          <w:i w:val="0"/>
          <w:sz w:val="20"/>
        </w:rPr>
        <w:t>Couples and relational interventions are within the statutory LMFT scope.</w:t>
      </w:r>
    </w:p>
    <w:p>
      <w:pPr>
        <w:pStyle w:val="CTAOption"/>
        <w:keepNext/>
        <w:numPr>
          <w:ilvl w:val="0"/>
          <w:numId w:val="603"/>
        </w:numPr>
        <w:spacing w:before="0" w:after="100" w:line="290" w:lineRule="auto"/>
      </w:pPr>
      <w:r>
        <w:rPr>
          <w:rFonts w:ascii="Aptos" w:hAnsi="Aptos"/>
          <w:b/>
          <w:i w:val="0"/>
          <w:color w:val="087F78"/>
          <w:sz w:val="20"/>
        </w:rPr>
        <w:t xml:space="preserve">Correct. </w:t>
      </w:r>
      <w:r>
        <w:rPr>
          <w:rFonts w:ascii="Aptos" w:hAnsi="Aptos"/>
          <w:b w:val="0"/>
          <w:i w:val="0"/>
          <w:sz w:val="20"/>
        </w:rPr>
        <w:t>The exam-relevant analysis separates scope, competence, and present legal authority. An AMFT remains unlicensed and must practice through a lawful employment or volunteer arrangement under supervision.</w:t>
      </w:r>
    </w:p>
    <w:p>
      <w:pPr>
        <w:pStyle w:val="CTAOption"/>
        <w:keepNext w:val="0"/>
        <w:numPr>
          <w:ilvl w:val="0"/>
          <w:numId w:val="603"/>
        </w:numPr>
        <w:spacing w:before="0" w:after="100" w:line="290" w:lineRule="auto"/>
      </w:pPr>
      <w:r>
        <w:rPr>
          <w:rFonts w:ascii="Aptos" w:hAnsi="Aptos"/>
          <w:b/>
          <w:i w:val="0"/>
          <w:color w:val="087F78"/>
          <w:sz w:val="20"/>
        </w:rPr>
        <w:t xml:space="preserve">Incorrect. </w:t>
      </w:r>
      <w:r>
        <w:rPr>
          <w:rFonts w:ascii="Aptos" w:hAnsi="Aptos"/>
          <w:b w:val="0"/>
          <w:i w:val="0"/>
          <w:sz w:val="20"/>
        </w:rPr>
        <w:t>Client agreement cannot waive statutory limits on associate practice, work structure, or supervision.</w:t>
      </w:r>
    </w:p>
    <w:p>
      <w:pPr>
        <w:pStyle w:val="SmallNote"/>
      </w:pPr>
      <w:r>
        <w:rPr>
          <w:rFonts w:ascii="Aptos" w:hAnsi="Aptos"/>
          <w:b/>
          <w:i w:val="0"/>
          <w:color w:val="087F78"/>
          <w:sz w:val="17"/>
        </w:rPr>
        <w:t xml:space="preserve">Primary authority: </w:t>
      </w:r>
      <w:r>
        <w:rPr>
          <w:rFonts w:ascii="Aptos" w:hAnsi="Aptos"/>
          <w:b w:val="0"/>
          <w:i w:val="0"/>
          <w:color w:val="404B5A"/>
          <w:sz w:val="17"/>
        </w:rPr>
        <w:t>BPC §§ 4980.02, 4980.43.1, 4980.43.3</w:t>
      </w:r>
    </w:p>
    <w:p>
      <w:pPr>
        <w:pStyle w:val="SmallNote"/>
      </w:pPr>
      <w:r>
        <w:rPr>
          <w:rFonts w:ascii="Aptos" w:hAnsi="Aptos"/>
          <w:b/>
          <w:i w:val="0"/>
          <w:color w:val="087F78"/>
          <w:sz w:val="17"/>
        </w:rPr>
        <w:t xml:space="preserve">Remediation: </w:t>
      </w:r>
      <w:r>
        <w:rPr>
          <w:rFonts w:ascii="Aptos" w:hAnsi="Aptos"/>
          <w:b w:val="0"/>
          <w:i w:val="0"/>
          <w:color w:val="404B5A"/>
          <w:sz w:val="17"/>
        </w:rPr>
        <w:t>Unit 2 — Three Questions the Exam Often Collapses</w:t>
      </w:r>
    </w:p>
    <w:p>
      <w:pPr>
        <w:pStyle w:val="SmallNote"/>
      </w:pPr>
      <w:r>
        <w:rPr>
          <w:rFonts w:ascii="Aptos" w:hAnsi="Aptos"/>
          <w:b/>
          <w:i w:val="0"/>
          <w:color w:val="087F78"/>
          <w:sz w:val="17"/>
        </w:rPr>
        <w:t xml:space="preserve">Internal control: </w:t>
      </w:r>
      <w:r>
        <w:rPr>
          <w:rFonts w:ascii="Aptos" w:hAnsi="Aptos"/>
          <w:b w:val="0"/>
          <w:i w:val="0"/>
          <w:color w:val="404B5A"/>
          <w:sz w:val="17"/>
        </w:rPr>
        <w:t>CTA-EP-001-LS-004 | Unit 2 | LO-3, LO-4 | Moderate | Application/Sequencing</w:t>
      </w:r>
    </w:p>
    <w:p>
      <w:r>
        <w:br w:type="page"/>
      </w:r>
    </w:p>
    <w:p>
      <w:pPr>
        <w:pStyle w:val="Heading2"/>
      </w:pPr>
      <w:r>
        <w:t>5. CTA-EP-001-LS-005</w:t>
      </w:r>
    </w:p>
    <w:p>
      <w:pPr>
        <w:pStyle w:val="SmallNote"/>
      </w:pPr>
      <w:r>
        <w:rPr>
          <w:rFonts w:ascii="Aptos" w:hAnsi="Aptos"/>
          <w:b w:val="0"/>
          <w:i w:val="0"/>
          <w:color w:val="404B5A"/>
          <w:sz w:val="17"/>
        </w:rPr>
        <w:t>Unit 2 | LO-2 | Moderate | Application/Sequencing | Error tag: Identity</w:t>
      </w:r>
    </w:p>
    <w:p>
      <w:pPr>
        <w:pStyle w:val="QuestionStem"/>
      </w:pPr>
      <w:r>
        <w:rPr>
          <w:rFonts w:ascii="Aptos" w:hAnsi="Aptos"/>
          <w:b/>
          <w:i w:val="0"/>
          <w:sz w:val="20"/>
        </w:rPr>
        <w:t>A graduate student is enrolled in a qualifying MFT degree program, has met the required coursework threshold, and is counseling clients as part of a school-coordinated practicum. Which professional status applies?</w:t>
      </w:r>
    </w:p>
    <w:p>
      <w:pPr>
        <w:pStyle w:val="CTAOption"/>
        <w:keepNext/>
        <w:numPr>
          <w:ilvl w:val="0"/>
          <w:numId w:val="504"/>
        </w:numPr>
        <w:spacing w:before="0" w:after="80" w:line="290" w:lineRule="auto"/>
      </w:pPr>
      <w:r>
        <w:rPr>
          <w:rFonts w:ascii="Aptos" w:hAnsi="Aptos"/>
          <w:b w:val="0"/>
          <w:i w:val="0"/>
          <w:sz w:val="20"/>
        </w:rPr>
        <w:t>Licensed Marriage and Family Therapist.</w:t>
      </w:r>
    </w:p>
    <w:p>
      <w:pPr>
        <w:pStyle w:val="CTAOption"/>
        <w:keepNext/>
        <w:numPr>
          <w:ilvl w:val="0"/>
          <w:numId w:val="504"/>
        </w:numPr>
        <w:spacing w:before="0" w:after="80" w:line="290" w:lineRule="auto"/>
      </w:pPr>
      <w:r>
        <w:rPr>
          <w:rFonts w:ascii="Aptos" w:hAnsi="Aptos"/>
          <w:b w:val="0"/>
          <w:i w:val="0"/>
          <w:sz w:val="20"/>
        </w:rPr>
        <w:t>Marriage and family therapist trainee.</w:t>
      </w:r>
    </w:p>
    <w:p>
      <w:pPr>
        <w:pStyle w:val="CTAOption"/>
        <w:keepNext/>
        <w:numPr>
          <w:ilvl w:val="0"/>
          <w:numId w:val="504"/>
        </w:numPr>
        <w:spacing w:before="0" w:after="80" w:line="290" w:lineRule="auto"/>
      </w:pPr>
      <w:r>
        <w:rPr>
          <w:rFonts w:ascii="Aptos" w:hAnsi="Aptos"/>
          <w:b w:val="0"/>
          <w:i w:val="0"/>
          <w:sz w:val="20"/>
        </w:rPr>
        <w:t>Registered Associate Marriage and Family Therapist.</w:t>
      </w:r>
    </w:p>
    <w:p>
      <w:pPr>
        <w:pStyle w:val="CTAOption"/>
        <w:keepNext w:val="0"/>
        <w:numPr>
          <w:ilvl w:val="0"/>
          <w:numId w:val="504"/>
        </w:numPr>
        <w:spacing w:before="0" w:after="80" w:line="290" w:lineRule="auto"/>
      </w:pPr>
      <w:r>
        <w:rPr>
          <w:rFonts w:ascii="Aptos" w:hAnsi="Aptos"/>
          <w:b w:val="0"/>
          <w:i w:val="0"/>
          <w:sz w:val="20"/>
        </w:rPr>
        <w:t>Applicant for LMFT licensure.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B. Marriage and family therapist trainee.</w:t>
      </w:r>
    </w:p>
    <w:p>
      <w:pPr>
        <w:pStyle w:val="Heading3"/>
      </w:pPr>
      <w:r>
        <w:t>Option-by-Option Rationales</w:t>
      </w:r>
    </w:p>
    <w:p>
      <w:pPr>
        <w:pStyle w:val="CTAOption"/>
        <w:keepNext/>
        <w:numPr>
          <w:ilvl w:val="0"/>
          <w:numId w:val="604"/>
        </w:numPr>
        <w:spacing w:before="0" w:after="100" w:line="290" w:lineRule="auto"/>
      </w:pPr>
      <w:r>
        <w:rPr>
          <w:rFonts w:ascii="Aptos" w:hAnsi="Aptos"/>
          <w:b/>
          <w:i w:val="0"/>
          <w:color w:val="087F78"/>
          <w:sz w:val="20"/>
        </w:rPr>
        <w:t xml:space="preserve">Incorrect. </w:t>
      </w:r>
      <w:r>
        <w:rPr>
          <w:rFonts w:ascii="Aptos" w:hAnsi="Aptos"/>
          <w:b w:val="0"/>
          <w:i w:val="0"/>
          <w:sz w:val="20"/>
        </w:rPr>
        <w:t>The student has not completed the licensure pathway or been issued an LMFT license.</w:t>
      </w:r>
    </w:p>
    <w:p>
      <w:pPr>
        <w:pStyle w:val="CTAOption"/>
        <w:keepNext/>
        <w:numPr>
          <w:ilvl w:val="0"/>
          <w:numId w:val="604"/>
        </w:numPr>
        <w:spacing w:before="0" w:after="100" w:line="290" w:lineRule="auto"/>
      </w:pPr>
      <w:r>
        <w:rPr>
          <w:rFonts w:ascii="Aptos" w:hAnsi="Aptos"/>
          <w:b/>
          <w:i w:val="0"/>
          <w:color w:val="087F78"/>
          <w:sz w:val="20"/>
        </w:rPr>
        <w:t xml:space="preserve">Correct. </w:t>
      </w:r>
      <w:r>
        <w:rPr>
          <w:rFonts w:ascii="Aptos" w:hAnsi="Aptos"/>
          <w:b w:val="0"/>
          <w:i w:val="0"/>
          <w:sz w:val="20"/>
        </w:rPr>
        <w:t>A qualifying student providing services as part of a supervised course of study is an MFT trainee and must use that status accurately.</w:t>
      </w:r>
    </w:p>
    <w:p>
      <w:pPr>
        <w:pStyle w:val="CTAOption"/>
        <w:keepNext/>
        <w:numPr>
          <w:ilvl w:val="0"/>
          <w:numId w:val="604"/>
        </w:numPr>
        <w:spacing w:before="0" w:after="100" w:line="290" w:lineRule="auto"/>
      </w:pPr>
      <w:r>
        <w:rPr>
          <w:rFonts w:ascii="Aptos" w:hAnsi="Aptos"/>
          <w:b/>
          <w:i w:val="0"/>
          <w:color w:val="087F78"/>
          <w:sz w:val="20"/>
        </w:rPr>
        <w:t xml:space="preserve">Incorrect. </w:t>
      </w:r>
      <w:r>
        <w:rPr>
          <w:rFonts w:ascii="Aptos" w:hAnsi="Aptos"/>
          <w:b w:val="0"/>
          <w:i w:val="0"/>
          <w:sz w:val="20"/>
        </w:rPr>
        <w:t>AMFT registration generally follows completion of the qualifying degree and Board issuance of a registration number.</w:t>
      </w:r>
    </w:p>
    <w:p>
      <w:pPr>
        <w:pStyle w:val="CTAOption"/>
        <w:keepNext w:val="0"/>
        <w:numPr>
          <w:ilvl w:val="0"/>
          <w:numId w:val="604"/>
        </w:numPr>
        <w:spacing w:before="0" w:after="100" w:line="290" w:lineRule="auto"/>
      </w:pPr>
      <w:r>
        <w:rPr>
          <w:rFonts w:ascii="Aptos" w:hAnsi="Aptos"/>
          <w:b/>
          <w:i w:val="0"/>
          <w:color w:val="087F78"/>
          <w:sz w:val="20"/>
        </w:rPr>
        <w:t xml:space="preserve">Incorrect. </w:t>
      </w:r>
      <w:r>
        <w:rPr>
          <w:rFonts w:ascii="Aptos" w:hAnsi="Aptos"/>
          <w:b w:val="0"/>
          <w:i w:val="0"/>
          <w:sz w:val="20"/>
        </w:rPr>
        <w:t>An applicant for licensure has completed the education and supervised-experience requirements and seeks examination eligibility; that is not the status described.</w:t>
      </w:r>
    </w:p>
    <w:p>
      <w:pPr>
        <w:pStyle w:val="SmallNote"/>
      </w:pPr>
      <w:r>
        <w:rPr>
          <w:rFonts w:ascii="Aptos" w:hAnsi="Aptos"/>
          <w:b/>
          <w:i w:val="0"/>
          <w:color w:val="087F78"/>
          <w:sz w:val="17"/>
        </w:rPr>
        <w:t xml:space="preserve">Primary authority: </w:t>
      </w:r>
      <w:r>
        <w:rPr>
          <w:rFonts w:ascii="Aptos" w:hAnsi="Aptos"/>
          <w:b w:val="0"/>
          <w:i w:val="0"/>
          <w:color w:val="404B5A"/>
          <w:sz w:val="17"/>
        </w:rPr>
        <w:t>BPC §§ 4980.03, 4980.42</w:t>
      </w:r>
    </w:p>
    <w:p>
      <w:pPr>
        <w:pStyle w:val="SmallNote"/>
      </w:pPr>
      <w:r>
        <w:rPr>
          <w:rFonts w:ascii="Aptos" w:hAnsi="Aptos"/>
          <w:b/>
          <w:i w:val="0"/>
          <w:color w:val="087F78"/>
          <w:sz w:val="17"/>
        </w:rPr>
        <w:t xml:space="preserve">Remediation: </w:t>
      </w:r>
      <w:r>
        <w:rPr>
          <w:rFonts w:ascii="Aptos" w:hAnsi="Aptos"/>
          <w:b w:val="0"/>
          <w:i w:val="0"/>
          <w:color w:val="404B5A"/>
          <w:sz w:val="17"/>
        </w:rPr>
        <w:t>Unit 2 — Know the Role Before Applying the Rule</w:t>
      </w:r>
    </w:p>
    <w:p>
      <w:pPr>
        <w:pStyle w:val="SmallNote"/>
      </w:pPr>
      <w:r>
        <w:rPr>
          <w:rFonts w:ascii="Aptos" w:hAnsi="Aptos"/>
          <w:b/>
          <w:i w:val="0"/>
          <w:color w:val="087F78"/>
          <w:sz w:val="17"/>
        </w:rPr>
        <w:t xml:space="preserve">Internal control: </w:t>
      </w:r>
      <w:r>
        <w:rPr>
          <w:rFonts w:ascii="Aptos" w:hAnsi="Aptos"/>
          <w:b w:val="0"/>
          <w:i w:val="0"/>
          <w:color w:val="404B5A"/>
          <w:sz w:val="17"/>
        </w:rPr>
        <w:t>CTA-EP-001-LS-005 | Unit 2 | LO-2 | Moderate | Application/Sequencing</w:t>
      </w:r>
    </w:p>
    <w:p>
      <w:r>
        <w:br w:type="page"/>
      </w:r>
    </w:p>
    <w:p>
      <w:pPr>
        <w:pStyle w:val="Heading2"/>
      </w:pPr>
      <w:r>
        <w:t>6. CTA-EP-001-LS-006</w:t>
      </w:r>
    </w:p>
    <w:p>
      <w:pPr>
        <w:pStyle w:val="SmallNote"/>
      </w:pPr>
      <w:r>
        <w:rPr>
          <w:rFonts w:ascii="Aptos" w:hAnsi="Aptos"/>
          <w:b w:val="0"/>
          <w:i w:val="0"/>
          <w:color w:val="404B5A"/>
          <w:sz w:val="17"/>
        </w:rPr>
        <w:t>Unit 2 | LO-3, LO-4, LO-7 | Difficult | Scenario-Based | Error tag: Supervision</w:t>
      </w:r>
    </w:p>
    <w:p>
      <w:pPr>
        <w:pStyle w:val="QuestionStem"/>
      </w:pPr>
      <w:r>
        <w:rPr>
          <w:rFonts w:ascii="Aptos" w:hAnsi="Aptos"/>
          <w:b/>
          <w:i w:val="0"/>
          <w:sz w:val="20"/>
        </w:rPr>
        <w:t>A registered AMFT is asked to use an intensive family intervention the AMFT has never performed. The service is generally within LMFT scope, but the supervisor plans to review the case next month. No emergency requires immediate use of the intervention. What should the AMFT do NEXT?</w:t>
      </w:r>
    </w:p>
    <w:p>
      <w:pPr>
        <w:pStyle w:val="CTAOption"/>
        <w:keepNext/>
        <w:numPr>
          <w:ilvl w:val="0"/>
          <w:numId w:val="505"/>
        </w:numPr>
        <w:spacing w:before="0" w:after="80" w:line="290" w:lineRule="auto"/>
      </w:pPr>
      <w:r>
        <w:rPr>
          <w:rFonts w:ascii="Aptos" w:hAnsi="Aptos"/>
          <w:b w:val="0"/>
          <w:i w:val="0"/>
          <w:sz w:val="20"/>
        </w:rPr>
        <w:t>Begin the intervention because a service within LMFT scope is automatically within the AMFT’s authority whenever the associate has reviewed written instructions.</w:t>
      </w:r>
    </w:p>
    <w:p>
      <w:pPr>
        <w:pStyle w:val="CTAOption"/>
        <w:keepNext/>
        <w:numPr>
          <w:ilvl w:val="0"/>
          <w:numId w:val="505"/>
        </w:numPr>
        <w:spacing w:before="0" w:after="80" w:line="290" w:lineRule="auto"/>
      </w:pPr>
      <w:r>
        <w:rPr>
          <w:rFonts w:ascii="Aptos" w:hAnsi="Aptos"/>
          <w:b w:val="0"/>
          <w:i w:val="0"/>
          <w:sz w:val="20"/>
        </w:rPr>
        <w:t>Begin the intervention after telling the family that the AMFT is learning the method.</w:t>
      </w:r>
    </w:p>
    <w:p>
      <w:pPr>
        <w:pStyle w:val="CTAOption"/>
        <w:keepNext/>
        <w:numPr>
          <w:ilvl w:val="0"/>
          <w:numId w:val="505"/>
        </w:numPr>
        <w:spacing w:before="0" w:after="80" w:line="290" w:lineRule="auto"/>
      </w:pPr>
      <w:r>
        <w:rPr>
          <w:rFonts w:ascii="Aptos" w:hAnsi="Aptos"/>
          <w:b w:val="0"/>
          <w:i w:val="0"/>
          <w:sz w:val="20"/>
        </w:rPr>
        <w:t>Document the supervisor’s delayed review, obtain the family’s agreement, and proceed because documentation transfers responsibility for the intervention to the supervisor.</w:t>
      </w:r>
    </w:p>
    <w:p>
      <w:pPr>
        <w:pStyle w:val="CTAOption"/>
        <w:keepNext w:val="0"/>
        <w:numPr>
          <w:ilvl w:val="0"/>
          <w:numId w:val="505"/>
        </w:numPr>
        <w:spacing w:before="0" w:after="80" w:line="290" w:lineRule="auto"/>
      </w:pPr>
      <w:r>
        <w:rPr>
          <w:rFonts w:ascii="Aptos" w:hAnsi="Aptos"/>
          <w:b w:val="0"/>
          <w:i w:val="0"/>
          <w:sz w:val="20"/>
        </w:rPr>
        <w:t>Defer the intervention, disclose the competence gap, and obtain timely qualified direction or an appropriate alternative.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D. Defer the intervention, disclose the competence gap, and obtain timely qualified direction or an appropriate alternative.</w:t>
      </w:r>
    </w:p>
    <w:p>
      <w:pPr>
        <w:pStyle w:val="Heading3"/>
      </w:pPr>
      <w:r>
        <w:t>Option-by-Option Rationales</w:t>
      </w:r>
    </w:p>
    <w:p>
      <w:pPr>
        <w:pStyle w:val="CTAOption"/>
        <w:keepNext/>
        <w:numPr>
          <w:ilvl w:val="0"/>
          <w:numId w:val="605"/>
        </w:numPr>
        <w:spacing w:before="0" w:after="100" w:line="290" w:lineRule="auto"/>
      </w:pPr>
      <w:r>
        <w:rPr>
          <w:rFonts w:ascii="Aptos" w:hAnsi="Aptos"/>
          <w:b/>
          <w:i w:val="0"/>
          <w:color w:val="087F78"/>
          <w:sz w:val="20"/>
        </w:rPr>
        <w:t xml:space="preserve">Incorrect. </w:t>
      </w:r>
      <w:r>
        <w:rPr>
          <w:rFonts w:ascii="Aptos" w:hAnsi="Aptos"/>
          <w:b w:val="0"/>
          <w:i w:val="0"/>
          <w:sz w:val="20"/>
        </w:rPr>
        <w:t>Scope does not establish individual competence or authorize an associate to act without adequate supervision.</w:t>
      </w:r>
    </w:p>
    <w:p>
      <w:pPr>
        <w:pStyle w:val="CTAOption"/>
        <w:keepNext/>
        <w:numPr>
          <w:ilvl w:val="0"/>
          <w:numId w:val="605"/>
        </w:numPr>
        <w:spacing w:before="0" w:after="100" w:line="290" w:lineRule="auto"/>
      </w:pPr>
      <w:r>
        <w:rPr>
          <w:rFonts w:ascii="Aptos" w:hAnsi="Aptos"/>
          <w:b/>
          <w:i w:val="0"/>
          <w:color w:val="087F78"/>
          <w:sz w:val="20"/>
        </w:rPr>
        <w:t xml:space="preserve">Incorrect. </w:t>
      </w:r>
      <w:r>
        <w:rPr>
          <w:rFonts w:ascii="Aptos" w:hAnsi="Aptos"/>
          <w:b w:val="0"/>
          <w:i w:val="0"/>
          <w:sz w:val="20"/>
        </w:rPr>
        <w:t>Disclosure does not cure inadequate competence or untimely supervision.</w:t>
      </w:r>
    </w:p>
    <w:p>
      <w:pPr>
        <w:pStyle w:val="CTAOption"/>
        <w:keepNext/>
        <w:numPr>
          <w:ilvl w:val="0"/>
          <w:numId w:val="605"/>
        </w:numPr>
        <w:spacing w:before="0" w:after="100" w:line="290" w:lineRule="auto"/>
      </w:pPr>
      <w:r>
        <w:rPr>
          <w:rFonts w:ascii="Aptos" w:hAnsi="Aptos"/>
          <w:b/>
          <w:i w:val="0"/>
          <w:color w:val="087F78"/>
          <w:sz w:val="20"/>
        </w:rPr>
        <w:t xml:space="preserve">Incorrect. </w:t>
      </w:r>
      <w:r>
        <w:rPr>
          <w:rFonts w:ascii="Aptos" w:hAnsi="Aptos"/>
          <w:b w:val="0"/>
          <w:i w:val="0"/>
          <w:sz w:val="20"/>
        </w:rPr>
        <w:t>Documentation is important, but it does not create authority or shift all professional responsibility away from the AMFT.</w:t>
      </w:r>
    </w:p>
    <w:p>
      <w:pPr>
        <w:pStyle w:val="CTAOption"/>
        <w:keepNext w:val="0"/>
        <w:numPr>
          <w:ilvl w:val="0"/>
          <w:numId w:val="605"/>
        </w:numPr>
        <w:spacing w:before="0" w:after="100" w:line="290" w:lineRule="auto"/>
      </w:pPr>
      <w:r>
        <w:rPr>
          <w:rFonts w:ascii="Aptos" w:hAnsi="Aptos"/>
          <w:b/>
          <w:i w:val="0"/>
          <w:color w:val="087F78"/>
          <w:sz w:val="20"/>
        </w:rPr>
        <w:t xml:space="preserve">Correct. </w:t>
      </w:r>
      <w:r>
        <w:rPr>
          <w:rFonts w:ascii="Aptos" w:hAnsi="Aptos"/>
          <w:b w:val="0"/>
          <w:i w:val="0"/>
          <w:sz w:val="20"/>
        </w:rPr>
        <w:t>With no emergency requiring immediate action, the AMFT should not begin an unsupported intervention. The best sequence is to identify the gap, obtain timely qualified supervision or training, and protect continuity through an appropriate alternative when needed.</w:t>
      </w:r>
    </w:p>
    <w:p>
      <w:pPr>
        <w:pStyle w:val="SmallNote"/>
      </w:pPr>
      <w:r>
        <w:rPr>
          <w:rFonts w:ascii="Aptos" w:hAnsi="Aptos"/>
          <w:b/>
          <w:i w:val="0"/>
          <w:color w:val="087F78"/>
          <w:sz w:val="17"/>
        </w:rPr>
        <w:t xml:space="preserve">Primary authority: </w:t>
      </w:r>
      <w:r>
        <w:rPr>
          <w:rFonts w:ascii="Aptos" w:hAnsi="Aptos"/>
          <w:b w:val="0"/>
          <w:i w:val="0"/>
          <w:color w:val="404B5A"/>
          <w:sz w:val="17"/>
        </w:rPr>
        <w:t>BPC §§ 4980.43.1–4980.43.2; 16 CCR §§ 1833–1834</w:t>
      </w:r>
    </w:p>
    <w:p>
      <w:pPr>
        <w:pStyle w:val="SmallNote"/>
      </w:pPr>
      <w:r>
        <w:rPr>
          <w:rFonts w:ascii="Aptos" w:hAnsi="Aptos"/>
          <w:b/>
          <w:i w:val="0"/>
          <w:color w:val="087F78"/>
          <w:sz w:val="17"/>
        </w:rPr>
        <w:t xml:space="preserve">Remediation: </w:t>
      </w:r>
      <w:r>
        <w:rPr>
          <w:rFonts w:ascii="Aptos" w:hAnsi="Aptos"/>
          <w:b w:val="0"/>
          <w:i w:val="0"/>
          <w:color w:val="404B5A"/>
          <w:sz w:val="17"/>
        </w:rPr>
        <w:t>Unit 2 — Scope, Competence, and Present Authority; Unit 4 — Role Accountability</w:t>
      </w:r>
    </w:p>
    <w:p>
      <w:pPr>
        <w:pStyle w:val="SmallNote"/>
      </w:pPr>
      <w:r>
        <w:rPr>
          <w:rFonts w:ascii="Aptos" w:hAnsi="Aptos"/>
          <w:b/>
          <w:i w:val="0"/>
          <w:color w:val="087F78"/>
          <w:sz w:val="17"/>
        </w:rPr>
        <w:t xml:space="preserve">Internal control: </w:t>
      </w:r>
      <w:r>
        <w:rPr>
          <w:rFonts w:ascii="Aptos" w:hAnsi="Aptos"/>
          <w:b w:val="0"/>
          <w:i w:val="0"/>
          <w:color w:val="404B5A"/>
          <w:sz w:val="17"/>
        </w:rPr>
        <w:t>CTA-EP-001-LS-006 | Unit 2 | LO-3, LO-4, LO-7 | Difficult | Scenario-Based</w:t>
      </w:r>
    </w:p>
    <w:p>
      <w:r>
        <w:br w:type="page"/>
      </w:r>
    </w:p>
    <w:p>
      <w:pPr>
        <w:pStyle w:val="Heading2"/>
      </w:pPr>
      <w:r>
        <w:t>7. CTA-EP-001-LS-007</w:t>
      </w:r>
    </w:p>
    <w:p>
      <w:pPr>
        <w:pStyle w:val="SmallNote"/>
      </w:pPr>
      <w:r>
        <w:rPr>
          <w:rFonts w:ascii="Aptos" w:hAnsi="Aptos"/>
          <w:b w:val="0"/>
          <w:i w:val="0"/>
          <w:color w:val="404B5A"/>
          <w:sz w:val="17"/>
        </w:rPr>
        <w:t>Unit 3 | LO-5 | Easy | Knowledge/Recognition | Error tag: Advertising</w:t>
      </w:r>
    </w:p>
    <w:p>
      <w:pPr>
        <w:pStyle w:val="QuestionStem"/>
      </w:pPr>
      <w:r>
        <w:rPr>
          <w:rFonts w:ascii="Aptos" w:hAnsi="Aptos"/>
          <w:b/>
          <w:i w:val="0"/>
          <w:sz w:val="20"/>
        </w:rPr>
        <w:t>Which set contains the required core elements of an AMFT advertisement under the rules operative April 1, 2026?</w:t>
      </w:r>
    </w:p>
    <w:p>
      <w:pPr>
        <w:pStyle w:val="CTAOption"/>
        <w:keepNext/>
        <w:numPr>
          <w:ilvl w:val="0"/>
          <w:numId w:val="506"/>
        </w:numPr>
        <w:spacing w:before="0" w:after="80" w:line="290" w:lineRule="auto"/>
      </w:pPr>
      <w:r>
        <w:rPr>
          <w:rFonts w:ascii="Aptos" w:hAnsi="Aptos"/>
          <w:b w:val="0"/>
          <w:i w:val="0"/>
          <w:sz w:val="20"/>
        </w:rPr>
        <w:t>Filed name; permitted registration title and number; employer or volunteer entity; and a statement of supervision by a licensed person.</w:t>
      </w:r>
    </w:p>
    <w:p>
      <w:pPr>
        <w:pStyle w:val="CTAOption"/>
        <w:keepNext/>
        <w:numPr>
          <w:ilvl w:val="0"/>
          <w:numId w:val="506"/>
        </w:numPr>
        <w:spacing w:before="0" w:after="80" w:line="290" w:lineRule="auto"/>
      </w:pPr>
      <w:r>
        <w:rPr>
          <w:rFonts w:ascii="Aptos" w:hAnsi="Aptos"/>
          <w:b w:val="0"/>
          <w:i w:val="0"/>
          <w:sz w:val="20"/>
        </w:rPr>
        <w:t>First name; academic degree; supervisor’s first name; and years of experience.</w:t>
      </w:r>
    </w:p>
    <w:p>
      <w:pPr>
        <w:pStyle w:val="CTAOption"/>
        <w:keepNext/>
        <w:numPr>
          <w:ilvl w:val="0"/>
          <w:numId w:val="506"/>
        </w:numPr>
        <w:spacing w:before="0" w:after="80" w:line="290" w:lineRule="auto"/>
      </w:pPr>
      <w:r>
        <w:rPr>
          <w:rFonts w:ascii="Aptos" w:hAnsi="Aptos"/>
          <w:b w:val="0"/>
          <w:i w:val="0"/>
          <w:sz w:val="20"/>
        </w:rPr>
        <w:t>The abbreviation AMFT, registration number, academic degree, and a link to another page identifying the employer and supervised status.</w:t>
      </w:r>
    </w:p>
    <w:p>
      <w:pPr>
        <w:pStyle w:val="CTAOption"/>
        <w:keepNext w:val="0"/>
        <w:numPr>
          <w:ilvl w:val="0"/>
          <w:numId w:val="506"/>
        </w:numPr>
        <w:spacing w:before="0" w:after="80" w:line="290" w:lineRule="auto"/>
      </w:pPr>
      <w:r>
        <w:rPr>
          <w:rFonts w:ascii="Aptos" w:hAnsi="Aptos"/>
          <w:b w:val="0"/>
          <w:i w:val="0"/>
          <w:sz w:val="20"/>
        </w:rPr>
        <w:t>Business name, treatment specialties, and a statement that consultation is available.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A. Filed name; permitted registration title and number; employer or volunteer entity; and a statement of supervision by a licensed person.</w:t>
      </w:r>
    </w:p>
    <w:p>
      <w:pPr>
        <w:pStyle w:val="Heading3"/>
      </w:pPr>
      <w:r>
        <w:t>Option-by-Option Rationales</w:t>
      </w:r>
    </w:p>
    <w:p>
      <w:pPr>
        <w:pStyle w:val="CTAOption"/>
        <w:keepNext/>
        <w:numPr>
          <w:ilvl w:val="0"/>
          <w:numId w:val="606"/>
        </w:numPr>
        <w:spacing w:before="0" w:after="100" w:line="290" w:lineRule="auto"/>
      </w:pPr>
      <w:r>
        <w:rPr>
          <w:rFonts w:ascii="Aptos" w:hAnsi="Aptos"/>
          <w:b/>
          <w:i w:val="0"/>
          <w:color w:val="087F78"/>
          <w:sz w:val="20"/>
        </w:rPr>
        <w:t xml:space="preserve">Correct. </w:t>
      </w:r>
      <w:r>
        <w:rPr>
          <w:rFonts w:ascii="Aptos" w:hAnsi="Aptos"/>
          <w:b w:val="0"/>
          <w:i w:val="0"/>
          <w:sz w:val="20"/>
        </w:rPr>
        <w:t>These are the required identity, title, number, employer-or-volunteer, and supervised-status elements. If “AMFT” is used, the full “Registered Associate Marriage and Family Therapist” title must also appear.</w:t>
      </w:r>
    </w:p>
    <w:p>
      <w:pPr>
        <w:pStyle w:val="CTAOption"/>
        <w:keepNext/>
        <w:numPr>
          <w:ilvl w:val="0"/>
          <w:numId w:val="606"/>
        </w:numPr>
        <w:spacing w:before="0" w:after="100" w:line="290" w:lineRule="auto"/>
      </w:pPr>
      <w:r>
        <w:rPr>
          <w:rFonts w:ascii="Aptos" w:hAnsi="Aptos"/>
          <w:b/>
          <w:i w:val="0"/>
          <w:color w:val="087F78"/>
          <w:sz w:val="20"/>
        </w:rPr>
        <w:t xml:space="preserve">Incorrect. </w:t>
      </w:r>
      <w:r>
        <w:rPr>
          <w:rFonts w:ascii="Aptos" w:hAnsi="Aptos"/>
          <w:b w:val="0"/>
          <w:i w:val="0"/>
          <w:sz w:val="20"/>
        </w:rPr>
        <w:t>Academic degree and years of experience do not replace the required registration title, number, employer or volunteer entity, and supervised-status statement.</w:t>
      </w:r>
    </w:p>
    <w:p>
      <w:pPr>
        <w:pStyle w:val="CTAOption"/>
        <w:keepNext/>
        <w:numPr>
          <w:ilvl w:val="0"/>
          <w:numId w:val="606"/>
        </w:numPr>
        <w:spacing w:before="0" w:after="100" w:line="290" w:lineRule="auto"/>
      </w:pPr>
      <w:r>
        <w:rPr>
          <w:rFonts w:ascii="Aptos" w:hAnsi="Aptos"/>
          <w:b/>
          <w:i w:val="0"/>
          <w:color w:val="087F78"/>
          <w:sz w:val="20"/>
        </w:rPr>
        <w:t xml:space="preserve">Incorrect. </w:t>
      </w:r>
      <w:r>
        <w:rPr>
          <w:rFonts w:ascii="Aptos" w:hAnsi="Aptos"/>
          <w:b w:val="0"/>
          <w:i w:val="0"/>
          <w:sz w:val="20"/>
        </w:rPr>
        <w:t>“AMFT” cannot stand alone, and required information may not be made remote or difficult to find.</w:t>
      </w:r>
    </w:p>
    <w:p>
      <w:pPr>
        <w:pStyle w:val="CTAOption"/>
        <w:keepNext w:val="0"/>
        <w:numPr>
          <w:ilvl w:val="0"/>
          <w:numId w:val="606"/>
        </w:numPr>
        <w:spacing w:before="0" w:after="100" w:line="290" w:lineRule="auto"/>
      </w:pPr>
      <w:r>
        <w:rPr>
          <w:rFonts w:ascii="Aptos" w:hAnsi="Aptos"/>
          <w:b/>
          <w:i w:val="0"/>
          <w:color w:val="087F78"/>
          <w:sz w:val="20"/>
        </w:rPr>
        <w:t xml:space="preserve">Incorrect. </w:t>
      </w:r>
      <w:r>
        <w:rPr>
          <w:rFonts w:ascii="Aptos" w:hAnsi="Aptos"/>
          <w:b w:val="0"/>
          <w:i w:val="0"/>
          <w:sz w:val="20"/>
        </w:rPr>
        <w:t>A business name, specialties, and optional consultation language omit the associate’s required legal identity and supervised status.</w:t>
      </w:r>
    </w:p>
    <w:p>
      <w:pPr>
        <w:pStyle w:val="SmallNote"/>
      </w:pPr>
      <w:r>
        <w:rPr>
          <w:rFonts w:ascii="Aptos" w:hAnsi="Aptos"/>
          <w:b/>
          <w:i w:val="0"/>
          <w:color w:val="087F78"/>
          <w:sz w:val="17"/>
        </w:rPr>
        <w:t xml:space="preserve">Primary authority: </w:t>
      </w:r>
      <w:r>
        <w:rPr>
          <w:rFonts w:ascii="Aptos" w:hAnsi="Aptos"/>
          <w:b w:val="0"/>
          <w:i w:val="0"/>
          <w:color w:val="404B5A"/>
          <w:sz w:val="17"/>
        </w:rPr>
        <w:t>BPC § 4980.44(b); 16 CCR § 1811 (operative Apr. 1, 2026)</w:t>
      </w:r>
    </w:p>
    <w:p>
      <w:pPr>
        <w:pStyle w:val="SmallNote"/>
      </w:pPr>
      <w:r>
        <w:rPr>
          <w:rFonts w:ascii="Aptos" w:hAnsi="Aptos"/>
          <w:b/>
          <w:i w:val="0"/>
          <w:color w:val="087F78"/>
          <w:sz w:val="17"/>
        </w:rPr>
        <w:t xml:space="preserve">Remediation: </w:t>
      </w:r>
      <w:r>
        <w:rPr>
          <w:rFonts w:ascii="Aptos" w:hAnsi="Aptos"/>
          <w:b w:val="0"/>
          <w:i w:val="0"/>
          <w:color w:val="404B5A"/>
          <w:sz w:val="17"/>
        </w:rPr>
        <w:t>Unit 3 — AMFT Advertising: Minimum Elements</w:t>
      </w:r>
    </w:p>
    <w:p>
      <w:pPr>
        <w:pStyle w:val="SmallNote"/>
      </w:pPr>
      <w:r>
        <w:rPr>
          <w:rFonts w:ascii="Aptos" w:hAnsi="Aptos"/>
          <w:b/>
          <w:i w:val="0"/>
          <w:color w:val="087F78"/>
          <w:sz w:val="17"/>
        </w:rPr>
        <w:t xml:space="preserve">Internal control: </w:t>
      </w:r>
      <w:r>
        <w:rPr>
          <w:rFonts w:ascii="Aptos" w:hAnsi="Aptos"/>
          <w:b w:val="0"/>
          <w:i w:val="0"/>
          <w:color w:val="404B5A"/>
          <w:sz w:val="17"/>
        </w:rPr>
        <w:t>CTA-EP-001-LS-007 | Unit 3 | LO-5 | Easy | Knowledge/Recognition</w:t>
      </w:r>
    </w:p>
    <w:p>
      <w:r>
        <w:br w:type="page"/>
      </w:r>
    </w:p>
    <w:p>
      <w:pPr>
        <w:pStyle w:val="Heading2"/>
      </w:pPr>
      <w:r>
        <w:t>8. CTA-EP-001-LS-008</w:t>
      </w:r>
    </w:p>
    <w:p>
      <w:pPr>
        <w:pStyle w:val="SmallNote"/>
      </w:pPr>
      <w:r>
        <w:rPr>
          <w:rFonts w:ascii="Aptos" w:hAnsi="Aptos"/>
          <w:b w:val="0"/>
          <w:i w:val="0"/>
          <w:color w:val="404B5A"/>
          <w:sz w:val="17"/>
        </w:rPr>
        <w:t>Unit 3 | LO-5, LO-8 | Moderate | Application/Sequencing | Error tag: Advertising</w:t>
      </w:r>
    </w:p>
    <w:p>
      <w:pPr>
        <w:pStyle w:val="QuestionStem"/>
      </w:pPr>
      <w:r>
        <w:rPr>
          <w:rFonts w:ascii="Aptos" w:hAnsi="Aptos"/>
          <w:b/>
          <w:i w:val="0"/>
          <w:sz w:val="20"/>
        </w:rPr>
        <w:t>A website lists “Taylor Nguyen, Registered Associate Marriage and Family Therapist, Registration No. 123456, employed by Harbor Family Center.” What required advertising element is missing?</w:t>
      </w:r>
    </w:p>
    <w:p>
      <w:pPr>
        <w:pStyle w:val="CTAOption"/>
        <w:keepNext/>
        <w:numPr>
          <w:ilvl w:val="0"/>
          <w:numId w:val="507"/>
        </w:numPr>
        <w:spacing w:before="0" w:after="80" w:line="290" w:lineRule="auto"/>
      </w:pPr>
      <w:r>
        <w:rPr>
          <w:rFonts w:ascii="Aptos" w:hAnsi="Aptos"/>
          <w:b w:val="0"/>
          <w:i w:val="0"/>
          <w:sz w:val="20"/>
        </w:rPr>
        <w:t>A statement of the associate’s preferred treatment theory.</w:t>
      </w:r>
    </w:p>
    <w:p>
      <w:pPr>
        <w:pStyle w:val="CTAOption"/>
        <w:keepNext/>
        <w:numPr>
          <w:ilvl w:val="0"/>
          <w:numId w:val="507"/>
        </w:numPr>
        <w:spacing w:before="0" w:after="80" w:line="290" w:lineRule="auto"/>
      </w:pPr>
      <w:r>
        <w:rPr>
          <w:rFonts w:ascii="Aptos" w:hAnsi="Aptos"/>
          <w:b w:val="0"/>
          <w:i w:val="0"/>
          <w:sz w:val="20"/>
        </w:rPr>
        <w:t>The supervisor’s personal telephone number and current license expiration date.</w:t>
      </w:r>
    </w:p>
    <w:p>
      <w:pPr>
        <w:pStyle w:val="CTAOption"/>
        <w:keepNext/>
        <w:numPr>
          <w:ilvl w:val="0"/>
          <w:numId w:val="507"/>
        </w:numPr>
        <w:spacing w:before="0" w:after="80" w:line="290" w:lineRule="auto"/>
      </w:pPr>
      <w:r>
        <w:rPr>
          <w:rFonts w:ascii="Aptos" w:hAnsi="Aptos"/>
          <w:b w:val="0"/>
          <w:i w:val="0"/>
          <w:sz w:val="20"/>
        </w:rPr>
        <w:t>A statement that the associate is supervised by a licensed person.</w:t>
      </w:r>
    </w:p>
    <w:p>
      <w:pPr>
        <w:pStyle w:val="CTAOption"/>
        <w:keepNext w:val="0"/>
        <w:numPr>
          <w:ilvl w:val="0"/>
          <w:numId w:val="507"/>
        </w:numPr>
        <w:spacing w:before="0" w:after="80" w:line="290" w:lineRule="auto"/>
      </w:pPr>
      <w:r>
        <w:rPr>
          <w:rFonts w:ascii="Aptos" w:hAnsi="Aptos"/>
          <w:b w:val="0"/>
          <w:i w:val="0"/>
          <w:sz w:val="20"/>
        </w:rPr>
        <w:t>The associate’s examination score and clinical-exam eligibility date.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C. A statement that the associate is supervised by a licensed person.</w:t>
      </w:r>
    </w:p>
    <w:p>
      <w:pPr>
        <w:pStyle w:val="Heading3"/>
      </w:pPr>
      <w:r>
        <w:t>Option-by-Option Rationales</w:t>
      </w:r>
    </w:p>
    <w:p>
      <w:pPr>
        <w:pStyle w:val="CTAOption"/>
        <w:keepNext/>
        <w:numPr>
          <w:ilvl w:val="0"/>
          <w:numId w:val="607"/>
        </w:numPr>
        <w:spacing w:before="0" w:after="100" w:line="290" w:lineRule="auto"/>
      </w:pPr>
      <w:r>
        <w:rPr>
          <w:rFonts w:ascii="Aptos" w:hAnsi="Aptos"/>
          <w:b/>
          <w:i w:val="0"/>
          <w:color w:val="087F78"/>
          <w:sz w:val="20"/>
        </w:rPr>
        <w:t xml:space="preserve">Incorrect. </w:t>
      </w:r>
      <w:r>
        <w:rPr>
          <w:rFonts w:ascii="Aptos" w:hAnsi="Aptos"/>
          <w:b w:val="0"/>
          <w:i w:val="0"/>
          <w:sz w:val="20"/>
        </w:rPr>
        <w:t>Advertising rules do not require a treatment-theory statement.</w:t>
      </w:r>
    </w:p>
    <w:p>
      <w:pPr>
        <w:pStyle w:val="CTAOption"/>
        <w:keepNext/>
        <w:numPr>
          <w:ilvl w:val="0"/>
          <w:numId w:val="607"/>
        </w:numPr>
        <w:spacing w:before="0" w:after="100" w:line="290" w:lineRule="auto"/>
      </w:pPr>
      <w:r>
        <w:rPr>
          <w:rFonts w:ascii="Aptos" w:hAnsi="Aptos"/>
          <w:b/>
          <w:i w:val="0"/>
          <w:color w:val="087F78"/>
          <w:sz w:val="20"/>
        </w:rPr>
        <w:t xml:space="preserve">Incorrect. </w:t>
      </w:r>
      <w:r>
        <w:rPr>
          <w:rFonts w:ascii="Aptos" w:hAnsi="Aptos"/>
          <w:b w:val="0"/>
          <w:i w:val="0"/>
          <w:sz w:val="20"/>
        </w:rPr>
        <w:t>The core advertising rule requires supervised status, not publication of a supervisor’s personal telephone number.</w:t>
      </w:r>
    </w:p>
    <w:p>
      <w:pPr>
        <w:pStyle w:val="CTAOption"/>
        <w:keepNext/>
        <w:numPr>
          <w:ilvl w:val="0"/>
          <w:numId w:val="607"/>
        </w:numPr>
        <w:spacing w:before="0" w:after="100" w:line="290" w:lineRule="auto"/>
      </w:pPr>
      <w:r>
        <w:rPr>
          <w:rFonts w:ascii="Aptos" w:hAnsi="Aptos"/>
          <w:b/>
          <w:i w:val="0"/>
          <w:color w:val="087F78"/>
          <w:sz w:val="20"/>
        </w:rPr>
        <w:t xml:space="preserve">Correct. </w:t>
      </w:r>
      <w:r>
        <w:rPr>
          <w:rFonts w:ascii="Aptos" w:hAnsi="Aptos"/>
          <w:b w:val="0"/>
          <w:i w:val="0"/>
          <w:sz w:val="20"/>
        </w:rPr>
        <w:t>Effective April 1, 2026, registrant advertising must state that the registrant is supervised by a licensed person.</w:t>
      </w:r>
    </w:p>
    <w:p>
      <w:pPr>
        <w:pStyle w:val="CTAOption"/>
        <w:keepNext w:val="0"/>
        <w:numPr>
          <w:ilvl w:val="0"/>
          <w:numId w:val="607"/>
        </w:numPr>
        <w:spacing w:before="0" w:after="100" w:line="290" w:lineRule="auto"/>
      </w:pPr>
      <w:r>
        <w:rPr>
          <w:rFonts w:ascii="Aptos" w:hAnsi="Aptos"/>
          <w:b/>
          <w:i w:val="0"/>
          <w:color w:val="087F78"/>
          <w:sz w:val="20"/>
        </w:rPr>
        <w:t xml:space="preserve">Incorrect. </w:t>
      </w:r>
      <w:r>
        <w:rPr>
          <w:rFonts w:ascii="Aptos" w:hAnsi="Aptos"/>
          <w:b w:val="0"/>
          <w:i w:val="0"/>
          <w:sz w:val="20"/>
        </w:rPr>
        <w:t>Examination scores are not a required advertising element.</w:t>
      </w:r>
    </w:p>
    <w:p>
      <w:pPr>
        <w:pStyle w:val="SmallNote"/>
      </w:pPr>
      <w:r>
        <w:rPr>
          <w:rFonts w:ascii="Aptos" w:hAnsi="Aptos"/>
          <w:b/>
          <w:i w:val="0"/>
          <w:color w:val="087F78"/>
          <w:sz w:val="17"/>
        </w:rPr>
        <w:t xml:space="preserve">Primary authority: </w:t>
      </w:r>
      <w:r>
        <w:rPr>
          <w:rFonts w:ascii="Aptos" w:hAnsi="Aptos"/>
          <w:b w:val="0"/>
          <w:i w:val="0"/>
          <w:color w:val="404B5A"/>
          <w:sz w:val="17"/>
        </w:rPr>
        <w:t>BPC § 4980.44(b)(1)(D); 16 CCR § 1811(b)(2)</w:t>
      </w:r>
    </w:p>
    <w:p>
      <w:pPr>
        <w:pStyle w:val="SmallNote"/>
      </w:pPr>
      <w:r>
        <w:rPr>
          <w:rFonts w:ascii="Aptos" w:hAnsi="Aptos"/>
          <w:b/>
          <w:i w:val="0"/>
          <w:color w:val="087F78"/>
          <w:sz w:val="17"/>
        </w:rPr>
        <w:t xml:space="preserve">Remediation: </w:t>
      </w:r>
      <w:r>
        <w:rPr>
          <w:rFonts w:ascii="Aptos" w:hAnsi="Aptos"/>
          <w:b w:val="0"/>
          <w:i w:val="0"/>
          <w:color w:val="404B5A"/>
          <w:sz w:val="17"/>
        </w:rPr>
        <w:t>Unit 3 — Complete vs. Incomplete Examples</w:t>
      </w:r>
    </w:p>
    <w:p>
      <w:pPr>
        <w:pStyle w:val="SmallNote"/>
      </w:pPr>
      <w:r>
        <w:rPr>
          <w:rFonts w:ascii="Aptos" w:hAnsi="Aptos"/>
          <w:b/>
          <w:i w:val="0"/>
          <w:color w:val="087F78"/>
          <w:sz w:val="17"/>
        </w:rPr>
        <w:t xml:space="preserve">Internal control: </w:t>
      </w:r>
      <w:r>
        <w:rPr>
          <w:rFonts w:ascii="Aptos" w:hAnsi="Aptos"/>
          <w:b w:val="0"/>
          <w:i w:val="0"/>
          <w:color w:val="404B5A"/>
          <w:sz w:val="17"/>
        </w:rPr>
        <w:t>CTA-EP-001-LS-008 | Unit 3 | LO-5, LO-8 | Moderate | Application/Sequencing</w:t>
      </w:r>
    </w:p>
    <w:p>
      <w:r>
        <w:br w:type="page"/>
      </w:r>
    </w:p>
    <w:p>
      <w:pPr>
        <w:pStyle w:val="Heading2"/>
      </w:pPr>
      <w:r>
        <w:t>9. CTA-EP-001-LS-009</w:t>
      </w:r>
    </w:p>
    <w:p>
      <w:pPr>
        <w:pStyle w:val="SmallNote"/>
      </w:pPr>
      <w:r>
        <w:rPr>
          <w:rFonts w:ascii="Aptos" w:hAnsi="Aptos"/>
          <w:b w:val="0"/>
          <w:i w:val="0"/>
          <w:color w:val="404B5A"/>
          <w:sz w:val="17"/>
        </w:rPr>
        <w:t>Unit 3 | LO-5 | Moderate | Scenario-Based | Error tag: Identity</w:t>
      </w:r>
    </w:p>
    <w:p>
      <w:pPr>
        <w:pStyle w:val="QuestionStem"/>
      </w:pPr>
      <w:r>
        <w:rPr>
          <w:rFonts w:ascii="Aptos" w:hAnsi="Aptos"/>
          <w:b/>
          <w:i w:val="0"/>
          <w:sz w:val="20"/>
        </w:rPr>
        <w:t>Before an AMFT’s first psychotherapy session, the employer gives the client the Board complaint notice but the AMFT has not explained the associate’s own status. What is the BEST action before providing services?</w:t>
      </w:r>
    </w:p>
    <w:p>
      <w:pPr>
        <w:pStyle w:val="CTAOption"/>
        <w:keepNext/>
        <w:numPr>
          <w:ilvl w:val="0"/>
          <w:numId w:val="508"/>
        </w:numPr>
        <w:spacing w:before="0" w:after="80" w:line="290" w:lineRule="auto"/>
      </w:pPr>
      <w:r>
        <w:rPr>
          <w:rFonts w:ascii="Aptos" w:hAnsi="Aptos"/>
          <w:b w:val="0"/>
          <w:i w:val="0"/>
          <w:sz w:val="20"/>
        </w:rPr>
        <w:t>Proceed because the Board notice replaces every other status disclosure once the employer documents that the client received it before psychotherapy.</w:t>
      </w:r>
    </w:p>
    <w:p>
      <w:pPr>
        <w:pStyle w:val="CTAOption"/>
        <w:keepNext/>
        <w:numPr>
          <w:ilvl w:val="0"/>
          <w:numId w:val="508"/>
        </w:numPr>
        <w:spacing w:before="0" w:after="80" w:line="290" w:lineRule="auto"/>
      </w:pPr>
      <w:r>
        <w:rPr>
          <w:rFonts w:ascii="Aptos" w:hAnsi="Aptos"/>
          <w:b w:val="0"/>
          <w:i w:val="0"/>
          <w:sz w:val="20"/>
        </w:rPr>
        <w:t>Wait until the client asks whether the AMFT is licensed.</w:t>
      </w:r>
    </w:p>
    <w:p>
      <w:pPr>
        <w:pStyle w:val="CTAOption"/>
        <w:keepNext/>
        <w:numPr>
          <w:ilvl w:val="0"/>
          <w:numId w:val="508"/>
        </w:numPr>
        <w:spacing w:before="0" w:after="80" w:line="290" w:lineRule="auto"/>
      </w:pPr>
      <w:r>
        <w:rPr>
          <w:rFonts w:ascii="Aptos" w:hAnsi="Aptos"/>
          <w:b w:val="0"/>
          <w:i w:val="0"/>
          <w:sz w:val="20"/>
        </w:rPr>
        <w:t>Provide the supervisor’s name, license type, and telephone number because that information establishes the AMFT’s own legal status for the client.</w:t>
      </w:r>
    </w:p>
    <w:p>
      <w:pPr>
        <w:pStyle w:val="CTAOption"/>
        <w:keepNext w:val="0"/>
        <w:numPr>
          <w:ilvl w:val="0"/>
          <w:numId w:val="508"/>
        </w:numPr>
        <w:spacing w:before="0" w:after="80" w:line="290" w:lineRule="auto"/>
      </w:pPr>
      <w:r>
        <w:rPr>
          <w:rFonts w:ascii="Aptos" w:hAnsi="Aptos"/>
          <w:b w:val="0"/>
          <w:i w:val="0"/>
          <w:sz w:val="20"/>
        </w:rPr>
        <w:t>Disclose the AMFT’s unlicensed registered status, registration number, employer, and authorized supervision before providing services.</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D. Disclose the AMFT’s unlicensed registered status, registration number, employer, and authorized supervision before providing services.</w:t>
      </w:r>
    </w:p>
    <w:p>
      <w:pPr>
        <w:pStyle w:val="Heading3"/>
      </w:pPr>
      <w:r>
        <w:t>Option-by-Option Rationales</w:t>
      </w:r>
    </w:p>
    <w:p>
      <w:pPr>
        <w:pStyle w:val="CTAOption"/>
        <w:keepNext/>
        <w:numPr>
          <w:ilvl w:val="0"/>
          <w:numId w:val="608"/>
        </w:numPr>
        <w:spacing w:before="0" w:after="100" w:line="290" w:lineRule="auto"/>
      </w:pPr>
      <w:r>
        <w:rPr>
          <w:rFonts w:ascii="Aptos" w:hAnsi="Aptos"/>
          <w:b/>
          <w:i w:val="0"/>
          <w:color w:val="087F78"/>
          <w:sz w:val="20"/>
        </w:rPr>
        <w:t xml:space="preserve">Incorrect. </w:t>
      </w:r>
      <w:r>
        <w:rPr>
          <w:rFonts w:ascii="Aptos" w:hAnsi="Aptos"/>
          <w:b w:val="0"/>
          <w:i w:val="0"/>
          <w:sz w:val="20"/>
        </w:rPr>
        <w:t>The Board complaint notice and the associate status disclosure are separate duties with different content and purposes.</w:t>
      </w:r>
    </w:p>
    <w:p>
      <w:pPr>
        <w:pStyle w:val="CTAOption"/>
        <w:keepNext/>
        <w:numPr>
          <w:ilvl w:val="0"/>
          <w:numId w:val="608"/>
        </w:numPr>
        <w:spacing w:before="0" w:after="100" w:line="290" w:lineRule="auto"/>
      </w:pPr>
      <w:r>
        <w:rPr>
          <w:rFonts w:ascii="Aptos" w:hAnsi="Aptos"/>
          <w:b/>
          <w:i w:val="0"/>
          <w:color w:val="087F78"/>
          <w:sz w:val="20"/>
        </w:rPr>
        <w:t xml:space="preserve">Incorrect. </w:t>
      </w:r>
      <w:r>
        <w:rPr>
          <w:rFonts w:ascii="Aptos" w:hAnsi="Aptos"/>
          <w:b w:val="0"/>
          <w:i w:val="0"/>
          <w:sz w:val="20"/>
        </w:rPr>
        <w:t>The associate must provide the required status information before performing mental-health and related services; the duty does not depend on a client question.</w:t>
      </w:r>
    </w:p>
    <w:p>
      <w:pPr>
        <w:pStyle w:val="CTAOption"/>
        <w:keepNext/>
        <w:numPr>
          <w:ilvl w:val="0"/>
          <w:numId w:val="608"/>
        </w:numPr>
        <w:spacing w:before="0" w:after="100" w:line="290" w:lineRule="auto"/>
      </w:pPr>
      <w:r>
        <w:rPr>
          <w:rFonts w:ascii="Aptos" w:hAnsi="Aptos"/>
          <w:b/>
          <w:i w:val="0"/>
          <w:color w:val="087F78"/>
          <w:sz w:val="20"/>
        </w:rPr>
        <w:t xml:space="preserve">Incorrect. </w:t>
      </w:r>
      <w:r>
        <w:rPr>
          <w:rFonts w:ascii="Aptos" w:hAnsi="Aptos"/>
          <w:b w:val="0"/>
          <w:i w:val="0"/>
          <w:sz w:val="20"/>
        </w:rPr>
        <w:t>A supervisor’s name alone omits the associate’s unlicensed registered status, registration number, employer, and supervised-status information.</w:t>
      </w:r>
    </w:p>
    <w:p>
      <w:pPr>
        <w:pStyle w:val="CTAOption"/>
        <w:keepNext w:val="0"/>
        <w:numPr>
          <w:ilvl w:val="0"/>
          <w:numId w:val="608"/>
        </w:numPr>
        <w:spacing w:before="0" w:after="100" w:line="290" w:lineRule="auto"/>
      </w:pPr>
      <w:r>
        <w:rPr>
          <w:rFonts w:ascii="Aptos" w:hAnsi="Aptos"/>
          <w:b/>
          <w:i w:val="0"/>
          <w:color w:val="087F78"/>
          <w:sz w:val="20"/>
        </w:rPr>
        <w:t xml:space="preserve">Correct. </w:t>
      </w:r>
      <w:r>
        <w:rPr>
          <w:rFonts w:ascii="Aptos" w:hAnsi="Aptos"/>
          <w:b w:val="0"/>
          <w:i w:val="0"/>
          <w:sz w:val="20"/>
        </w:rPr>
        <w:t>This completes the profession-specific associate disclosure before services and does not treat the separate Board notice as a substitute.</w:t>
      </w:r>
    </w:p>
    <w:p>
      <w:pPr>
        <w:pStyle w:val="SmallNote"/>
      </w:pPr>
      <w:r>
        <w:rPr>
          <w:rFonts w:ascii="Aptos" w:hAnsi="Aptos"/>
          <w:b/>
          <w:i w:val="0"/>
          <w:color w:val="087F78"/>
          <w:sz w:val="17"/>
        </w:rPr>
        <w:t xml:space="preserve">Primary authority: </w:t>
      </w:r>
      <w:r>
        <w:rPr>
          <w:rFonts w:ascii="Aptos" w:hAnsi="Aptos"/>
          <w:b w:val="0"/>
          <w:i w:val="0"/>
          <w:color w:val="404B5A"/>
          <w:sz w:val="17"/>
        </w:rPr>
        <w:t>BPC §§ 4980.32, 4980.44(a)</w:t>
      </w:r>
    </w:p>
    <w:p>
      <w:pPr>
        <w:pStyle w:val="SmallNote"/>
      </w:pPr>
      <w:r>
        <w:rPr>
          <w:rFonts w:ascii="Aptos" w:hAnsi="Aptos"/>
          <w:b/>
          <w:i w:val="0"/>
          <w:color w:val="087F78"/>
          <w:sz w:val="17"/>
        </w:rPr>
        <w:t xml:space="preserve">Remediation: </w:t>
      </w:r>
      <w:r>
        <w:rPr>
          <w:rFonts w:ascii="Aptos" w:hAnsi="Aptos"/>
          <w:b w:val="0"/>
          <w:i w:val="0"/>
          <w:color w:val="404B5A"/>
          <w:sz w:val="17"/>
        </w:rPr>
        <w:t>Unit 3 — Three Different Identity Tasks</w:t>
      </w:r>
    </w:p>
    <w:p>
      <w:pPr>
        <w:pStyle w:val="SmallNote"/>
      </w:pPr>
      <w:r>
        <w:rPr>
          <w:rFonts w:ascii="Aptos" w:hAnsi="Aptos"/>
          <w:b/>
          <w:i w:val="0"/>
          <w:color w:val="087F78"/>
          <w:sz w:val="17"/>
        </w:rPr>
        <w:t xml:space="preserve">Internal control: </w:t>
      </w:r>
      <w:r>
        <w:rPr>
          <w:rFonts w:ascii="Aptos" w:hAnsi="Aptos"/>
          <w:b w:val="0"/>
          <w:i w:val="0"/>
          <w:color w:val="404B5A"/>
          <w:sz w:val="17"/>
        </w:rPr>
        <w:t>CTA-EP-001-LS-009 | Unit 3 | LO-5 | Moderate | Scenario-Based</w:t>
      </w:r>
    </w:p>
    <w:p>
      <w:r>
        <w:br w:type="page"/>
      </w:r>
    </w:p>
    <w:p>
      <w:pPr>
        <w:pStyle w:val="Heading2"/>
      </w:pPr>
      <w:r>
        <w:t>10. CTA-EP-001-LS-010</w:t>
      </w:r>
    </w:p>
    <w:p>
      <w:pPr>
        <w:pStyle w:val="SmallNote"/>
      </w:pPr>
      <w:r>
        <w:rPr>
          <w:rFonts w:ascii="Aptos" w:hAnsi="Aptos"/>
          <w:b w:val="0"/>
          <w:i w:val="0"/>
          <w:color w:val="404B5A"/>
          <w:sz w:val="17"/>
        </w:rPr>
        <w:t>Unit 3 | LO-5, LO-8, LO-12 | Difficult | Scenario-Based | Error tag: Advertising</w:t>
      </w:r>
    </w:p>
    <w:p>
      <w:pPr>
        <w:pStyle w:val="QuestionStem"/>
      </w:pPr>
      <w:r>
        <w:rPr>
          <w:rFonts w:ascii="Aptos" w:hAnsi="Aptos"/>
          <w:b/>
          <w:i w:val="0"/>
          <w:sz w:val="20"/>
        </w:rPr>
        <w:t>An employer-created directory profile describes an AMFT as a “licensed couples therapist.” The AMFT’s registration number appears, but the required registration title, employer name, and supervised-status statement do not. The AMFT did not write the profile. What is the BEST response?</w:t>
      </w:r>
    </w:p>
    <w:p>
      <w:pPr>
        <w:pStyle w:val="CTAOption"/>
        <w:keepNext/>
        <w:numPr>
          <w:ilvl w:val="0"/>
          <w:numId w:val="509"/>
        </w:numPr>
        <w:spacing w:before="0" w:after="80" w:line="290" w:lineRule="auto"/>
      </w:pPr>
      <w:r>
        <w:rPr>
          <w:rFonts w:ascii="Aptos" w:hAnsi="Aptos"/>
          <w:b w:val="0"/>
          <w:i w:val="0"/>
          <w:sz w:val="20"/>
        </w:rPr>
        <w:t>Leave the profile unchanged because only the employer can be responsible for its wording.</w:t>
      </w:r>
    </w:p>
    <w:p>
      <w:pPr>
        <w:pStyle w:val="CTAOption"/>
        <w:keepNext/>
        <w:numPr>
          <w:ilvl w:val="0"/>
          <w:numId w:val="509"/>
        </w:numPr>
        <w:spacing w:before="0" w:after="80" w:line="290" w:lineRule="auto"/>
      </w:pPr>
      <w:r>
        <w:rPr>
          <w:rFonts w:ascii="Aptos" w:hAnsi="Aptos"/>
          <w:b w:val="0"/>
          <w:i w:val="0"/>
          <w:sz w:val="20"/>
        </w:rPr>
        <w:t>Promptly seek correction, notify the supervisor and employer, and document the response and any client impact.</w:t>
      </w:r>
    </w:p>
    <w:p>
      <w:pPr>
        <w:pStyle w:val="CTAOption"/>
        <w:keepNext/>
        <w:numPr>
          <w:ilvl w:val="0"/>
          <w:numId w:val="509"/>
        </w:numPr>
        <w:spacing w:before="0" w:after="80" w:line="290" w:lineRule="auto"/>
      </w:pPr>
      <w:r>
        <w:rPr>
          <w:rFonts w:ascii="Aptos" w:hAnsi="Aptos"/>
          <w:b w:val="0"/>
          <w:i w:val="0"/>
          <w:sz w:val="20"/>
        </w:rPr>
        <w:t>Add the AMFT’s academic degree, the employer’s name, and the supervisor’s license number while keeping the “licensed” description because the registration number is shown.</w:t>
      </w:r>
    </w:p>
    <w:p>
      <w:pPr>
        <w:pStyle w:val="CTAOption"/>
        <w:keepNext w:val="0"/>
        <w:numPr>
          <w:ilvl w:val="0"/>
          <w:numId w:val="509"/>
        </w:numPr>
        <w:spacing w:before="0" w:after="80" w:line="290" w:lineRule="auto"/>
      </w:pPr>
      <w:r>
        <w:rPr>
          <w:rFonts w:ascii="Aptos" w:hAnsi="Aptos"/>
          <w:b w:val="0"/>
          <w:i w:val="0"/>
          <w:sz w:val="20"/>
        </w:rPr>
        <w:t>Wait for a consumer complaint before making a change.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B. Promptly seek correction, notify the supervisor and employer, and document the response and any client impact.</w:t>
      </w:r>
    </w:p>
    <w:p>
      <w:pPr>
        <w:pStyle w:val="Heading3"/>
      </w:pPr>
      <w:r>
        <w:t>Option-by-Option Rationales</w:t>
      </w:r>
    </w:p>
    <w:p>
      <w:pPr>
        <w:pStyle w:val="CTAOption"/>
        <w:keepNext/>
        <w:numPr>
          <w:ilvl w:val="0"/>
          <w:numId w:val="609"/>
        </w:numPr>
        <w:spacing w:before="0" w:after="100" w:line="290" w:lineRule="auto"/>
      </w:pPr>
      <w:r>
        <w:rPr>
          <w:rFonts w:ascii="Aptos" w:hAnsi="Aptos"/>
          <w:b/>
          <w:i w:val="0"/>
          <w:color w:val="087F78"/>
          <w:sz w:val="20"/>
        </w:rPr>
        <w:t xml:space="preserve">Incorrect. </w:t>
      </w:r>
      <w:r>
        <w:rPr>
          <w:rFonts w:ascii="Aptos" w:hAnsi="Aptos"/>
          <w:b w:val="0"/>
          <w:i w:val="0"/>
          <w:sz w:val="20"/>
        </w:rPr>
        <w:t>Advertising by or on behalf of an AMFT must comply, and the associate should not knowingly permit a false professional representation to continue.</w:t>
      </w:r>
    </w:p>
    <w:p>
      <w:pPr>
        <w:pStyle w:val="CTAOption"/>
        <w:keepNext/>
        <w:numPr>
          <w:ilvl w:val="0"/>
          <w:numId w:val="609"/>
        </w:numPr>
        <w:spacing w:before="0" w:after="100" w:line="290" w:lineRule="auto"/>
      </w:pPr>
      <w:r>
        <w:rPr>
          <w:rFonts w:ascii="Aptos" w:hAnsi="Aptos"/>
          <w:b/>
          <w:i w:val="0"/>
          <w:color w:val="087F78"/>
          <w:sz w:val="20"/>
        </w:rPr>
        <w:t xml:space="preserve">Correct. </w:t>
      </w:r>
      <w:r>
        <w:rPr>
          <w:rFonts w:ascii="Aptos" w:hAnsi="Aptos"/>
          <w:b w:val="0"/>
          <w:i w:val="0"/>
          <w:sz w:val="20"/>
        </w:rPr>
        <w:t>The response stops ongoing public deception, assigns correction to the appropriate workplace and supervisory channels, and preserves an accurate record of the response.</w:t>
      </w:r>
    </w:p>
    <w:p>
      <w:pPr>
        <w:pStyle w:val="CTAOption"/>
        <w:keepNext/>
        <w:numPr>
          <w:ilvl w:val="0"/>
          <w:numId w:val="609"/>
        </w:numPr>
        <w:spacing w:before="0" w:after="100" w:line="290" w:lineRule="auto"/>
      </w:pPr>
      <w:r>
        <w:rPr>
          <w:rFonts w:ascii="Aptos" w:hAnsi="Aptos"/>
          <w:b/>
          <w:i w:val="0"/>
          <w:color w:val="087F78"/>
          <w:sz w:val="20"/>
        </w:rPr>
        <w:t xml:space="preserve">Incorrect. </w:t>
      </w:r>
      <w:r>
        <w:rPr>
          <w:rFonts w:ascii="Aptos" w:hAnsi="Aptos"/>
          <w:b w:val="0"/>
          <w:i w:val="0"/>
          <w:sz w:val="20"/>
        </w:rPr>
        <w:t>An academic degree and registration number do not convert an associate into a licensee or cure the missing required elements.</w:t>
      </w:r>
    </w:p>
    <w:p>
      <w:pPr>
        <w:pStyle w:val="CTAOption"/>
        <w:keepNext w:val="0"/>
        <w:numPr>
          <w:ilvl w:val="0"/>
          <w:numId w:val="609"/>
        </w:numPr>
        <w:spacing w:before="0" w:after="100" w:line="290" w:lineRule="auto"/>
      </w:pPr>
      <w:r>
        <w:rPr>
          <w:rFonts w:ascii="Aptos" w:hAnsi="Aptos"/>
          <w:b/>
          <w:i w:val="0"/>
          <w:color w:val="087F78"/>
          <w:sz w:val="20"/>
        </w:rPr>
        <w:t xml:space="preserve">Incorrect. </w:t>
      </w:r>
      <w:r>
        <w:rPr>
          <w:rFonts w:ascii="Aptos" w:hAnsi="Aptos"/>
          <w:b w:val="0"/>
          <w:i w:val="0"/>
          <w:sz w:val="20"/>
        </w:rPr>
        <w:t>Continued misleading advertising should be corrected promptly; a complaint is not a prerequisite to action.</w:t>
      </w:r>
    </w:p>
    <w:p>
      <w:pPr>
        <w:pStyle w:val="SmallNote"/>
      </w:pPr>
      <w:r>
        <w:rPr>
          <w:rFonts w:ascii="Aptos" w:hAnsi="Aptos"/>
          <w:b/>
          <w:i w:val="0"/>
          <w:color w:val="087F78"/>
          <w:sz w:val="17"/>
        </w:rPr>
        <w:t xml:space="preserve">Primary authority: </w:t>
      </w:r>
      <w:r>
        <w:rPr>
          <w:rFonts w:ascii="Aptos" w:hAnsi="Aptos"/>
          <w:b w:val="0"/>
          <w:i w:val="0"/>
          <w:color w:val="404B5A"/>
          <w:sz w:val="17"/>
        </w:rPr>
        <w:t>BPC §§ 4980.44, 4982; 16 CCR §§ 1811, 1845</w:t>
      </w:r>
    </w:p>
    <w:p>
      <w:pPr>
        <w:pStyle w:val="SmallNote"/>
      </w:pPr>
      <w:r>
        <w:rPr>
          <w:rFonts w:ascii="Aptos" w:hAnsi="Aptos"/>
          <w:b/>
          <w:i w:val="0"/>
          <w:color w:val="087F78"/>
          <w:sz w:val="17"/>
        </w:rPr>
        <w:t xml:space="preserve">Remediation: </w:t>
      </w:r>
      <w:r>
        <w:rPr>
          <w:rFonts w:ascii="Aptos" w:hAnsi="Aptos"/>
          <w:b w:val="0"/>
          <w:i w:val="0"/>
          <w:color w:val="404B5A"/>
          <w:sz w:val="17"/>
        </w:rPr>
        <w:t>Unit 3 — Employer-Created Advertising; Unit 6 — Corrective Action Sequence</w:t>
      </w:r>
    </w:p>
    <w:p>
      <w:pPr>
        <w:pStyle w:val="SmallNote"/>
      </w:pPr>
      <w:r>
        <w:rPr>
          <w:rFonts w:ascii="Aptos" w:hAnsi="Aptos"/>
          <w:b/>
          <w:i w:val="0"/>
          <w:color w:val="087F78"/>
          <w:sz w:val="17"/>
        </w:rPr>
        <w:t xml:space="preserve">Internal control: </w:t>
      </w:r>
      <w:r>
        <w:rPr>
          <w:rFonts w:ascii="Aptos" w:hAnsi="Aptos"/>
          <w:b w:val="0"/>
          <w:i w:val="0"/>
          <w:color w:val="404B5A"/>
          <w:sz w:val="17"/>
        </w:rPr>
        <w:t>CTA-EP-001-LS-010 | Unit 3 | LO-5, LO-8, LO-12 | Difficult | Scenario-Based</w:t>
      </w:r>
    </w:p>
    <w:p>
      <w:r>
        <w:br w:type="page"/>
      </w:r>
    </w:p>
    <w:p>
      <w:pPr>
        <w:pStyle w:val="Heading2"/>
      </w:pPr>
      <w:r>
        <w:t>11. CTA-EP-001-LS-011</w:t>
      </w:r>
    </w:p>
    <w:p>
      <w:pPr>
        <w:pStyle w:val="SmallNote"/>
      </w:pPr>
      <w:r>
        <w:rPr>
          <w:rFonts w:ascii="Aptos" w:hAnsi="Aptos"/>
          <w:b w:val="0"/>
          <w:i w:val="0"/>
          <w:color w:val="404B5A"/>
          <w:sz w:val="17"/>
        </w:rPr>
        <w:t>Unit 4 | LO-7 | Easy | Knowledge/Recognition | Error tag: Supervision</w:t>
      </w:r>
    </w:p>
    <w:p>
      <w:pPr>
        <w:pStyle w:val="QuestionStem"/>
      </w:pPr>
      <w:r>
        <w:rPr>
          <w:rFonts w:ascii="Aptos" w:hAnsi="Aptos"/>
          <w:b/>
          <w:i w:val="0"/>
          <w:sz w:val="20"/>
        </w:rPr>
        <w:t>Under California’s LMFT Practice Act, which statement BEST defines supervision of an AMFT?</w:t>
      </w:r>
    </w:p>
    <w:p>
      <w:pPr>
        <w:pStyle w:val="CTAOption"/>
        <w:keepNext/>
        <w:numPr>
          <w:ilvl w:val="0"/>
          <w:numId w:val="510"/>
        </w:numPr>
        <w:spacing w:before="0" w:after="80" w:line="290" w:lineRule="auto"/>
      </w:pPr>
      <w:r>
        <w:rPr>
          <w:rFonts w:ascii="Aptos" w:hAnsi="Aptos"/>
          <w:b w:val="0"/>
          <w:i w:val="0"/>
          <w:sz w:val="20"/>
        </w:rPr>
        <w:t>Optional advice from any experienced colleague.</w:t>
      </w:r>
    </w:p>
    <w:p>
      <w:pPr>
        <w:pStyle w:val="CTAOption"/>
        <w:keepNext/>
        <w:numPr>
          <w:ilvl w:val="0"/>
          <w:numId w:val="510"/>
        </w:numPr>
        <w:spacing w:before="0" w:after="80" w:line="290" w:lineRule="auto"/>
      </w:pPr>
      <w:r>
        <w:rPr>
          <w:rFonts w:ascii="Aptos" w:hAnsi="Aptos"/>
          <w:b w:val="0"/>
          <w:i w:val="0"/>
          <w:sz w:val="20"/>
        </w:rPr>
        <w:t>Administrative review of productivity without review of clinical services.</w:t>
      </w:r>
    </w:p>
    <w:p>
      <w:pPr>
        <w:pStyle w:val="CTAOption"/>
        <w:keepNext/>
        <w:numPr>
          <w:ilvl w:val="0"/>
          <w:numId w:val="510"/>
        </w:numPr>
        <w:spacing w:before="0" w:after="80" w:line="290" w:lineRule="auto"/>
      </w:pPr>
      <w:r>
        <w:rPr>
          <w:rFonts w:ascii="Aptos" w:hAnsi="Aptos"/>
          <w:b w:val="0"/>
          <w:i w:val="0"/>
          <w:sz w:val="20"/>
        </w:rPr>
        <w:t>Responsibility for and control of the supervisee’s mental-health service quality.</w:t>
      </w:r>
    </w:p>
    <w:p>
      <w:pPr>
        <w:pStyle w:val="CTAOption"/>
        <w:keepNext w:val="0"/>
        <w:numPr>
          <w:ilvl w:val="0"/>
          <w:numId w:val="510"/>
        </w:numPr>
        <w:spacing w:before="0" w:after="80" w:line="290" w:lineRule="auto"/>
      </w:pPr>
      <w:r>
        <w:rPr>
          <w:rFonts w:ascii="Aptos" w:hAnsi="Aptos"/>
          <w:b w:val="0"/>
          <w:i w:val="0"/>
          <w:sz w:val="20"/>
        </w:rPr>
        <w:t>Peer discussion that occurs whenever the AMFT requests it.</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C. Responsibility for and control of the supervisee’s mental-health service quality.</w:t>
      </w:r>
    </w:p>
    <w:p>
      <w:pPr>
        <w:pStyle w:val="Heading3"/>
      </w:pPr>
      <w:r>
        <w:t>Option-by-Option Rationales</w:t>
      </w:r>
    </w:p>
    <w:p>
      <w:pPr>
        <w:pStyle w:val="CTAOption"/>
        <w:keepNext/>
        <w:numPr>
          <w:ilvl w:val="0"/>
          <w:numId w:val="610"/>
        </w:numPr>
        <w:spacing w:before="0" w:after="100" w:line="290" w:lineRule="auto"/>
      </w:pPr>
      <w:r>
        <w:rPr>
          <w:rFonts w:ascii="Aptos" w:hAnsi="Aptos"/>
          <w:b/>
          <w:i w:val="0"/>
          <w:color w:val="087F78"/>
          <w:sz w:val="20"/>
        </w:rPr>
        <w:t xml:space="preserve">Incorrect. </w:t>
      </w:r>
      <w:r>
        <w:rPr>
          <w:rFonts w:ascii="Aptos" w:hAnsi="Aptos"/>
          <w:b w:val="0"/>
          <w:i w:val="0"/>
          <w:sz w:val="20"/>
        </w:rPr>
        <w:t>Helpful consultation is not automatically supervision and does not establish a qualifying supervisory relationship.</w:t>
      </w:r>
    </w:p>
    <w:p>
      <w:pPr>
        <w:pStyle w:val="CTAOption"/>
        <w:keepNext/>
        <w:numPr>
          <w:ilvl w:val="0"/>
          <w:numId w:val="610"/>
        </w:numPr>
        <w:spacing w:before="0" w:after="100" w:line="290" w:lineRule="auto"/>
      </w:pPr>
      <w:r>
        <w:rPr>
          <w:rFonts w:ascii="Aptos" w:hAnsi="Aptos"/>
          <w:b/>
          <w:i w:val="0"/>
          <w:color w:val="087F78"/>
          <w:sz w:val="20"/>
        </w:rPr>
        <w:t xml:space="preserve">Incorrect. </w:t>
      </w:r>
      <w:r>
        <w:rPr>
          <w:rFonts w:ascii="Aptos" w:hAnsi="Aptos"/>
          <w:b w:val="0"/>
          <w:i w:val="0"/>
          <w:sz w:val="20"/>
        </w:rPr>
        <w:t>Supervision includes clinical quality, assessment, diagnosis, treatment decisions, site and clientele, legal compliance, and related professional dynamics—not productivity alone.</w:t>
      </w:r>
    </w:p>
    <w:p>
      <w:pPr>
        <w:pStyle w:val="CTAOption"/>
        <w:keepNext/>
        <w:numPr>
          <w:ilvl w:val="0"/>
          <w:numId w:val="610"/>
        </w:numPr>
        <w:spacing w:before="0" w:after="100" w:line="290" w:lineRule="auto"/>
      </w:pPr>
      <w:r>
        <w:rPr>
          <w:rFonts w:ascii="Aptos" w:hAnsi="Aptos"/>
          <w:b/>
          <w:i w:val="0"/>
          <w:color w:val="087F78"/>
          <w:sz w:val="20"/>
        </w:rPr>
        <w:t xml:space="preserve">Correct. </w:t>
      </w:r>
      <w:r>
        <w:rPr>
          <w:rFonts w:ascii="Aptos" w:hAnsi="Aptos"/>
          <w:b w:val="0"/>
          <w:i w:val="0"/>
          <w:sz w:val="20"/>
        </w:rPr>
        <w:t>California defines supervision as responsibility for and control of service quality and specifies substantive monitoring and feedback duties.</w:t>
      </w:r>
    </w:p>
    <w:p>
      <w:pPr>
        <w:pStyle w:val="CTAOption"/>
        <w:keepNext w:val="0"/>
        <w:numPr>
          <w:ilvl w:val="0"/>
          <w:numId w:val="610"/>
        </w:numPr>
        <w:spacing w:before="0" w:after="100" w:line="290" w:lineRule="auto"/>
      </w:pPr>
      <w:r>
        <w:rPr>
          <w:rFonts w:ascii="Aptos" w:hAnsi="Aptos"/>
          <w:b/>
          <w:i w:val="0"/>
          <w:color w:val="087F78"/>
          <w:sz w:val="20"/>
        </w:rPr>
        <w:t xml:space="preserve">Incorrect. </w:t>
      </w:r>
      <w:r>
        <w:rPr>
          <w:rFonts w:ascii="Aptos" w:hAnsi="Aptos"/>
          <w:b w:val="0"/>
          <w:i w:val="0"/>
          <w:sz w:val="20"/>
        </w:rPr>
        <w:t>The statute expressly distinguishes consultation or peer discussion from supervision.</w:t>
      </w:r>
    </w:p>
    <w:p>
      <w:pPr>
        <w:pStyle w:val="SmallNote"/>
      </w:pPr>
      <w:r>
        <w:rPr>
          <w:rFonts w:ascii="Aptos" w:hAnsi="Aptos"/>
          <w:b/>
          <w:i w:val="0"/>
          <w:color w:val="087F78"/>
          <w:sz w:val="17"/>
        </w:rPr>
        <w:t xml:space="preserve">Primary authority: </w:t>
      </w:r>
      <w:r>
        <w:rPr>
          <w:rFonts w:ascii="Aptos" w:hAnsi="Aptos"/>
          <w:b w:val="0"/>
          <w:i w:val="0"/>
          <w:color w:val="404B5A"/>
          <w:sz w:val="17"/>
        </w:rPr>
        <w:t>BPC § 4980.43.1</w:t>
      </w:r>
    </w:p>
    <w:p>
      <w:pPr>
        <w:pStyle w:val="SmallNote"/>
      </w:pPr>
      <w:r>
        <w:rPr>
          <w:rFonts w:ascii="Aptos" w:hAnsi="Aptos"/>
          <w:b/>
          <w:i w:val="0"/>
          <w:color w:val="087F78"/>
          <w:sz w:val="17"/>
        </w:rPr>
        <w:t xml:space="preserve">Remediation: </w:t>
      </w:r>
      <w:r>
        <w:rPr>
          <w:rFonts w:ascii="Aptos" w:hAnsi="Aptos"/>
          <w:b w:val="0"/>
          <w:i w:val="0"/>
          <w:color w:val="404B5A"/>
          <w:sz w:val="17"/>
        </w:rPr>
        <w:t>Unit 4 — What Supervision Means</w:t>
      </w:r>
    </w:p>
    <w:p>
      <w:pPr>
        <w:pStyle w:val="SmallNote"/>
      </w:pPr>
      <w:r>
        <w:rPr>
          <w:rFonts w:ascii="Aptos" w:hAnsi="Aptos"/>
          <w:b/>
          <w:i w:val="0"/>
          <w:color w:val="087F78"/>
          <w:sz w:val="17"/>
        </w:rPr>
        <w:t xml:space="preserve">Internal control: </w:t>
      </w:r>
      <w:r>
        <w:rPr>
          <w:rFonts w:ascii="Aptos" w:hAnsi="Aptos"/>
          <w:b w:val="0"/>
          <w:i w:val="0"/>
          <w:color w:val="404B5A"/>
          <w:sz w:val="17"/>
        </w:rPr>
        <w:t>CTA-EP-001-LS-011 | Unit 4 | LO-7 | Easy | Knowledge/Recognition</w:t>
      </w:r>
    </w:p>
    <w:p>
      <w:r>
        <w:br w:type="page"/>
      </w:r>
    </w:p>
    <w:p>
      <w:pPr>
        <w:pStyle w:val="Heading2"/>
      </w:pPr>
      <w:r>
        <w:t>12. CTA-EP-001-LS-012</w:t>
      </w:r>
    </w:p>
    <w:p>
      <w:pPr>
        <w:pStyle w:val="SmallNote"/>
      </w:pPr>
      <w:r>
        <w:rPr>
          <w:rFonts w:ascii="Aptos" w:hAnsi="Aptos"/>
          <w:b w:val="0"/>
          <w:i w:val="0"/>
          <w:color w:val="404B5A"/>
          <w:sz w:val="17"/>
        </w:rPr>
        <w:t>Unit 4 | LO-7 | Moderate | Application/Sequencing | Error tag: Supervision</w:t>
      </w:r>
    </w:p>
    <w:p>
      <w:pPr>
        <w:pStyle w:val="QuestionStem"/>
      </w:pPr>
      <w:r>
        <w:rPr>
          <w:rFonts w:ascii="Aptos" w:hAnsi="Aptos"/>
          <w:b/>
          <w:i w:val="0"/>
          <w:sz w:val="20"/>
        </w:rPr>
        <w:t>An AMFT performs 12 hours of direct clinical counseling in one work setting during a week in which experience is claimed. What direct-supervisor-contact requirement applies for that setting?</w:t>
      </w:r>
    </w:p>
    <w:p>
      <w:pPr>
        <w:pStyle w:val="CTAOption"/>
        <w:keepNext/>
        <w:numPr>
          <w:ilvl w:val="0"/>
          <w:numId w:val="511"/>
        </w:numPr>
        <w:spacing w:before="0" w:after="80" w:line="290" w:lineRule="auto"/>
      </w:pPr>
      <w:r>
        <w:rPr>
          <w:rFonts w:ascii="Aptos" w:hAnsi="Aptos"/>
          <w:b w:val="0"/>
          <w:i w:val="0"/>
          <w:sz w:val="20"/>
        </w:rPr>
        <w:t>At least the ordinary weekly hour plus one additional hour of direct supervisor contact for that setting.</w:t>
      </w:r>
    </w:p>
    <w:p>
      <w:pPr>
        <w:pStyle w:val="CTAOption"/>
        <w:keepNext/>
        <w:numPr>
          <w:ilvl w:val="0"/>
          <w:numId w:val="511"/>
        </w:numPr>
        <w:spacing w:before="0" w:after="80" w:line="290" w:lineRule="auto"/>
      </w:pPr>
      <w:r>
        <w:rPr>
          <w:rFonts w:ascii="Aptos" w:hAnsi="Aptos"/>
          <w:b w:val="0"/>
          <w:i w:val="0"/>
          <w:sz w:val="20"/>
        </w:rPr>
        <w:t>Only one hour is required because additional supervision applies only to trainees.</w:t>
      </w:r>
    </w:p>
    <w:p>
      <w:pPr>
        <w:pStyle w:val="CTAOption"/>
        <w:keepNext/>
        <w:numPr>
          <w:ilvl w:val="0"/>
          <w:numId w:val="511"/>
        </w:numPr>
        <w:spacing w:before="0" w:after="80" w:line="290" w:lineRule="auto"/>
      </w:pPr>
      <w:r>
        <w:rPr>
          <w:rFonts w:ascii="Aptos" w:hAnsi="Aptos"/>
          <w:b w:val="0"/>
          <w:i w:val="0"/>
          <w:sz w:val="20"/>
        </w:rPr>
        <w:t>The extra hour may be postponed to the following month if the supervisor documents it.</w:t>
      </w:r>
    </w:p>
    <w:p>
      <w:pPr>
        <w:pStyle w:val="CTAOption"/>
        <w:keepNext w:val="0"/>
        <w:numPr>
          <w:ilvl w:val="0"/>
          <w:numId w:val="511"/>
        </w:numPr>
        <w:spacing w:before="0" w:after="80" w:line="290" w:lineRule="auto"/>
      </w:pPr>
      <w:r>
        <w:rPr>
          <w:rFonts w:ascii="Aptos" w:hAnsi="Aptos"/>
          <w:b w:val="0"/>
          <w:i w:val="0"/>
          <w:sz w:val="20"/>
        </w:rPr>
        <w:t>No direct supervisor contact is required if the AMFT also attends peer consultation.</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A. At least the ordinary weekly hour plus one additional hour of direct supervisor contact for that setting.</w:t>
      </w:r>
    </w:p>
    <w:p>
      <w:pPr>
        <w:pStyle w:val="Heading3"/>
      </w:pPr>
      <w:r>
        <w:t>Option-by-Option Rationales</w:t>
      </w:r>
    </w:p>
    <w:p>
      <w:pPr>
        <w:pStyle w:val="CTAOption"/>
        <w:keepNext/>
        <w:numPr>
          <w:ilvl w:val="0"/>
          <w:numId w:val="611"/>
        </w:numPr>
        <w:spacing w:before="0" w:after="100" w:line="290" w:lineRule="auto"/>
      </w:pPr>
      <w:r>
        <w:rPr>
          <w:rFonts w:ascii="Aptos" w:hAnsi="Aptos"/>
          <w:b/>
          <w:i w:val="0"/>
          <w:color w:val="087F78"/>
          <w:sz w:val="20"/>
        </w:rPr>
        <w:t xml:space="preserve">Correct. </w:t>
      </w:r>
      <w:r>
        <w:rPr>
          <w:rFonts w:ascii="Aptos" w:hAnsi="Aptos"/>
          <w:b w:val="0"/>
          <w:i w:val="0"/>
          <w:sz w:val="20"/>
        </w:rPr>
        <w:t>An associate who performs more than 10 hours of direct clinical counseling in a week in a setting must receive at least one additional hour of direct supervisor contact for that setting, in addition to the weekly minimum.</w:t>
      </w:r>
    </w:p>
    <w:p>
      <w:pPr>
        <w:pStyle w:val="CTAOption"/>
        <w:keepNext/>
        <w:numPr>
          <w:ilvl w:val="0"/>
          <w:numId w:val="611"/>
        </w:numPr>
        <w:spacing w:before="0" w:after="100" w:line="290" w:lineRule="auto"/>
      </w:pPr>
      <w:r>
        <w:rPr>
          <w:rFonts w:ascii="Aptos" w:hAnsi="Aptos"/>
          <w:b/>
          <w:i w:val="0"/>
          <w:color w:val="087F78"/>
          <w:sz w:val="20"/>
        </w:rPr>
        <w:t xml:space="preserve">Incorrect. </w:t>
      </w:r>
      <w:r>
        <w:rPr>
          <w:rFonts w:ascii="Aptos" w:hAnsi="Aptos"/>
          <w:b w:val="0"/>
          <w:i w:val="0"/>
          <w:sz w:val="20"/>
        </w:rPr>
        <w:t>The additional-hour rule expressly applies to an associate who exceeds 10 hours of direct clinical counseling in a week in a setting.</w:t>
      </w:r>
    </w:p>
    <w:p>
      <w:pPr>
        <w:pStyle w:val="CTAOption"/>
        <w:keepNext/>
        <w:numPr>
          <w:ilvl w:val="0"/>
          <w:numId w:val="611"/>
        </w:numPr>
        <w:spacing w:before="0" w:after="100" w:line="290" w:lineRule="auto"/>
      </w:pPr>
      <w:r>
        <w:rPr>
          <w:rFonts w:ascii="Aptos" w:hAnsi="Aptos"/>
          <w:b/>
          <w:i w:val="0"/>
          <w:color w:val="087F78"/>
          <w:sz w:val="20"/>
        </w:rPr>
        <w:t xml:space="preserve">Incorrect. </w:t>
      </w:r>
      <w:r>
        <w:rPr>
          <w:rFonts w:ascii="Aptos" w:hAnsi="Aptos"/>
          <w:b w:val="0"/>
          <w:i w:val="0"/>
          <w:sz w:val="20"/>
        </w:rPr>
        <w:t>Direct supervisor contact must occur within the same week as the hours claimed; later documentation does not move the supervision into that week.</w:t>
      </w:r>
    </w:p>
    <w:p>
      <w:pPr>
        <w:pStyle w:val="CTAOption"/>
        <w:keepNext w:val="0"/>
        <w:numPr>
          <w:ilvl w:val="0"/>
          <w:numId w:val="611"/>
        </w:numPr>
        <w:spacing w:before="0" w:after="100" w:line="290" w:lineRule="auto"/>
      </w:pPr>
      <w:r>
        <w:rPr>
          <w:rFonts w:ascii="Aptos" w:hAnsi="Aptos"/>
          <w:b/>
          <w:i w:val="0"/>
          <w:color w:val="087F78"/>
          <w:sz w:val="20"/>
        </w:rPr>
        <w:t xml:space="preserve">Incorrect. </w:t>
      </w:r>
      <w:r>
        <w:rPr>
          <w:rFonts w:ascii="Aptos" w:hAnsi="Aptos"/>
          <w:b w:val="0"/>
          <w:i w:val="0"/>
          <w:sz w:val="20"/>
        </w:rPr>
        <w:t>Peer consultation does not replace required direct supervisor contact.</w:t>
      </w:r>
    </w:p>
    <w:p>
      <w:pPr>
        <w:pStyle w:val="SmallNote"/>
      </w:pPr>
      <w:r>
        <w:rPr>
          <w:rFonts w:ascii="Aptos" w:hAnsi="Aptos"/>
          <w:b/>
          <w:i w:val="0"/>
          <w:color w:val="087F78"/>
          <w:sz w:val="17"/>
        </w:rPr>
        <w:t xml:space="preserve">Primary authority: </w:t>
      </w:r>
      <w:r>
        <w:rPr>
          <w:rFonts w:ascii="Aptos" w:hAnsi="Aptos"/>
          <w:b w:val="0"/>
          <w:i w:val="0"/>
          <w:color w:val="404B5A"/>
          <w:sz w:val="17"/>
        </w:rPr>
        <w:t>BPC § 4980.43.2(a)(1), (a)(3), and (e)</w:t>
      </w:r>
    </w:p>
    <w:p>
      <w:pPr>
        <w:pStyle w:val="SmallNote"/>
      </w:pPr>
      <w:r>
        <w:rPr>
          <w:rFonts w:ascii="Aptos" w:hAnsi="Aptos"/>
          <w:b/>
          <w:i w:val="0"/>
          <w:color w:val="087F78"/>
          <w:sz w:val="17"/>
        </w:rPr>
        <w:t xml:space="preserve">Remediation: </w:t>
      </w:r>
      <w:r>
        <w:rPr>
          <w:rFonts w:ascii="Aptos" w:hAnsi="Aptos"/>
          <w:b w:val="0"/>
          <w:i w:val="0"/>
          <w:color w:val="404B5A"/>
          <w:sz w:val="17"/>
        </w:rPr>
        <w:t>Unit 4 — Direct Supervisor Contact: High-Yield Distinctions</w:t>
      </w:r>
    </w:p>
    <w:p>
      <w:pPr>
        <w:pStyle w:val="SmallNote"/>
      </w:pPr>
      <w:r>
        <w:rPr>
          <w:rFonts w:ascii="Aptos" w:hAnsi="Aptos"/>
          <w:b/>
          <w:i w:val="0"/>
          <w:color w:val="087F78"/>
          <w:sz w:val="17"/>
        </w:rPr>
        <w:t xml:space="preserve">Internal control: </w:t>
      </w:r>
      <w:r>
        <w:rPr>
          <w:rFonts w:ascii="Aptos" w:hAnsi="Aptos"/>
          <w:b w:val="0"/>
          <w:i w:val="0"/>
          <w:color w:val="404B5A"/>
          <w:sz w:val="17"/>
        </w:rPr>
        <w:t>CTA-EP-001-LS-012 | Unit 4 | LO-7 | Moderate | Application/Sequencing</w:t>
      </w:r>
    </w:p>
    <w:p>
      <w:r>
        <w:br w:type="page"/>
      </w:r>
    </w:p>
    <w:p>
      <w:pPr>
        <w:pStyle w:val="Heading2"/>
      </w:pPr>
      <w:r>
        <w:t>13. CTA-EP-001-LS-013</w:t>
      </w:r>
    </w:p>
    <w:p>
      <w:pPr>
        <w:pStyle w:val="SmallNote"/>
      </w:pPr>
      <w:r>
        <w:rPr>
          <w:rFonts w:ascii="Aptos" w:hAnsi="Aptos"/>
          <w:b w:val="0"/>
          <w:i w:val="0"/>
          <w:color w:val="404B5A"/>
          <w:sz w:val="17"/>
        </w:rPr>
        <w:t>Unit 4 | LO-4, LO-7, LO-12 | Moderate | Application/Sequencing | Error tag: Supervision</w:t>
      </w:r>
    </w:p>
    <w:p>
      <w:pPr>
        <w:pStyle w:val="QuestionStem"/>
      </w:pPr>
      <w:r>
        <w:rPr>
          <w:rFonts w:ascii="Aptos" w:hAnsi="Aptos"/>
          <w:b/>
          <w:i w:val="0"/>
          <w:sz w:val="20"/>
        </w:rPr>
        <w:t>An AMFT faces a nonurgent treatment decision outside the plan already approved in supervision. The regular supervisor is unavailable until tomorrow, and no qualified substitute has been arranged. What should the AMFT do FIRST?</w:t>
      </w:r>
    </w:p>
    <w:p>
      <w:pPr>
        <w:pStyle w:val="CTAOption"/>
        <w:keepNext/>
        <w:numPr>
          <w:ilvl w:val="0"/>
          <w:numId w:val="512"/>
        </w:numPr>
        <w:spacing w:before="0" w:after="80" w:line="290" w:lineRule="auto"/>
      </w:pPr>
      <w:r>
        <w:rPr>
          <w:rFonts w:ascii="Aptos" w:hAnsi="Aptos"/>
          <w:b w:val="0"/>
          <w:i w:val="0"/>
          <w:sz w:val="20"/>
        </w:rPr>
        <w:t>Make the decision independently because temporary unavailability expands the AMFT’s authority.</w:t>
      </w:r>
    </w:p>
    <w:p>
      <w:pPr>
        <w:pStyle w:val="CTAOption"/>
        <w:keepNext/>
        <w:numPr>
          <w:ilvl w:val="0"/>
          <w:numId w:val="512"/>
        </w:numPr>
        <w:spacing w:before="0" w:after="80" w:line="290" w:lineRule="auto"/>
      </w:pPr>
      <w:r>
        <w:rPr>
          <w:rFonts w:ascii="Aptos" w:hAnsi="Aptos"/>
          <w:b w:val="0"/>
          <w:i w:val="0"/>
          <w:sz w:val="20"/>
        </w:rPr>
        <w:t>Defer the uncertain nonurgent action and obtain lawful supervision before changing the treatment plan.</w:t>
      </w:r>
    </w:p>
    <w:p>
      <w:pPr>
        <w:pStyle w:val="CTAOption"/>
        <w:keepNext/>
        <w:numPr>
          <w:ilvl w:val="0"/>
          <w:numId w:val="512"/>
        </w:numPr>
        <w:spacing w:before="0" w:after="80" w:line="290" w:lineRule="auto"/>
      </w:pPr>
      <w:r>
        <w:rPr>
          <w:rFonts w:ascii="Aptos" w:hAnsi="Aptos"/>
          <w:b w:val="0"/>
          <w:i w:val="0"/>
          <w:sz w:val="20"/>
        </w:rPr>
        <w:t>Ask a peer to approve the change and record the conversation as supervision.</w:t>
      </w:r>
    </w:p>
    <w:p>
      <w:pPr>
        <w:pStyle w:val="CTAOption"/>
        <w:keepNext w:val="0"/>
        <w:numPr>
          <w:ilvl w:val="0"/>
          <w:numId w:val="512"/>
        </w:numPr>
        <w:spacing w:before="0" w:after="80" w:line="290" w:lineRule="auto"/>
      </w:pPr>
      <w:r>
        <w:rPr>
          <w:rFonts w:ascii="Aptos" w:hAnsi="Aptos"/>
          <w:b w:val="0"/>
          <w:i w:val="0"/>
          <w:sz w:val="20"/>
        </w:rPr>
        <w:t>End treatment immediately without assessing continuity or available supervisory resources.</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B. Defer the uncertain nonurgent action and obtain lawful supervision before changing the treatment plan.</w:t>
      </w:r>
    </w:p>
    <w:p>
      <w:pPr>
        <w:pStyle w:val="Heading3"/>
      </w:pPr>
      <w:r>
        <w:t>Option-by-Option Rationales</w:t>
      </w:r>
    </w:p>
    <w:p>
      <w:pPr>
        <w:pStyle w:val="CTAOption"/>
        <w:keepNext/>
        <w:numPr>
          <w:ilvl w:val="0"/>
          <w:numId w:val="612"/>
        </w:numPr>
        <w:spacing w:before="0" w:after="100" w:line="290" w:lineRule="auto"/>
      </w:pPr>
      <w:r>
        <w:rPr>
          <w:rFonts w:ascii="Aptos" w:hAnsi="Aptos"/>
          <w:b/>
          <w:i w:val="0"/>
          <w:color w:val="087F78"/>
          <w:sz w:val="20"/>
        </w:rPr>
        <w:t xml:space="preserve">Incorrect. </w:t>
      </w:r>
      <w:r>
        <w:rPr>
          <w:rFonts w:ascii="Aptos" w:hAnsi="Aptos"/>
          <w:b w:val="0"/>
          <w:i w:val="0"/>
          <w:sz w:val="20"/>
        </w:rPr>
        <w:t>A supervisor’s temporary unavailability does not create independent licensure or expand the AMFT’s legal authority.</w:t>
      </w:r>
    </w:p>
    <w:p>
      <w:pPr>
        <w:pStyle w:val="CTAOption"/>
        <w:keepNext/>
        <w:numPr>
          <w:ilvl w:val="0"/>
          <w:numId w:val="612"/>
        </w:numPr>
        <w:spacing w:before="0" w:after="100" w:line="290" w:lineRule="auto"/>
      </w:pPr>
      <w:r>
        <w:rPr>
          <w:rFonts w:ascii="Aptos" w:hAnsi="Aptos"/>
          <w:b/>
          <w:i w:val="0"/>
          <w:color w:val="087F78"/>
          <w:sz w:val="20"/>
        </w:rPr>
        <w:t xml:space="preserve">Correct. </w:t>
      </w:r>
      <w:r>
        <w:rPr>
          <w:rFonts w:ascii="Aptos" w:hAnsi="Aptos"/>
          <w:b w:val="0"/>
          <w:i w:val="0"/>
          <w:sz w:val="20"/>
        </w:rPr>
        <w:t>Because the issue is nonurgent and can safely wait, the appropriate sequence is to defer the uncertain action and obtain required supervision.</w:t>
      </w:r>
    </w:p>
    <w:p>
      <w:pPr>
        <w:pStyle w:val="CTAOption"/>
        <w:keepNext/>
        <w:numPr>
          <w:ilvl w:val="0"/>
          <w:numId w:val="612"/>
        </w:numPr>
        <w:spacing w:before="0" w:after="100" w:line="290" w:lineRule="auto"/>
      </w:pPr>
      <w:r>
        <w:rPr>
          <w:rFonts w:ascii="Aptos" w:hAnsi="Aptos"/>
          <w:b/>
          <w:i w:val="0"/>
          <w:color w:val="087F78"/>
          <w:sz w:val="20"/>
        </w:rPr>
        <w:t xml:space="preserve">Incorrect. </w:t>
      </w:r>
      <w:r>
        <w:rPr>
          <w:rFonts w:ascii="Aptos" w:hAnsi="Aptos"/>
          <w:b w:val="0"/>
          <w:i w:val="0"/>
          <w:sz w:val="20"/>
        </w:rPr>
        <w:t>Peer approval or consultation is not supervision unless the person is a properly arranged qualified substitute who assumes the required role.</w:t>
      </w:r>
    </w:p>
    <w:p>
      <w:pPr>
        <w:pStyle w:val="CTAOption"/>
        <w:keepNext w:val="0"/>
        <w:numPr>
          <w:ilvl w:val="0"/>
          <w:numId w:val="612"/>
        </w:numPr>
        <w:spacing w:before="0" w:after="100" w:line="290" w:lineRule="auto"/>
      </w:pPr>
      <w:r>
        <w:rPr>
          <w:rFonts w:ascii="Aptos" w:hAnsi="Aptos"/>
          <w:b/>
          <w:i w:val="0"/>
          <w:color w:val="087F78"/>
          <w:sz w:val="20"/>
        </w:rPr>
        <w:t xml:space="preserve">Incorrect. </w:t>
      </w:r>
      <w:r>
        <w:rPr>
          <w:rFonts w:ascii="Aptos" w:hAnsi="Aptos"/>
          <w:b w:val="0"/>
          <w:i w:val="0"/>
          <w:sz w:val="20"/>
        </w:rPr>
        <w:t>Abrupt termination is unnecessary and potentially harmful when a short, safe deferral can preserve continuity.</w:t>
      </w:r>
    </w:p>
    <w:p>
      <w:pPr>
        <w:pStyle w:val="SmallNote"/>
      </w:pPr>
      <w:r>
        <w:rPr>
          <w:rFonts w:ascii="Aptos" w:hAnsi="Aptos"/>
          <w:b/>
          <w:i w:val="0"/>
          <w:color w:val="087F78"/>
          <w:sz w:val="17"/>
        </w:rPr>
        <w:t xml:space="preserve">Primary authority: </w:t>
      </w:r>
      <w:r>
        <w:rPr>
          <w:rFonts w:ascii="Aptos" w:hAnsi="Aptos"/>
          <w:b w:val="0"/>
          <w:i w:val="0"/>
          <w:color w:val="404B5A"/>
          <w:sz w:val="17"/>
        </w:rPr>
        <w:t>BPC §§ 4980.43.1–4980.43.2; 16 CCR § 1833.1.5</w:t>
      </w:r>
    </w:p>
    <w:p>
      <w:pPr>
        <w:pStyle w:val="SmallNote"/>
      </w:pPr>
      <w:r>
        <w:rPr>
          <w:rFonts w:ascii="Aptos" w:hAnsi="Aptos"/>
          <w:b/>
          <w:i w:val="0"/>
          <w:color w:val="087F78"/>
          <w:sz w:val="17"/>
        </w:rPr>
        <w:t xml:space="preserve">Remediation: </w:t>
      </w:r>
      <w:r>
        <w:rPr>
          <w:rFonts w:ascii="Aptos" w:hAnsi="Aptos"/>
          <w:b w:val="0"/>
          <w:i w:val="0"/>
          <w:color w:val="404B5A"/>
          <w:sz w:val="17"/>
        </w:rPr>
        <w:t>Unit 4 — When Supervision Is Unavailable</w:t>
      </w:r>
    </w:p>
    <w:p>
      <w:pPr>
        <w:pStyle w:val="SmallNote"/>
      </w:pPr>
      <w:r>
        <w:rPr>
          <w:rFonts w:ascii="Aptos" w:hAnsi="Aptos"/>
          <w:b/>
          <w:i w:val="0"/>
          <w:color w:val="087F78"/>
          <w:sz w:val="17"/>
        </w:rPr>
        <w:t xml:space="preserve">Internal control: </w:t>
      </w:r>
      <w:r>
        <w:rPr>
          <w:rFonts w:ascii="Aptos" w:hAnsi="Aptos"/>
          <w:b w:val="0"/>
          <w:i w:val="0"/>
          <w:color w:val="404B5A"/>
          <w:sz w:val="17"/>
        </w:rPr>
        <w:t>CTA-EP-001-LS-013 | Unit 4 | LO-4, LO-7, LO-12 | Moderate | Application/Sequencing</w:t>
      </w:r>
    </w:p>
    <w:p>
      <w:r>
        <w:br w:type="page"/>
      </w:r>
    </w:p>
    <w:p>
      <w:pPr>
        <w:pStyle w:val="Heading2"/>
      </w:pPr>
      <w:r>
        <w:t>14. CTA-EP-001-LS-014</w:t>
      </w:r>
    </w:p>
    <w:p>
      <w:pPr>
        <w:pStyle w:val="SmallNote"/>
      </w:pPr>
      <w:r>
        <w:rPr>
          <w:rFonts w:ascii="Aptos" w:hAnsi="Aptos"/>
          <w:b w:val="0"/>
          <w:i w:val="0"/>
          <w:color w:val="404B5A"/>
          <w:sz w:val="17"/>
        </w:rPr>
        <w:t>Unit 4 | LO-4, LO-7, LO-12 | Difficult | Scenario-Based | Error tag: Supervision</w:t>
      </w:r>
    </w:p>
    <w:p>
      <w:pPr>
        <w:pStyle w:val="QuestionStem"/>
      </w:pPr>
      <w:r>
        <w:rPr>
          <w:rFonts w:ascii="Aptos" w:hAnsi="Aptos"/>
          <w:b/>
          <w:i w:val="0"/>
          <w:sz w:val="20"/>
        </w:rPr>
        <w:t>A supervisor instructs an AMFT to continue a specialized intervention despite the AMFT’s lack of training and a client’s worsening symptoms. The client is not in immediate life-threatening danger. What is the BEST next step?</w:t>
      </w:r>
    </w:p>
    <w:p>
      <w:pPr>
        <w:pStyle w:val="CTAOption"/>
        <w:keepNext/>
        <w:numPr>
          <w:ilvl w:val="0"/>
          <w:numId w:val="513"/>
        </w:numPr>
        <w:spacing w:before="0" w:after="80" w:line="290" w:lineRule="auto"/>
      </w:pPr>
      <w:r>
        <w:rPr>
          <w:rFonts w:ascii="Aptos" w:hAnsi="Aptos"/>
          <w:b w:val="0"/>
          <w:i w:val="0"/>
          <w:sz w:val="20"/>
        </w:rPr>
        <w:t>Continue because supervisor approval eliminates competence concerns.</w:t>
      </w:r>
    </w:p>
    <w:p>
      <w:pPr>
        <w:pStyle w:val="CTAOption"/>
        <w:keepNext/>
        <w:numPr>
          <w:ilvl w:val="0"/>
          <w:numId w:val="513"/>
        </w:numPr>
        <w:spacing w:before="0" w:after="80" w:line="290" w:lineRule="auto"/>
      </w:pPr>
      <w:r>
        <w:rPr>
          <w:rFonts w:ascii="Aptos" w:hAnsi="Aptos"/>
          <w:b w:val="0"/>
          <w:i w:val="0"/>
          <w:sz w:val="20"/>
        </w:rPr>
        <w:t>Obtain a broader client waiver, document the supervisor’s instruction, and continue the intervention while monitoring until actual harm can be demonstrated.</w:t>
      </w:r>
    </w:p>
    <w:p>
      <w:pPr>
        <w:pStyle w:val="CTAOption"/>
        <w:keepNext/>
        <w:numPr>
          <w:ilvl w:val="0"/>
          <w:numId w:val="513"/>
        </w:numPr>
        <w:spacing w:before="0" w:after="80" w:line="290" w:lineRule="auto"/>
      </w:pPr>
      <w:r>
        <w:rPr>
          <w:rFonts w:ascii="Aptos" w:hAnsi="Aptos"/>
          <w:b w:val="0"/>
          <w:i w:val="0"/>
          <w:sz w:val="20"/>
        </w:rPr>
        <w:t>Stop all services immediately, notify the client by message, and close the case without arranging continuity because the symptoms have worsened.</w:t>
      </w:r>
    </w:p>
    <w:p>
      <w:pPr>
        <w:pStyle w:val="CTAOption"/>
        <w:keepNext w:val="0"/>
        <w:numPr>
          <w:ilvl w:val="0"/>
          <w:numId w:val="513"/>
        </w:numPr>
        <w:spacing w:before="0" w:after="80" w:line="290" w:lineRule="auto"/>
      </w:pPr>
      <w:r>
        <w:rPr>
          <w:rFonts w:ascii="Aptos" w:hAnsi="Aptos"/>
          <w:b w:val="0"/>
          <w:i w:val="0"/>
          <w:sz w:val="20"/>
        </w:rPr>
        <w:t>Pause the unsupported intervention, reassess the client, obtain qualified help, arrange competent continuity, and document the response.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D. Pause the unsupported intervention, reassess the client, obtain qualified help, arrange competent continuity, and document the response.</w:t>
      </w:r>
    </w:p>
    <w:p>
      <w:pPr>
        <w:pStyle w:val="Heading3"/>
      </w:pPr>
      <w:r>
        <w:t>Option-by-Option Rationales</w:t>
      </w:r>
    </w:p>
    <w:p>
      <w:pPr>
        <w:pStyle w:val="CTAOption"/>
        <w:keepNext/>
        <w:numPr>
          <w:ilvl w:val="0"/>
          <w:numId w:val="613"/>
        </w:numPr>
        <w:spacing w:before="0" w:after="100" w:line="290" w:lineRule="auto"/>
      </w:pPr>
      <w:r>
        <w:rPr>
          <w:rFonts w:ascii="Aptos" w:hAnsi="Aptos"/>
          <w:b/>
          <w:i w:val="0"/>
          <w:color w:val="087F78"/>
          <w:sz w:val="20"/>
        </w:rPr>
        <w:t xml:space="preserve">Incorrect. </w:t>
      </w:r>
      <w:r>
        <w:rPr>
          <w:rFonts w:ascii="Aptos" w:hAnsi="Aptos"/>
          <w:b w:val="0"/>
          <w:i w:val="0"/>
          <w:sz w:val="20"/>
        </w:rPr>
        <w:t>A supervisor cannot create competence or make an unsafe intervention professionally supportable merely by directing it.</w:t>
      </w:r>
    </w:p>
    <w:p>
      <w:pPr>
        <w:pStyle w:val="CTAOption"/>
        <w:keepNext/>
        <w:numPr>
          <w:ilvl w:val="0"/>
          <w:numId w:val="613"/>
        </w:numPr>
        <w:spacing w:before="0" w:after="100" w:line="290" w:lineRule="auto"/>
      </w:pPr>
      <w:r>
        <w:rPr>
          <w:rFonts w:ascii="Aptos" w:hAnsi="Aptos"/>
          <w:b/>
          <w:i w:val="0"/>
          <w:color w:val="087F78"/>
          <w:sz w:val="20"/>
        </w:rPr>
        <w:t xml:space="preserve">Incorrect. </w:t>
      </w:r>
      <w:r>
        <w:rPr>
          <w:rFonts w:ascii="Aptos" w:hAnsi="Aptos"/>
          <w:b w:val="0"/>
          <w:i w:val="0"/>
          <w:sz w:val="20"/>
        </w:rPr>
        <w:t>A waiver cannot authorize incompetent care or justify waiting for injury.</w:t>
      </w:r>
    </w:p>
    <w:p>
      <w:pPr>
        <w:pStyle w:val="CTAOption"/>
        <w:keepNext/>
        <w:numPr>
          <w:ilvl w:val="0"/>
          <w:numId w:val="613"/>
        </w:numPr>
        <w:spacing w:before="0" w:after="100" w:line="290" w:lineRule="auto"/>
      </w:pPr>
      <w:r>
        <w:rPr>
          <w:rFonts w:ascii="Aptos" w:hAnsi="Aptos"/>
          <w:b/>
          <w:i w:val="0"/>
          <w:color w:val="087F78"/>
          <w:sz w:val="20"/>
        </w:rPr>
        <w:t xml:space="preserve">Incorrect. </w:t>
      </w:r>
      <w:r>
        <w:rPr>
          <w:rFonts w:ascii="Aptos" w:hAnsi="Aptos"/>
          <w:b w:val="0"/>
          <w:i w:val="0"/>
          <w:sz w:val="20"/>
        </w:rPr>
        <w:t>Ending all services without continuity planning may create additional harm and is more disruptive than the facts require.</w:t>
      </w:r>
    </w:p>
    <w:p>
      <w:pPr>
        <w:pStyle w:val="CTAOption"/>
        <w:keepNext w:val="0"/>
        <w:numPr>
          <w:ilvl w:val="0"/>
          <w:numId w:val="613"/>
        </w:numPr>
        <w:spacing w:before="0" w:after="100" w:line="290" w:lineRule="auto"/>
      </w:pPr>
      <w:r>
        <w:rPr>
          <w:rFonts w:ascii="Aptos" w:hAnsi="Aptos"/>
          <w:b/>
          <w:i w:val="0"/>
          <w:color w:val="087F78"/>
          <w:sz w:val="20"/>
        </w:rPr>
        <w:t xml:space="preserve">Correct. </w:t>
      </w:r>
      <w:r>
        <w:rPr>
          <w:rFonts w:ascii="Aptos" w:hAnsi="Aptos"/>
          <w:b w:val="0"/>
          <w:i w:val="0"/>
          <w:sz w:val="20"/>
        </w:rPr>
        <w:t>The response addresses competence, deterioration, supervision, client protection, proportionality, continuity, and documentation without treating the supervisor’s instruction as a complete defense.</w:t>
      </w:r>
    </w:p>
    <w:p>
      <w:pPr>
        <w:pStyle w:val="SmallNote"/>
      </w:pPr>
      <w:r>
        <w:rPr>
          <w:rFonts w:ascii="Aptos" w:hAnsi="Aptos"/>
          <w:b/>
          <w:i w:val="0"/>
          <w:color w:val="087F78"/>
          <w:sz w:val="17"/>
        </w:rPr>
        <w:t xml:space="preserve">Primary authority: </w:t>
      </w:r>
      <w:r>
        <w:rPr>
          <w:rFonts w:ascii="Aptos" w:hAnsi="Aptos"/>
          <w:b w:val="0"/>
          <w:i w:val="0"/>
          <w:color w:val="404B5A"/>
          <w:sz w:val="17"/>
        </w:rPr>
        <w:t>BPC § 4980.43.1; 16 CCR §§ 1833–1834; BPC § 4982</w:t>
      </w:r>
    </w:p>
    <w:p>
      <w:pPr>
        <w:pStyle w:val="SmallNote"/>
      </w:pPr>
      <w:r>
        <w:rPr>
          <w:rFonts w:ascii="Aptos" w:hAnsi="Aptos"/>
          <w:b/>
          <w:i w:val="0"/>
          <w:color w:val="087F78"/>
          <w:sz w:val="17"/>
        </w:rPr>
        <w:t xml:space="preserve">Remediation: </w:t>
      </w:r>
      <w:r>
        <w:rPr>
          <w:rFonts w:ascii="Aptos" w:hAnsi="Aptos"/>
          <w:b w:val="0"/>
          <w:i w:val="0"/>
          <w:color w:val="404B5A"/>
          <w:sz w:val="17"/>
        </w:rPr>
        <w:t>Unit 4 — Supervisor and Supervisee Responsibilities</w:t>
      </w:r>
    </w:p>
    <w:p>
      <w:pPr>
        <w:pStyle w:val="SmallNote"/>
      </w:pPr>
      <w:r>
        <w:rPr>
          <w:rFonts w:ascii="Aptos" w:hAnsi="Aptos"/>
          <w:b/>
          <w:i w:val="0"/>
          <w:color w:val="087F78"/>
          <w:sz w:val="17"/>
        </w:rPr>
        <w:t xml:space="preserve">Internal control: </w:t>
      </w:r>
      <w:r>
        <w:rPr>
          <w:rFonts w:ascii="Aptos" w:hAnsi="Aptos"/>
          <w:b w:val="0"/>
          <w:i w:val="0"/>
          <w:color w:val="404B5A"/>
          <w:sz w:val="17"/>
        </w:rPr>
        <w:t>CTA-EP-001-LS-014 | Unit 4 | LO-4, LO-7, LO-12 | Difficult | Scenario-Based</w:t>
      </w:r>
    </w:p>
    <w:p>
      <w:r>
        <w:br w:type="page"/>
      </w:r>
    </w:p>
    <w:p>
      <w:pPr>
        <w:pStyle w:val="Heading2"/>
      </w:pPr>
      <w:r>
        <w:t>15. CTA-EP-001-LS-015</w:t>
      </w:r>
    </w:p>
    <w:p>
      <w:pPr>
        <w:pStyle w:val="SmallNote"/>
      </w:pPr>
      <w:r>
        <w:rPr>
          <w:rFonts w:ascii="Aptos" w:hAnsi="Aptos"/>
          <w:b w:val="0"/>
          <w:i w:val="0"/>
          <w:color w:val="404B5A"/>
          <w:sz w:val="17"/>
        </w:rPr>
        <w:t>Unit 5 | LO-4, LO-6 | Easy | Application/Sequencing | Error tag: Setting</w:t>
      </w:r>
    </w:p>
    <w:p>
      <w:pPr>
        <w:pStyle w:val="QuestionStem"/>
      </w:pPr>
      <w:r>
        <w:rPr>
          <w:rFonts w:ascii="Aptos" w:hAnsi="Aptos"/>
          <w:b/>
          <w:i w:val="0"/>
          <w:sz w:val="20"/>
        </w:rPr>
        <w:t>In a lawful work setting, an AMFT may perform mental-health and related services in which work relationship?</w:t>
      </w:r>
    </w:p>
    <w:p>
      <w:pPr>
        <w:pStyle w:val="CTAOption"/>
        <w:keepNext/>
        <w:numPr>
          <w:ilvl w:val="0"/>
          <w:numId w:val="514"/>
        </w:numPr>
        <w:spacing w:before="0" w:after="80" w:line="290" w:lineRule="auto"/>
      </w:pPr>
      <w:r>
        <w:rPr>
          <w:rFonts w:ascii="Aptos" w:hAnsi="Aptos"/>
          <w:b w:val="0"/>
          <w:i w:val="0"/>
          <w:sz w:val="20"/>
        </w:rPr>
        <w:t>As an independent contractor if the contract includes weekly supervision.</w:t>
      </w:r>
    </w:p>
    <w:p>
      <w:pPr>
        <w:pStyle w:val="CTAOption"/>
        <w:keepNext/>
        <w:numPr>
          <w:ilvl w:val="0"/>
          <w:numId w:val="514"/>
        </w:numPr>
        <w:spacing w:before="0" w:after="80" w:line="290" w:lineRule="auto"/>
      </w:pPr>
      <w:r>
        <w:rPr>
          <w:rFonts w:ascii="Aptos" w:hAnsi="Aptos"/>
          <w:b w:val="0"/>
          <w:i w:val="0"/>
          <w:sz w:val="20"/>
        </w:rPr>
        <w:t>As a self-employed practitioner who invoices clients directly.</w:t>
      </w:r>
    </w:p>
    <w:p>
      <w:pPr>
        <w:pStyle w:val="CTAOption"/>
        <w:keepNext/>
        <w:numPr>
          <w:ilvl w:val="0"/>
          <w:numId w:val="514"/>
        </w:numPr>
        <w:spacing w:before="0" w:after="80" w:line="290" w:lineRule="auto"/>
      </w:pPr>
      <w:r>
        <w:rPr>
          <w:rFonts w:ascii="Aptos" w:hAnsi="Aptos"/>
          <w:b w:val="0"/>
          <w:i w:val="0"/>
          <w:sz w:val="20"/>
        </w:rPr>
        <w:t>As an employee or a genuine volunteer under required supervision.</w:t>
      </w:r>
    </w:p>
    <w:p>
      <w:pPr>
        <w:pStyle w:val="CTAOption"/>
        <w:keepNext w:val="0"/>
        <w:numPr>
          <w:ilvl w:val="0"/>
          <w:numId w:val="514"/>
        </w:numPr>
        <w:spacing w:before="0" w:after="80" w:line="290" w:lineRule="auto"/>
      </w:pPr>
      <w:r>
        <w:rPr>
          <w:rFonts w:ascii="Aptos" w:hAnsi="Aptos"/>
          <w:b w:val="0"/>
          <w:i w:val="0"/>
          <w:sz w:val="20"/>
        </w:rPr>
        <w:t>As a business partner of the employer if the ownership share is small.</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C. As an employee or a genuine volunteer under required supervision.</w:t>
      </w:r>
    </w:p>
    <w:p>
      <w:pPr>
        <w:pStyle w:val="Heading3"/>
      </w:pPr>
      <w:r>
        <w:t>Option-by-Option Rationales</w:t>
      </w:r>
    </w:p>
    <w:p>
      <w:pPr>
        <w:pStyle w:val="CTAOption"/>
        <w:keepNext/>
        <w:numPr>
          <w:ilvl w:val="0"/>
          <w:numId w:val="614"/>
        </w:numPr>
        <w:spacing w:before="0" w:after="100" w:line="290" w:lineRule="auto"/>
      </w:pPr>
      <w:r>
        <w:rPr>
          <w:rFonts w:ascii="Aptos" w:hAnsi="Aptos"/>
          <w:b/>
          <w:i w:val="0"/>
          <w:color w:val="087F78"/>
          <w:sz w:val="20"/>
        </w:rPr>
        <w:t xml:space="preserve">Incorrect. </w:t>
      </w:r>
      <w:r>
        <w:rPr>
          <w:rFonts w:ascii="Aptos" w:hAnsi="Aptos"/>
          <w:b w:val="0"/>
          <w:i w:val="0"/>
          <w:sz w:val="20"/>
        </w:rPr>
        <w:t>Supervision does not cure the statutory prohibition on performing LMFT-scope services as an independent contractor.</w:t>
      </w:r>
    </w:p>
    <w:p>
      <w:pPr>
        <w:pStyle w:val="CTAOption"/>
        <w:keepNext/>
        <w:numPr>
          <w:ilvl w:val="0"/>
          <w:numId w:val="614"/>
        </w:numPr>
        <w:spacing w:before="0" w:after="100" w:line="290" w:lineRule="auto"/>
      </w:pPr>
      <w:r>
        <w:rPr>
          <w:rFonts w:ascii="Aptos" w:hAnsi="Aptos"/>
          <w:b/>
          <w:i w:val="0"/>
          <w:color w:val="087F78"/>
          <w:sz w:val="20"/>
        </w:rPr>
        <w:t xml:space="preserve">Incorrect. </w:t>
      </w:r>
      <w:r>
        <w:rPr>
          <w:rFonts w:ascii="Aptos" w:hAnsi="Aptos"/>
          <w:b w:val="0"/>
          <w:i w:val="0"/>
          <w:sz w:val="20"/>
        </w:rPr>
        <w:t>A registered associate may not practice independently or receive remuneration directly from clients.</w:t>
      </w:r>
    </w:p>
    <w:p>
      <w:pPr>
        <w:pStyle w:val="CTAOption"/>
        <w:keepNext/>
        <w:numPr>
          <w:ilvl w:val="0"/>
          <w:numId w:val="614"/>
        </w:numPr>
        <w:spacing w:before="0" w:after="100" w:line="290" w:lineRule="auto"/>
      </w:pPr>
      <w:r>
        <w:rPr>
          <w:rFonts w:ascii="Aptos" w:hAnsi="Aptos"/>
          <w:b/>
          <w:i w:val="0"/>
          <w:color w:val="087F78"/>
          <w:sz w:val="20"/>
        </w:rPr>
        <w:t xml:space="preserve">Correct. </w:t>
      </w:r>
      <w:r>
        <w:rPr>
          <w:rFonts w:ascii="Aptos" w:hAnsi="Aptos"/>
          <w:b w:val="0"/>
          <w:i w:val="0"/>
          <w:sz w:val="20"/>
        </w:rPr>
        <w:t>California permits a trainee, associate, or applicant for licensure to perform services as an employee or volunteer, subject to all other setting and supervision requirements.</w:t>
      </w:r>
    </w:p>
    <w:p>
      <w:pPr>
        <w:pStyle w:val="CTAOption"/>
        <w:keepNext w:val="0"/>
        <w:numPr>
          <w:ilvl w:val="0"/>
          <w:numId w:val="614"/>
        </w:numPr>
        <w:spacing w:before="0" w:after="100" w:line="290" w:lineRule="auto"/>
      </w:pPr>
      <w:r>
        <w:rPr>
          <w:rFonts w:ascii="Aptos" w:hAnsi="Aptos"/>
          <w:b/>
          <w:i w:val="0"/>
          <w:color w:val="087F78"/>
          <w:sz w:val="20"/>
        </w:rPr>
        <w:t xml:space="preserve">Incorrect. </w:t>
      </w:r>
      <w:r>
        <w:rPr>
          <w:rFonts w:ascii="Aptos" w:hAnsi="Aptos"/>
          <w:b w:val="0"/>
          <w:i w:val="0"/>
          <w:sz w:val="20"/>
        </w:rPr>
        <w:t>The associate may not hold a proprietary interest in the employer’s business.</w:t>
      </w:r>
    </w:p>
    <w:p>
      <w:pPr>
        <w:pStyle w:val="SmallNote"/>
      </w:pPr>
      <w:r>
        <w:rPr>
          <w:rFonts w:ascii="Aptos" w:hAnsi="Aptos"/>
          <w:b/>
          <w:i w:val="0"/>
          <w:color w:val="087F78"/>
          <w:sz w:val="17"/>
        </w:rPr>
        <w:t xml:space="preserve">Primary authority: </w:t>
      </w:r>
      <w:r>
        <w:rPr>
          <w:rFonts w:ascii="Aptos" w:hAnsi="Aptos"/>
          <w:b w:val="0"/>
          <w:i w:val="0"/>
          <w:color w:val="404B5A"/>
          <w:sz w:val="17"/>
        </w:rPr>
        <w:t>BPC § 4980.43.3(a), (e), and (f)</w:t>
      </w:r>
    </w:p>
    <w:p>
      <w:pPr>
        <w:pStyle w:val="SmallNote"/>
      </w:pPr>
      <w:r>
        <w:rPr>
          <w:rFonts w:ascii="Aptos" w:hAnsi="Aptos"/>
          <w:b/>
          <w:i w:val="0"/>
          <w:color w:val="087F78"/>
          <w:sz w:val="17"/>
        </w:rPr>
        <w:t xml:space="preserve">Remediation: </w:t>
      </w:r>
      <w:r>
        <w:rPr>
          <w:rFonts w:ascii="Aptos" w:hAnsi="Aptos"/>
          <w:b w:val="0"/>
          <w:i w:val="0"/>
          <w:color w:val="404B5A"/>
          <w:sz w:val="17"/>
        </w:rPr>
        <w:t>Unit 5 — Employee or Volunteer—Not Independent Contractor</w:t>
      </w:r>
    </w:p>
    <w:p>
      <w:pPr>
        <w:pStyle w:val="SmallNote"/>
      </w:pPr>
      <w:r>
        <w:rPr>
          <w:rFonts w:ascii="Aptos" w:hAnsi="Aptos"/>
          <w:b/>
          <w:i w:val="0"/>
          <w:color w:val="087F78"/>
          <w:sz w:val="17"/>
        </w:rPr>
        <w:t xml:space="preserve">Internal control: </w:t>
      </w:r>
      <w:r>
        <w:rPr>
          <w:rFonts w:ascii="Aptos" w:hAnsi="Aptos"/>
          <w:b w:val="0"/>
          <w:i w:val="0"/>
          <w:color w:val="404B5A"/>
          <w:sz w:val="17"/>
        </w:rPr>
        <w:t>CTA-EP-001-LS-015 | Unit 5 | LO-4, LO-6 | Easy | Application/Sequencing</w:t>
      </w:r>
    </w:p>
    <w:p>
      <w:r>
        <w:br w:type="page"/>
      </w:r>
    </w:p>
    <w:p>
      <w:pPr>
        <w:pStyle w:val="Heading2"/>
      </w:pPr>
      <w:r>
        <w:t>16. CTA-EP-001-LS-016</w:t>
      </w:r>
    </w:p>
    <w:p>
      <w:pPr>
        <w:pStyle w:val="SmallNote"/>
      </w:pPr>
      <w:r>
        <w:rPr>
          <w:rFonts w:ascii="Aptos" w:hAnsi="Aptos"/>
          <w:b w:val="0"/>
          <w:i w:val="0"/>
          <w:color w:val="404B5A"/>
          <w:sz w:val="17"/>
        </w:rPr>
        <w:t>Unit 5 | LO-6, LO-8 | Moderate | Application/Sequencing | Error tag: Setting</w:t>
      </w:r>
    </w:p>
    <w:p>
      <w:pPr>
        <w:pStyle w:val="QuestionStem"/>
      </w:pPr>
      <w:r>
        <w:rPr>
          <w:rFonts w:ascii="Aptos" w:hAnsi="Aptos"/>
          <w:b/>
          <w:i w:val="0"/>
          <w:sz w:val="20"/>
        </w:rPr>
        <w:t>A private-practice owner offers an AMFT a W-2 position but requires the AMFT to collect payment directly from clients and pay the practice a monthly room-and-marketing fee. Weekly supervision will be provided. What is the BEST response?</w:t>
      </w:r>
    </w:p>
    <w:p>
      <w:pPr>
        <w:pStyle w:val="CTAOption"/>
        <w:keepNext/>
        <w:numPr>
          <w:ilvl w:val="0"/>
          <w:numId w:val="515"/>
        </w:numPr>
        <w:spacing w:before="0" w:after="80" w:line="290" w:lineRule="auto"/>
      </w:pPr>
      <w:r>
        <w:rPr>
          <w:rFonts w:ascii="Aptos" w:hAnsi="Aptos"/>
          <w:b w:val="0"/>
          <w:i w:val="0"/>
          <w:sz w:val="20"/>
        </w:rPr>
        <w:t>Decline or correct the arrangement because direct client payment and employer-business charges remain prohibited despite the W-2 and supervision.</w:t>
      </w:r>
    </w:p>
    <w:p>
      <w:pPr>
        <w:pStyle w:val="CTAOption"/>
        <w:keepNext/>
        <w:numPr>
          <w:ilvl w:val="0"/>
          <w:numId w:val="515"/>
        </w:numPr>
        <w:spacing w:before="0" w:after="80" w:line="290" w:lineRule="auto"/>
      </w:pPr>
      <w:r>
        <w:rPr>
          <w:rFonts w:ascii="Aptos" w:hAnsi="Aptos"/>
          <w:b w:val="0"/>
          <w:i w:val="0"/>
          <w:sz w:val="20"/>
        </w:rPr>
        <w:t>Accept because a W-2 automatically makes every payment and business arrangement lawful when the employer also controls scheduling, records, and supervision.</w:t>
      </w:r>
    </w:p>
    <w:p>
      <w:pPr>
        <w:pStyle w:val="CTAOption"/>
        <w:keepNext/>
        <w:numPr>
          <w:ilvl w:val="0"/>
          <w:numId w:val="515"/>
        </w:numPr>
        <w:spacing w:before="0" w:after="80" w:line="290" w:lineRule="auto"/>
      </w:pPr>
      <w:r>
        <w:rPr>
          <w:rFonts w:ascii="Aptos" w:hAnsi="Aptos"/>
          <w:b w:val="0"/>
          <w:i w:val="0"/>
          <w:sz w:val="20"/>
        </w:rPr>
        <w:t>Accept if clients consent in writing to paying the AMFT directly.</w:t>
      </w:r>
    </w:p>
    <w:p>
      <w:pPr>
        <w:pStyle w:val="CTAOption"/>
        <w:keepNext w:val="0"/>
        <w:numPr>
          <w:ilvl w:val="0"/>
          <w:numId w:val="515"/>
        </w:numPr>
        <w:spacing w:before="0" w:after="80" w:line="290" w:lineRule="auto"/>
      </w:pPr>
      <w:r>
        <w:rPr>
          <w:rFonts w:ascii="Aptos" w:hAnsi="Aptos"/>
          <w:b w:val="0"/>
          <w:i w:val="0"/>
          <w:sz w:val="20"/>
        </w:rPr>
        <w:t>Accept the room fee but not the marketing fee because space charges are customary employment expenses and only advertising costs create a prohibited business interest.</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A. Decline or correct the arrangement because direct client payment and employer-business charges remain prohibited despite the W-2 and supervision.</w:t>
      </w:r>
    </w:p>
    <w:p>
      <w:pPr>
        <w:pStyle w:val="Heading3"/>
      </w:pPr>
      <w:r>
        <w:t>Option-by-Option Rationales</w:t>
      </w:r>
    </w:p>
    <w:p>
      <w:pPr>
        <w:pStyle w:val="CTAOption"/>
        <w:keepNext/>
        <w:numPr>
          <w:ilvl w:val="0"/>
          <w:numId w:val="615"/>
        </w:numPr>
        <w:spacing w:before="0" w:after="100" w:line="290" w:lineRule="auto"/>
      </w:pPr>
      <w:r>
        <w:rPr>
          <w:rFonts w:ascii="Aptos" w:hAnsi="Aptos"/>
          <w:b/>
          <w:i w:val="0"/>
          <w:color w:val="087F78"/>
          <w:sz w:val="20"/>
        </w:rPr>
        <w:t xml:space="preserve">Correct. </w:t>
      </w:r>
      <w:r>
        <w:rPr>
          <w:rFonts w:ascii="Aptos" w:hAnsi="Aptos"/>
          <w:b w:val="0"/>
          <w:i w:val="0"/>
          <w:sz w:val="20"/>
        </w:rPr>
        <w:t>The actual arrangement—not merely the W-2 label—controls. An associate may not receive client remuneration or pay rent, furnishings, supplies, or other employer obligations.</w:t>
      </w:r>
    </w:p>
    <w:p>
      <w:pPr>
        <w:pStyle w:val="CTAOption"/>
        <w:keepNext/>
        <w:numPr>
          <w:ilvl w:val="0"/>
          <w:numId w:val="615"/>
        </w:numPr>
        <w:spacing w:before="0" w:after="100" w:line="290" w:lineRule="auto"/>
      </w:pPr>
      <w:r>
        <w:rPr>
          <w:rFonts w:ascii="Aptos" w:hAnsi="Aptos"/>
          <w:b/>
          <w:i w:val="0"/>
          <w:color w:val="087F78"/>
          <w:sz w:val="20"/>
        </w:rPr>
        <w:t xml:space="preserve">Incorrect. </w:t>
      </w:r>
      <w:r>
        <w:rPr>
          <w:rFonts w:ascii="Aptos" w:hAnsi="Aptos"/>
          <w:b w:val="0"/>
          <w:i w:val="0"/>
          <w:sz w:val="20"/>
        </w:rPr>
        <w:t>W-2 status is relevant but does not erase separate payment and proprietary-interest restrictions.</w:t>
      </w:r>
    </w:p>
    <w:p>
      <w:pPr>
        <w:pStyle w:val="CTAOption"/>
        <w:keepNext/>
        <w:numPr>
          <w:ilvl w:val="0"/>
          <w:numId w:val="615"/>
        </w:numPr>
        <w:spacing w:before="0" w:after="100" w:line="290" w:lineRule="auto"/>
      </w:pPr>
      <w:r>
        <w:rPr>
          <w:rFonts w:ascii="Aptos" w:hAnsi="Aptos"/>
          <w:b/>
          <w:i w:val="0"/>
          <w:color w:val="087F78"/>
          <w:sz w:val="20"/>
        </w:rPr>
        <w:t xml:space="preserve">Incorrect. </w:t>
      </w:r>
      <w:r>
        <w:rPr>
          <w:rFonts w:ascii="Aptos" w:hAnsi="Aptos"/>
          <w:b w:val="0"/>
          <w:i w:val="0"/>
          <w:sz w:val="20"/>
        </w:rPr>
        <w:t>Client consent cannot waive statutory limits on who pays an employed AMFT.</w:t>
      </w:r>
    </w:p>
    <w:p>
      <w:pPr>
        <w:pStyle w:val="CTAOption"/>
        <w:keepNext w:val="0"/>
        <w:numPr>
          <w:ilvl w:val="0"/>
          <w:numId w:val="615"/>
        </w:numPr>
        <w:spacing w:before="0" w:after="100" w:line="290" w:lineRule="auto"/>
      </w:pPr>
      <w:r>
        <w:rPr>
          <w:rFonts w:ascii="Aptos" w:hAnsi="Aptos"/>
          <w:b/>
          <w:i w:val="0"/>
          <w:color w:val="087F78"/>
          <w:sz w:val="20"/>
        </w:rPr>
        <w:t xml:space="preserve">Incorrect. </w:t>
      </w:r>
      <w:r>
        <w:rPr>
          <w:rFonts w:ascii="Aptos" w:hAnsi="Aptos"/>
          <w:b w:val="0"/>
          <w:i w:val="0"/>
          <w:sz w:val="20"/>
        </w:rPr>
        <w:t>The prohibition includes leasing or renting space and paying employer obligations; it is not limited to advertising costs.</w:t>
      </w:r>
    </w:p>
    <w:p>
      <w:pPr>
        <w:pStyle w:val="SmallNote"/>
      </w:pPr>
      <w:r>
        <w:rPr>
          <w:rFonts w:ascii="Aptos" w:hAnsi="Aptos"/>
          <w:b/>
          <w:i w:val="0"/>
          <w:color w:val="087F78"/>
          <w:sz w:val="17"/>
        </w:rPr>
        <w:t xml:space="preserve">Primary authority: </w:t>
      </w:r>
      <w:r>
        <w:rPr>
          <w:rFonts w:ascii="Aptos" w:hAnsi="Aptos"/>
          <w:b w:val="0"/>
          <w:i w:val="0"/>
          <w:color w:val="404B5A"/>
          <w:sz w:val="17"/>
        </w:rPr>
        <w:t>BPC § 4980.43.3(e)–(f)</w:t>
      </w:r>
    </w:p>
    <w:p>
      <w:pPr>
        <w:pStyle w:val="SmallNote"/>
      </w:pPr>
      <w:r>
        <w:rPr>
          <w:rFonts w:ascii="Aptos" w:hAnsi="Aptos"/>
          <w:b/>
          <w:i w:val="0"/>
          <w:color w:val="087F78"/>
          <w:sz w:val="17"/>
        </w:rPr>
        <w:t xml:space="preserve">Remediation: </w:t>
      </w:r>
      <w:r>
        <w:rPr>
          <w:rFonts w:ascii="Aptos" w:hAnsi="Aptos"/>
          <w:b w:val="0"/>
          <w:i w:val="0"/>
          <w:color w:val="404B5A"/>
          <w:sz w:val="17"/>
        </w:rPr>
        <w:t>Unit 5 — Payment and Proprietary Interest</w:t>
      </w:r>
    </w:p>
    <w:p>
      <w:pPr>
        <w:pStyle w:val="SmallNote"/>
      </w:pPr>
      <w:r>
        <w:rPr>
          <w:rFonts w:ascii="Aptos" w:hAnsi="Aptos"/>
          <w:b/>
          <w:i w:val="0"/>
          <w:color w:val="087F78"/>
          <w:sz w:val="17"/>
        </w:rPr>
        <w:t xml:space="preserve">Internal control: </w:t>
      </w:r>
      <w:r>
        <w:rPr>
          <w:rFonts w:ascii="Aptos" w:hAnsi="Aptos"/>
          <w:b w:val="0"/>
          <w:i w:val="0"/>
          <w:color w:val="404B5A"/>
          <w:sz w:val="17"/>
        </w:rPr>
        <w:t>CTA-EP-001-LS-016 | Unit 5 | LO-6, LO-8 | Moderate | Application/Sequencing</w:t>
      </w:r>
    </w:p>
    <w:p>
      <w:r>
        <w:br w:type="page"/>
      </w:r>
    </w:p>
    <w:p>
      <w:pPr>
        <w:pStyle w:val="Heading2"/>
      </w:pPr>
      <w:r>
        <w:t>17. CTA-EP-001-LS-017</w:t>
      </w:r>
    </w:p>
    <w:p>
      <w:pPr>
        <w:pStyle w:val="SmallNote"/>
      </w:pPr>
      <w:r>
        <w:rPr>
          <w:rFonts w:ascii="Aptos" w:hAnsi="Aptos"/>
          <w:b w:val="0"/>
          <w:i w:val="0"/>
          <w:color w:val="404B5A"/>
          <w:sz w:val="17"/>
        </w:rPr>
        <w:t>Unit 5 | LO-6 | Moderate | Scenario-Based | Error tag: Setting</w:t>
      </w:r>
    </w:p>
    <w:p>
      <w:pPr>
        <w:pStyle w:val="QuestionStem"/>
      </w:pPr>
      <w:r>
        <w:rPr>
          <w:rFonts w:ascii="Aptos" w:hAnsi="Aptos"/>
          <w:b/>
          <w:i w:val="0"/>
          <w:sz w:val="20"/>
        </w:rPr>
        <w:t>An AMFT plans to conduct telehealth sessions from a temporary rental while traveling. The employer has approved telehealth generally but has not approved that location. What should the AMFT do BEFORE providing services there?</w:t>
      </w:r>
    </w:p>
    <w:p>
      <w:pPr>
        <w:pStyle w:val="CTAOption"/>
        <w:keepNext/>
        <w:numPr>
          <w:ilvl w:val="0"/>
          <w:numId w:val="516"/>
        </w:numPr>
        <w:spacing w:before="0" w:after="80" w:line="290" w:lineRule="auto"/>
      </w:pPr>
      <w:r>
        <w:rPr>
          <w:rFonts w:ascii="Aptos" w:hAnsi="Aptos"/>
          <w:b w:val="0"/>
          <w:i w:val="0"/>
          <w:sz w:val="20"/>
        </w:rPr>
        <w:t>Proceed because telehealth may occur from any private location selected by the AMFT if the technology is encrypted and clients receive advance notice.</w:t>
      </w:r>
    </w:p>
    <w:p>
      <w:pPr>
        <w:pStyle w:val="CTAOption"/>
        <w:keepNext/>
        <w:numPr>
          <w:ilvl w:val="0"/>
          <w:numId w:val="516"/>
        </w:numPr>
        <w:spacing w:before="0" w:after="80" w:line="290" w:lineRule="auto"/>
      </w:pPr>
      <w:r>
        <w:rPr>
          <w:rFonts w:ascii="Aptos" w:hAnsi="Aptos"/>
          <w:b w:val="0"/>
          <w:i w:val="0"/>
          <w:sz w:val="20"/>
        </w:rPr>
        <w:t>Obtain employer authorization for the location and verify that supervision, privacy, security, and other requirements can be met.</w:t>
      </w:r>
    </w:p>
    <w:p>
      <w:pPr>
        <w:pStyle w:val="CTAOption"/>
        <w:keepNext/>
        <w:numPr>
          <w:ilvl w:val="0"/>
          <w:numId w:val="516"/>
        </w:numPr>
        <w:spacing w:before="0" w:after="80" w:line="290" w:lineRule="auto"/>
      </w:pPr>
      <w:r>
        <w:rPr>
          <w:rFonts w:ascii="Aptos" w:hAnsi="Aptos"/>
          <w:b w:val="0"/>
          <w:i w:val="0"/>
          <w:sz w:val="20"/>
        </w:rPr>
        <w:t>Proceed if the clients agree not to disclose the AMFT’s location.</w:t>
      </w:r>
    </w:p>
    <w:p>
      <w:pPr>
        <w:pStyle w:val="CTAOption"/>
        <w:keepNext w:val="0"/>
        <w:numPr>
          <w:ilvl w:val="0"/>
          <w:numId w:val="516"/>
        </w:numPr>
        <w:spacing w:before="0" w:after="80" w:line="290" w:lineRule="auto"/>
      </w:pPr>
      <w:r>
        <w:rPr>
          <w:rFonts w:ascii="Aptos" w:hAnsi="Aptos"/>
          <w:b w:val="0"/>
          <w:i w:val="0"/>
          <w:sz w:val="20"/>
        </w:rPr>
        <w:t>Convert the sessions to an independent side practice for the trip because temporary services do not affect the AMFT’s regular employment relationship.</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B. Obtain employer authorization for the location and verify that supervision, privacy, security, and other requirements can be met.</w:t>
      </w:r>
    </w:p>
    <w:p>
      <w:pPr>
        <w:pStyle w:val="Heading3"/>
      </w:pPr>
      <w:r>
        <w:t>Option-by-Option Rationales</w:t>
      </w:r>
    </w:p>
    <w:p>
      <w:pPr>
        <w:pStyle w:val="CTAOption"/>
        <w:keepNext/>
        <w:numPr>
          <w:ilvl w:val="0"/>
          <w:numId w:val="616"/>
        </w:numPr>
        <w:spacing w:before="0" w:after="100" w:line="290" w:lineRule="auto"/>
      </w:pPr>
      <w:r>
        <w:rPr>
          <w:rFonts w:ascii="Aptos" w:hAnsi="Aptos"/>
          <w:b/>
          <w:i w:val="0"/>
          <w:color w:val="087F78"/>
          <w:sz w:val="20"/>
        </w:rPr>
        <w:t xml:space="preserve">Incorrect. </w:t>
      </w:r>
      <w:r>
        <w:rPr>
          <w:rFonts w:ascii="Aptos" w:hAnsi="Aptos"/>
          <w:b w:val="0"/>
          <w:i w:val="0"/>
          <w:sz w:val="20"/>
        </w:rPr>
        <w:t>Telehealth does not eliminate the rule that supervisees perform services only where the employer permits business to be conducted.</w:t>
      </w:r>
    </w:p>
    <w:p>
      <w:pPr>
        <w:pStyle w:val="CTAOption"/>
        <w:keepNext/>
        <w:numPr>
          <w:ilvl w:val="0"/>
          <w:numId w:val="616"/>
        </w:numPr>
        <w:spacing w:before="0" w:after="100" w:line="290" w:lineRule="auto"/>
      </w:pPr>
      <w:r>
        <w:rPr>
          <w:rFonts w:ascii="Aptos" w:hAnsi="Aptos"/>
          <w:b/>
          <w:i w:val="0"/>
          <w:color w:val="087F78"/>
          <w:sz w:val="20"/>
        </w:rPr>
        <w:t xml:space="preserve">Correct. </w:t>
      </w:r>
      <w:r>
        <w:rPr>
          <w:rFonts w:ascii="Aptos" w:hAnsi="Aptos"/>
          <w:b w:val="0"/>
          <w:i w:val="0"/>
          <w:sz w:val="20"/>
        </w:rPr>
        <w:t>The AMFT must resolve the location with the employer and confirm that all supervision, confidentiality, technology, identity, and telehealth requirements remain satisfied.</w:t>
      </w:r>
    </w:p>
    <w:p>
      <w:pPr>
        <w:pStyle w:val="CTAOption"/>
        <w:keepNext/>
        <w:numPr>
          <w:ilvl w:val="0"/>
          <w:numId w:val="616"/>
        </w:numPr>
        <w:spacing w:before="0" w:after="100" w:line="290" w:lineRule="auto"/>
      </w:pPr>
      <w:r>
        <w:rPr>
          <w:rFonts w:ascii="Aptos" w:hAnsi="Aptos"/>
          <w:b/>
          <w:i w:val="0"/>
          <w:color w:val="087F78"/>
          <w:sz w:val="20"/>
        </w:rPr>
        <w:t xml:space="preserve">Incorrect. </w:t>
      </w:r>
      <w:r>
        <w:rPr>
          <w:rFonts w:ascii="Aptos" w:hAnsi="Aptos"/>
          <w:b w:val="0"/>
          <w:i w:val="0"/>
          <w:sz w:val="20"/>
        </w:rPr>
        <w:t>Client agreement does not authorize an unapproved work location or cure other legal and operational requirements.</w:t>
      </w:r>
    </w:p>
    <w:p>
      <w:pPr>
        <w:pStyle w:val="CTAOption"/>
        <w:keepNext w:val="0"/>
        <w:numPr>
          <w:ilvl w:val="0"/>
          <w:numId w:val="616"/>
        </w:numPr>
        <w:spacing w:before="0" w:after="100" w:line="290" w:lineRule="auto"/>
      </w:pPr>
      <w:r>
        <w:rPr>
          <w:rFonts w:ascii="Aptos" w:hAnsi="Aptos"/>
          <w:b/>
          <w:i w:val="0"/>
          <w:color w:val="087F78"/>
          <w:sz w:val="20"/>
        </w:rPr>
        <w:t xml:space="preserve">Incorrect. </w:t>
      </w:r>
      <w:r>
        <w:rPr>
          <w:rFonts w:ascii="Aptos" w:hAnsi="Aptos"/>
          <w:b w:val="0"/>
          <w:i w:val="0"/>
          <w:sz w:val="20"/>
        </w:rPr>
        <w:t>An AMFT may not convert services into independent practice.</w:t>
      </w:r>
    </w:p>
    <w:p>
      <w:pPr>
        <w:pStyle w:val="SmallNote"/>
      </w:pPr>
      <w:r>
        <w:rPr>
          <w:rFonts w:ascii="Aptos" w:hAnsi="Aptos"/>
          <w:b/>
          <w:i w:val="0"/>
          <w:color w:val="087F78"/>
          <w:sz w:val="17"/>
        </w:rPr>
        <w:t xml:space="preserve">Primary authority: </w:t>
      </w:r>
      <w:r>
        <w:rPr>
          <w:rFonts w:ascii="Aptos" w:hAnsi="Aptos"/>
          <w:b w:val="0"/>
          <w:i w:val="0"/>
          <w:color w:val="404B5A"/>
          <w:sz w:val="17"/>
        </w:rPr>
        <w:t>BPC §§ 4980.43.3(i), 4980.43.4(a)</w:t>
      </w:r>
    </w:p>
    <w:p>
      <w:pPr>
        <w:pStyle w:val="SmallNote"/>
      </w:pPr>
      <w:r>
        <w:rPr>
          <w:rFonts w:ascii="Aptos" w:hAnsi="Aptos"/>
          <w:b/>
          <w:i w:val="0"/>
          <w:color w:val="087F78"/>
          <w:sz w:val="17"/>
        </w:rPr>
        <w:t xml:space="preserve">Remediation: </w:t>
      </w:r>
      <w:r>
        <w:rPr>
          <w:rFonts w:ascii="Aptos" w:hAnsi="Aptos"/>
          <w:b w:val="0"/>
          <w:i w:val="0"/>
          <w:color w:val="404B5A"/>
          <w:sz w:val="17"/>
        </w:rPr>
        <w:t>Unit 5 — Location and Telehealth</w:t>
      </w:r>
    </w:p>
    <w:p>
      <w:pPr>
        <w:pStyle w:val="SmallNote"/>
      </w:pPr>
      <w:r>
        <w:rPr>
          <w:rFonts w:ascii="Aptos" w:hAnsi="Aptos"/>
          <w:b/>
          <w:i w:val="0"/>
          <w:color w:val="087F78"/>
          <w:sz w:val="17"/>
        </w:rPr>
        <w:t xml:space="preserve">Internal control: </w:t>
      </w:r>
      <w:r>
        <w:rPr>
          <w:rFonts w:ascii="Aptos" w:hAnsi="Aptos"/>
          <w:b w:val="0"/>
          <w:i w:val="0"/>
          <w:color w:val="404B5A"/>
          <w:sz w:val="17"/>
        </w:rPr>
        <w:t>CTA-EP-001-LS-017 | Unit 5 | LO-6 | Moderate | Scenario-Based</w:t>
      </w:r>
    </w:p>
    <w:p>
      <w:r>
        <w:br w:type="page"/>
      </w:r>
    </w:p>
    <w:p>
      <w:pPr>
        <w:pStyle w:val="Heading2"/>
      </w:pPr>
      <w:r>
        <w:t>18. CTA-EP-001-LS-018</w:t>
      </w:r>
    </w:p>
    <w:p>
      <w:pPr>
        <w:pStyle w:val="SmallNote"/>
      </w:pPr>
      <w:r>
        <w:rPr>
          <w:rFonts w:ascii="Aptos" w:hAnsi="Aptos"/>
          <w:b w:val="0"/>
          <w:i w:val="0"/>
          <w:color w:val="404B5A"/>
          <w:sz w:val="17"/>
        </w:rPr>
        <w:t>Unit 5 | LO-2, LO-4, LO-6 | Difficult | Scenario-Based | Error tag: Setting</w:t>
      </w:r>
    </w:p>
    <w:p>
      <w:pPr>
        <w:pStyle w:val="QuestionStem"/>
      </w:pPr>
      <w:r>
        <w:rPr>
          <w:rFonts w:ascii="Aptos" w:hAnsi="Aptos"/>
          <w:b/>
          <w:i w:val="0"/>
          <w:sz w:val="20"/>
        </w:rPr>
        <w:t>A graduate applies for initial AMFT registration within 90 days of receiving the qualifying degree and completes the required fingerprinting. While the application is pending, a private practice offers a supervised W-2 position. Which response is MOST accurate?</w:t>
      </w:r>
    </w:p>
    <w:p>
      <w:pPr>
        <w:pStyle w:val="CTAOption"/>
        <w:keepNext/>
        <w:numPr>
          <w:ilvl w:val="0"/>
          <w:numId w:val="517"/>
        </w:numPr>
        <w:spacing w:before="0" w:after="80" w:line="290" w:lineRule="auto"/>
      </w:pPr>
      <w:r>
        <w:rPr>
          <w:rFonts w:ascii="Aptos" w:hAnsi="Aptos"/>
          <w:b w:val="0"/>
          <w:i w:val="0"/>
          <w:sz w:val="20"/>
        </w:rPr>
        <w:t>The graduate may begin because timely filing and completed fingerprinting permit supervised postdegree work in every lawful mental-health setting while registration is pending.</w:t>
      </w:r>
    </w:p>
    <w:p>
      <w:pPr>
        <w:pStyle w:val="CTAOption"/>
        <w:keepNext/>
        <w:numPr>
          <w:ilvl w:val="0"/>
          <w:numId w:val="517"/>
        </w:numPr>
        <w:spacing w:before="0" w:after="80" w:line="290" w:lineRule="auto"/>
      </w:pPr>
      <w:r>
        <w:rPr>
          <w:rFonts w:ascii="Aptos" w:hAnsi="Aptos"/>
          <w:b w:val="0"/>
          <w:i w:val="0"/>
          <w:sz w:val="20"/>
        </w:rPr>
        <w:t>The graduate may begin if the private-practice owner signs the required supervision and oversight agreements before the first client is scheduled.</w:t>
      </w:r>
    </w:p>
    <w:p>
      <w:pPr>
        <w:pStyle w:val="CTAOption"/>
        <w:keepNext/>
        <w:numPr>
          <w:ilvl w:val="0"/>
          <w:numId w:val="517"/>
        </w:numPr>
        <w:spacing w:before="0" w:after="80" w:line="290" w:lineRule="auto"/>
      </w:pPr>
      <w:r>
        <w:rPr>
          <w:rFonts w:ascii="Aptos" w:hAnsi="Aptos"/>
          <w:b w:val="0"/>
          <w:i w:val="0"/>
          <w:sz w:val="20"/>
        </w:rPr>
        <w:t>The graduate must wait for AMFT registration before working or volunteering in private practice, even if the other 90-day-rule conditions are met.</w:t>
      </w:r>
    </w:p>
    <w:p>
      <w:pPr>
        <w:pStyle w:val="CTAOption"/>
        <w:keepNext w:val="0"/>
        <w:numPr>
          <w:ilvl w:val="0"/>
          <w:numId w:val="517"/>
        </w:numPr>
        <w:spacing w:before="0" w:after="80" w:line="290" w:lineRule="auto"/>
      </w:pPr>
      <w:r>
        <w:rPr>
          <w:rFonts w:ascii="Aptos" w:hAnsi="Aptos"/>
          <w:b w:val="0"/>
          <w:i w:val="0"/>
          <w:sz w:val="20"/>
        </w:rPr>
        <w:t>The graduate may begin if the employer and graduate agree that none of the pre-registration services will later be claimed as supervised experience.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C. The graduate must wait for AMFT registration before working or volunteering in private practice, even if the other 90-day-rule conditions are met.</w:t>
      </w:r>
    </w:p>
    <w:p>
      <w:pPr>
        <w:pStyle w:val="Heading3"/>
      </w:pPr>
      <w:r>
        <w:t>Option-by-Option Rationales</w:t>
      </w:r>
    </w:p>
    <w:p>
      <w:pPr>
        <w:pStyle w:val="CTAOption"/>
        <w:keepNext/>
        <w:numPr>
          <w:ilvl w:val="0"/>
          <w:numId w:val="617"/>
        </w:numPr>
        <w:spacing w:before="0" w:after="100" w:line="290" w:lineRule="auto"/>
      </w:pPr>
      <w:r>
        <w:rPr>
          <w:rFonts w:ascii="Aptos" w:hAnsi="Aptos"/>
          <w:b/>
          <w:i w:val="0"/>
          <w:color w:val="087F78"/>
          <w:sz w:val="20"/>
        </w:rPr>
        <w:t xml:space="preserve">Incorrect. </w:t>
      </w:r>
      <w:r>
        <w:rPr>
          <w:rFonts w:ascii="Aptos" w:hAnsi="Aptos"/>
          <w:b w:val="0"/>
          <w:i w:val="0"/>
          <w:sz w:val="20"/>
        </w:rPr>
        <w:t>The 90-day rule is narrow and does not authorize pre-registration work in private practice or a professional corporation.</w:t>
      </w:r>
    </w:p>
    <w:p>
      <w:pPr>
        <w:pStyle w:val="CTAOption"/>
        <w:keepNext/>
        <w:numPr>
          <w:ilvl w:val="0"/>
          <w:numId w:val="617"/>
        </w:numPr>
        <w:spacing w:before="0" w:after="100" w:line="290" w:lineRule="auto"/>
      </w:pPr>
      <w:r>
        <w:rPr>
          <w:rFonts w:ascii="Aptos" w:hAnsi="Aptos"/>
          <w:b/>
          <w:i w:val="0"/>
          <w:color w:val="087F78"/>
          <w:sz w:val="20"/>
        </w:rPr>
        <w:t xml:space="preserve">Incorrect. </w:t>
      </w:r>
      <w:r>
        <w:rPr>
          <w:rFonts w:ascii="Aptos" w:hAnsi="Aptos"/>
          <w:b w:val="0"/>
          <w:i w:val="0"/>
          <w:sz w:val="20"/>
        </w:rPr>
        <w:t>Supervision is required but cannot override the setting restriction that applies before issuance of the associate registration.</w:t>
      </w:r>
    </w:p>
    <w:p>
      <w:pPr>
        <w:pStyle w:val="CTAOption"/>
        <w:keepNext/>
        <w:numPr>
          <w:ilvl w:val="0"/>
          <w:numId w:val="617"/>
        </w:numPr>
        <w:spacing w:before="0" w:after="100" w:line="290" w:lineRule="auto"/>
      </w:pPr>
      <w:r>
        <w:rPr>
          <w:rFonts w:ascii="Aptos" w:hAnsi="Aptos"/>
          <w:b/>
          <w:i w:val="0"/>
          <w:color w:val="087F78"/>
          <w:sz w:val="20"/>
        </w:rPr>
        <w:t xml:space="preserve">Correct. </w:t>
      </w:r>
      <w:r>
        <w:rPr>
          <w:rFonts w:ascii="Aptos" w:hAnsi="Aptos"/>
          <w:b w:val="0"/>
          <w:i w:val="0"/>
          <w:sz w:val="20"/>
        </w:rPr>
        <w:t>A qualifying registration applicant may receive credit for certain postdegree experience if every condition is met, but private-practice and professional-corporation work must wait until the AMFT registration is issued.</w:t>
      </w:r>
    </w:p>
    <w:p>
      <w:pPr>
        <w:pStyle w:val="CTAOption"/>
        <w:keepNext w:val="0"/>
        <w:numPr>
          <w:ilvl w:val="0"/>
          <w:numId w:val="617"/>
        </w:numPr>
        <w:spacing w:before="0" w:after="100" w:line="290" w:lineRule="auto"/>
      </w:pPr>
      <w:r>
        <w:rPr>
          <w:rFonts w:ascii="Aptos" w:hAnsi="Aptos"/>
          <w:b/>
          <w:i w:val="0"/>
          <w:color w:val="087F78"/>
          <w:sz w:val="20"/>
        </w:rPr>
        <w:t xml:space="preserve">Incorrect. </w:t>
      </w:r>
      <w:r>
        <w:rPr>
          <w:rFonts w:ascii="Aptos" w:hAnsi="Aptos"/>
          <w:b w:val="0"/>
          <w:i w:val="0"/>
          <w:sz w:val="20"/>
        </w:rPr>
        <w:t>The restriction concerns performing services in that setting before registration issuance, not merely whether the person later claims the hours.</w:t>
      </w:r>
    </w:p>
    <w:p>
      <w:pPr>
        <w:pStyle w:val="SmallNote"/>
      </w:pPr>
      <w:r>
        <w:rPr>
          <w:rFonts w:ascii="Aptos" w:hAnsi="Aptos"/>
          <w:b/>
          <w:i w:val="0"/>
          <w:color w:val="087F78"/>
          <w:sz w:val="17"/>
        </w:rPr>
        <w:t xml:space="preserve">Primary authority: </w:t>
      </w:r>
      <w:r>
        <w:rPr>
          <w:rFonts w:ascii="Aptos" w:hAnsi="Aptos"/>
          <w:b w:val="0"/>
          <w:i w:val="0"/>
          <w:color w:val="404B5A"/>
          <w:sz w:val="17"/>
        </w:rPr>
        <w:t>BPC §§ 4980.06(b)(2), 4980.43(b)(2), 4980.43.3(c)(3)</w:t>
      </w:r>
    </w:p>
    <w:p>
      <w:pPr>
        <w:pStyle w:val="SmallNote"/>
      </w:pPr>
      <w:r>
        <w:rPr>
          <w:rFonts w:ascii="Aptos" w:hAnsi="Aptos"/>
          <w:b/>
          <w:i w:val="0"/>
          <w:color w:val="087F78"/>
          <w:sz w:val="17"/>
        </w:rPr>
        <w:t xml:space="preserve">Remediation: </w:t>
      </w:r>
      <w:r>
        <w:rPr>
          <w:rFonts w:ascii="Aptos" w:hAnsi="Aptos"/>
          <w:b w:val="0"/>
          <w:i w:val="0"/>
          <w:color w:val="404B5A"/>
          <w:sz w:val="17"/>
        </w:rPr>
        <w:t>Unit 5 — Private Practice and the 90-Day Rule</w:t>
      </w:r>
    </w:p>
    <w:p>
      <w:pPr>
        <w:pStyle w:val="SmallNote"/>
      </w:pPr>
      <w:r>
        <w:rPr>
          <w:rFonts w:ascii="Aptos" w:hAnsi="Aptos"/>
          <w:b/>
          <w:i w:val="0"/>
          <w:color w:val="087F78"/>
          <w:sz w:val="17"/>
        </w:rPr>
        <w:t xml:space="preserve">Internal control: </w:t>
      </w:r>
      <w:r>
        <w:rPr>
          <w:rFonts w:ascii="Aptos" w:hAnsi="Aptos"/>
          <w:b w:val="0"/>
          <w:i w:val="0"/>
          <w:color w:val="404B5A"/>
          <w:sz w:val="17"/>
        </w:rPr>
        <w:t>CTA-EP-001-LS-018 | Unit 5 | LO-2, LO-4, LO-6 | Difficult | Scenario-Based</w:t>
      </w:r>
    </w:p>
    <w:p>
      <w:r>
        <w:br w:type="page"/>
      </w:r>
    </w:p>
    <w:p>
      <w:pPr>
        <w:pStyle w:val="Heading2"/>
      </w:pPr>
      <w:r>
        <w:t>19. CTA-EP-001-LS-019</w:t>
      </w:r>
    </w:p>
    <w:p>
      <w:pPr>
        <w:pStyle w:val="SmallNote"/>
      </w:pPr>
      <w:r>
        <w:rPr>
          <w:rFonts w:ascii="Aptos" w:hAnsi="Aptos"/>
          <w:b w:val="0"/>
          <w:i w:val="0"/>
          <w:color w:val="404B5A"/>
          <w:sz w:val="17"/>
        </w:rPr>
        <w:t>Unit 6 | LO-8, LO-12 | Moderate | Application/Sequencing | Error tag: Identity</w:t>
      </w:r>
    </w:p>
    <w:p>
      <w:pPr>
        <w:pStyle w:val="QuestionStem"/>
      </w:pPr>
      <w:r>
        <w:rPr>
          <w:rFonts w:ascii="Aptos" w:hAnsi="Aptos"/>
          <w:b/>
          <w:i w:val="0"/>
          <w:sz w:val="20"/>
        </w:rPr>
        <w:t>An AMFT discovers that a professional profile has described the AMFT as “licensed” for three weeks. No client has complained. What should occur FIRST?</w:t>
      </w:r>
    </w:p>
    <w:p>
      <w:pPr>
        <w:pStyle w:val="CTAOption"/>
        <w:keepNext/>
        <w:numPr>
          <w:ilvl w:val="0"/>
          <w:numId w:val="518"/>
        </w:numPr>
        <w:spacing w:before="0" w:after="80" w:line="290" w:lineRule="auto"/>
      </w:pPr>
      <w:r>
        <w:rPr>
          <w:rFonts w:ascii="Aptos" w:hAnsi="Aptos"/>
          <w:b w:val="0"/>
          <w:i w:val="0"/>
          <w:sz w:val="20"/>
        </w:rPr>
        <w:t>Wait to determine whether any client relied on the statement or reports confusion about the AMFT’s professional status.</w:t>
      </w:r>
    </w:p>
    <w:p>
      <w:pPr>
        <w:pStyle w:val="CTAOption"/>
        <w:keepNext/>
        <w:numPr>
          <w:ilvl w:val="0"/>
          <w:numId w:val="518"/>
        </w:numPr>
        <w:spacing w:before="0" w:after="80" w:line="290" w:lineRule="auto"/>
      </w:pPr>
      <w:r>
        <w:rPr>
          <w:rFonts w:ascii="Aptos" w:hAnsi="Aptos"/>
          <w:b w:val="0"/>
          <w:i w:val="0"/>
          <w:sz w:val="20"/>
        </w:rPr>
        <w:t>Write a detailed note, notify the employer by email, but leave the profile online until the next scheduled supervision meeting.</w:t>
      </w:r>
    </w:p>
    <w:p>
      <w:pPr>
        <w:pStyle w:val="CTAOption"/>
        <w:keepNext/>
        <w:numPr>
          <w:ilvl w:val="0"/>
          <w:numId w:val="518"/>
        </w:numPr>
        <w:spacing w:before="0" w:after="80" w:line="290" w:lineRule="auto"/>
      </w:pPr>
      <w:r>
        <w:rPr>
          <w:rFonts w:ascii="Aptos" w:hAnsi="Aptos"/>
          <w:b w:val="0"/>
          <w:i w:val="0"/>
          <w:sz w:val="20"/>
        </w:rPr>
        <w:t>Ask current clients to sign an acknowledgment that the wording was accidental and that they understand the AMFT is unlicensed.</w:t>
      </w:r>
    </w:p>
    <w:p>
      <w:pPr>
        <w:pStyle w:val="CTAOption"/>
        <w:keepNext w:val="0"/>
        <w:numPr>
          <w:ilvl w:val="0"/>
          <w:numId w:val="518"/>
        </w:numPr>
        <w:spacing w:before="0" w:after="80" w:line="290" w:lineRule="auto"/>
      </w:pPr>
      <w:r>
        <w:rPr>
          <w:rFonts w:ascii="Aptos" w:hAnsi="Aptos"/>
          <w:b w:val="0"/>
          <w:i w:val="0"/>
          <w:sz w:val="20"/>
        </w:rPr>
        <w:t>Correct or remove the inaccurate representation promptly, then address supervisor/employer notification, client impact, consultation, and documentation as applicable.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D. Correct or remove the inaccurate representation promptly, then address supervisor/employer notification, client impact, consultation, and documentation as applicable.</w:t>
      </w:r>
    </w:p>
    <w:p>
      <w:pPr>
        <w:pStyle w:val="Heading3"/>
      </w:pPr>
      <w:r>
        <w:t>Option-by-Option Rationales</w:t>
      </w:r>
    </w:p>
    <w:p>
      <w:pPr>
        <w:pStyle w:val="CTAOption"/>
        <w:keepNext/>
        <w:numPr>
          <w:ilvl w:val="0"/>
          <w:numId w:val="618"/>
        </w:numPr>
        <w:spacing w:before="0" w:after="100" w:line="290" w:lineRule="auto"/>
      </w:pPr>
      <w:r>
        <w:rPr>
          <w:rFonts w:ascii="Aptos" w:hAnsi="Aptos"/>
          <w:b/>
          <w:i w:val="0"/>
          <w:color w:val="087F78"/>
          <w:sz w:val="20"/>
        </w:rPr>
        <w:t xml:space="preserve">Incorrect. </w:t>
      </w:r>
      <w:r>
        <w:rPr>
          <w:rFonts w:ascii="Aptos" w:hAnsi="Aptos"/>
          <w:b w:val="0"/>
          <w:i w:val="0"/>
          <w:sz w:val="20"/>
        </w:rPr>
        <w:t>A known misleading representation should not remain public while the AMFT waits for proof of harm.</w:t>
      </w:r>
    </w:p>
    <w:p>
      <w:pPr>
        <w:pStyle w:val="CTAOption"/>
        <w:keepNext/>
        <w:numPr>
          <w:ilvl w:val="0"/>
          <w:numId w:val="618"/>
        </w:numPr>
        <w:spacing w:before="0" w:after="100" w:line="290" w:lineRule="auto"/>
      </w:pPr>
      <w:r>
        <w:rPr>
          <w:rFonts w:ascii="Aptos" w:hAnsi="Aptos"/>
          <w:b/>
          <w:i w:val="0"/>
          <w:color w:val="087F78"/>
          <w:sz w:val="20"/>
        </w:rPr>
        <w:t xml:space="preserve">Incorrect. </w:t>
      </w:r>
      <w:r>
        <w:rPr>
          <w:rFonts w:ascii="Aptos" w:hAnsi="Aptos"/>
          <w:b w:val="0"/>
          <w:i w:val="0"/>
          <w:sz w:val="20"/>
        </w:rPr>
        <w:t>Documentation does not protect the public if the inaccurate profile continues.</w:t>
      </w:r>
    </w:p>
    <w:p>
      <w:pPr>
        <w:pStyle w:val="CTAOption"/>
        <w:keepNext/>
        <w:numPr>
          <w:ilvl w:val="0"/>
          <w:numId w:val="618"/>
        </w:numPr>
        <w:spacing w:before="0" w:after="100" w:line="290" w:lineRule="auto"/>
      </w:pPr>
      <w:r>
        <w:rPr>
          <w:rFonts w:ascii="Aptos" w:hAnsi="Aptos"/>
          <w:b/>
          <w:i w:val="0"/>
          <w:color w:val="087F78"/>
          <w:sz w:val="20"/>
        </w:rPr>
        <w:t xml:space="preserve">Incorrect. </w:t>
      </w:r>
      <w:r>
        <w:rPr>
          <w:rFonts w:ascii="Aptos" w:hAnsi="Aptos"/>
          <w:b w:val="0"/>
          <w:i w:val="0"/>
          <w:sz w:val="20"/>
        </w:rPr>
        <w:t>A client acknowledgment cannot transform an inaccurate licensure claim into a lawful representation.</w:t>
      </w:r>
    </w:p>
    <w:p>
      <w:pPr>
        <w:pStyle w:val="CTAOption"/>
        <w:keepNext w:val="0"/>
        <w:numPr>
          <w:ilvl w:val="0"/>
          <w:numId w:val="618"/>
        </w:numPr>
        <w:spacing w:before="0" w:after="100" w:line="290" w:lineRule="auto"/>
      </w:pPr>
      <w:r>
        <w:rPr>
          <w:rFonts w:ascii="Aptos" w:hAnsi="Aptos"/>
          <w:b/>
          <w:i w:val="0"/>
          <w:color w:val="087F78"/>
          <w:sz w:val="20"/>
        </w:rPr>
        <w:t xml:space="preserve">Correct. </w:t>
      </w:r>
      <w:r>
        <w:rPr>
          <w:rFonts w:ascii="Aptos" w:hAnsi="Aptos"/>
          <w:b w:val="0"/>
          <w:i w:val="0"/>
          <w:sz w:val="20"/>
        </w:rPr>
        <w:t>The first protective step is to stop the ongoing misrepresentation. Follow-up then addresses communication, impact, consultation, and documentation based on the facts.</w:t>
      </w:r>
    </w:p>
    <w:p>
      <w:pPr>
        <w:pStyle w:val="SmallNote"/>
      </w:pPr>
      <w:r>
        <w:rPr>
          <w:rFonts w:ascii="Aptos" w:hAnsi="Aptos"/>
          <w:b/>
          <w:i w:val="0"/>
          <w:color w:val="087F78"/>
          <w:sz w:val="17"/>
        </w:rPr>
        <w:t xml:space="preserve">Primary authority: </w:t>
      </w:r>
      <w:r>
        <w:rPr>
          <w:rFonts w:ascii="Aptos" w:hAnsi="Aptos"/>
          <w:b w:val="0"/>
          <w:i w:val="0"/>
          <w:color w:val="404B5A"/>
          <w:sz w:val="17"/>
        </w:rPr>
        <w:t>BPC §§ 4980.44, 4982; 16 CCR §§ 1811, 1845</w:t>
      </w:r>
    </w:p>
    <w:p>
      <w:pPr>
        <w:pStyle w:val="SmallNote"/>
      </w:pPr>
      <w:r>
        <w:rPr>
          <w:rFonts w:ascii="Aptos" w:hAnsi="Aptos"/>
          <w:b/>
          <w:i w:val="0"/>
          <w:color w:val="087F78"/>
          <w:sz w:val="17"/>
        </w:rPr>
        <w:t xml:space="preserve">Remediation: </w:t>
      </w:r>
      <w:r>
        <w:rPr>
          <w:rFonts w:ascii="Aptos" w:hAnsi="Aptos"/>
          <w:b w:val="0"/>
          <w:i w:val="0"/>
          <w:color w:val="404B5A"/>
          <w:sz w:val="17"/>
        </w:rPr>
        <w:t>Unit 6 — Corrective Action Sequence</w:t>
      </w:r>
    </w:p>
    <w:p>
      <w:pPr>
        <w:pStyle w:val="SmallNote"/>
      </w:pPr>
      <w:r>
        <w:rPr>
          <w:rFonts w:ascii="Aptos" w:hAnsi="Aptos"/>
          <w:b/>
          <w:i w:val="0"/>
          <w:color w:val="087F78"/>
          <w:sz w:val="17"/>
        </w:rPr>
        <w:t xml:space="preserve">Internal control: </w:t>
      </w:r>
      <w:r>
        <w:rPr>
          <w:rFonts w:ascii="Aptos" w:hAnsi="Aptos"/>
          <w:b w:val="0"/>
          <w:i w:val="0"/>
          <w:color w:val="404B5A"/>
          <w:sz w:val="17"/>
        </w:rPr>
        <w:t>CTA-EP-001-LS-019 | Unit 6 | LO-8, LO-12 | Moderate | Application/Sequencing</w:t>
      </w:r>
    </w:p>
    <w:p>
      <w:r>
        <w:br w:type="page"/>
      </w:r>
    </w:p>
    <w:p>
      <w:pPr>
        <w:pStyle w:val="Heading2"/>
      </w:pPr>
      <w:r>
        <w:t>20. CTA-EP-001-LS-020</w:t>
      </w:r>
    </w:p>
    <w:p>
      <w:pPr>
        <w:pStyle w:val="SmallNote"/>
      </w:pPr>
      <w:r>
        <w:rPr>
          <w:rFonts w:ascii="Aptos" w:hAnsi="Aptos"/>
          <w:b w:val="0"/>
          <w:i w:val="0"/>
          <w:color w:val="404B5A"/>
          <w:sz w:val="17"/>
        </w:rPr>
        <w:t>Unit 6 | LO-7, LO-8, LO-12 | Difficult | Scenario-Based | Error tag: Setting</w:t>
      </w:r>
    </w:p>
    <w:p>
      <w:pPr>
        <w:pStyle w:val="QuestionStem"/>
      </w:pPr>
      <w:r>
        <w:rPr>
          <w:rFonts w:ascii="Aptos" w:hAnsi="Aptos"/>
          <w:b/>
          <w:i w:val="0"/>
          <w:sz w:val="20"/>
        </w:rPr>
        <w:t>An employer tells an AMFT to keep accepting direct client payments while management “reviews the rule.” The supervisor says to document the instruction and continue for now. What is the BEST response?</w:t>
      </w:r>
    </w:p>
    <w:p>
      <w:pPr>
        <w:pStyle w:val="CTAOption"/>
        <w:keepNext/>
        <w:numPr>
          <w:ilvl w:val="0"/>
          <w:numId w:val="519"/>
        </w:numPr>
        <w:spacing w:before="0" w:after="80" w:line="290" w:lineRule="auto"/>
      </w:pPr>
      <w:r>
        <w:rPr>
          <w:rFonts w:ascii="Aptos" w:hAnsi="Aptos"/>
          <w:b w:val="0"/>
          <w:i w:val="0"/>
          <w:sz w:val="20"/>
        </w:rPr>
        <w:t>Stop the prohibited payment arrangement, notify the supervisor and employer, obtain needed guidance, and document lawful continuity.</w:t>
      </w:r>
    </w:p>
    <w:p>
      <w:pPr>
        <w:pStyle w:val="CTAOption"/>
        <w:keepNext/>
        <w:numPr>
          <w:ilvl w:val="0"/>
          <w:numId w:val="519"/>
        </w:numPr>
        <w:spacing w:before="0" w:after="80" w:line="290" w:lineRule="auto"/>
      </w:pPr>
      <w:r>
        <w:rPr>
          <w:rFonts w:ascii="Aptos" w:hAnsi="Aptos"/>
          <w:b w:val="0"/>
          <w:i w:val="0"/>
          <w:sz w:val="20"/>
        </w:rPr>
        <w:t>Continue because the supervisor assumes responsibility for the AMFT’s conduct and the employer, rather than the associate, designed the payment procedure.</w:t>
      </w:r>
    </w:p>
    <w:p>
      <w:pPr>
        <w:pStyle w:val="CTAOption"/>
        <w:keepNext/>
        <w:numPr>
          <w:ilvl w:val="0"/>
          <w:numId w:val="519"/>
        </w:numPr>
        <w:spacing w:before="0" w:after="80" w:line="290" w:lineRule="auto"/>
      </w:pPr>
      <w:r>
        <w:rPr>
          <w:rFonts w:ascii="Aptos" w:hAnsi="Aptos"/>
          <w:b w:val="0"/>
          <w:i w:val="0"/>
          <w:sz w:val="20"/>
        </w:rPr>
        <w:t>Continue until the Board issues a written warning to this specific employer.</w:t>
      </w:r>
    </w:p>
    <w:p>
      <w:pPr>
        <w:pStyle w:val="CTAOption"/>
        <w:keepNext w:val="0"/>
        <w:numPr>
          <w:ilvl w:val="0"/>
          <w:numId w:val="519"/>
        </w:numPr>
        <w:spacing w:before="0" w:after="80" w:line="290" w:lineRule="auto"/>
      </w:pPr>
      <w:r>
        <w:rPr>
          <w:rFonts w:ascii="Aptos" w:hAnsi="Aptos"/>
          <w:b w:val="0"/>
          <w:i w:val="0"/>
          <w:sz w:val="20"/>
        </w:rPr>
        <w:t>Keep the payments in a separate account, provide receipts to clients, and transfer the balance to the employer after management finishes reviewing the rule.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A. Stop the prohibited payment arrangement, notify the supervisor and employer, obtain needed guidance, and document lawful continuity.</w:t>
      </w:r>
    </w:p>
    <w:p>
      <w:pPr>
        <w:pStyle w:val="Heading3"/>
      </w:pPr>
      <w:r>
        <w:t>Option-by-Option Rationales</w:t>
      </w:r>
    </w:p>
    <w:p>
      <w:pPr>
        <w:pStyle w:val="CTAOption"/>
        <w:keepNext/>
        <w:numPr>
          <w:ilvl w:val="0"/>
          <w:numId w:val="619"/>
        </w:numPr>
        <w:spacing w:before="0" w:after="100" w:line="290" w:lineRule="auto"/>
      </w:pPr>
      <w:r>
        <w:rPr>
          <w:rFonts w:ascii="Aptos" w:hAnsi="Aptos"/>
          <w:b/>
          <w:i w:val="0"/>
          <w:color w:val="087F78"/>
          <w:sz w:val="20"/>
        </w:rPr>
        <w:t xml:space="preserve">Correct. </w:t>
      </w:r>
      <w:r>
        <w:rPr>
          <w:rFonts w:ascii="Aptos" w:hAnsi="Aptos"/>
          <w:b w:val="0"/>
          <w:i w:val="0"/>
          <w:sz w:val="20"/>
        </w:rPr>
        <w:t>When the violation is clear, consultation and documentation are follow-up tools—not permission to continue. The AMFT should stop the prohibited conduct and protect lawful continuity of services.</w:t>
      </w:r>
    </w:p>
    <w:p>
      <w:pPr>
        <w:pStyle w:val="CTAOption"/>
        <w:keepNext/>
        <w:numPr>
          <w:ilvl w:val="0"/>
          <w:numId w:val="619"/>
        </w:numPr>
        <w:spacing w:before="0" w:after="100" w:line="290" w:lineRule="auto"/>
      </w:pPr>
      <w:r>
        <w:rPr>
          <w:rFonts w:ascii="Aptos" w:hAnsi="Aptos"/>
          <w:b/>
          <w:i w:val="0"/>
          <w:color w:val="087F78"/>
          <w:sz w:val="20"/>
        </w:rPr>
        <w:t xml:space="preserve">Incorrect. </w:t>
      </w:r>
      <w:r>
        <w:rPr>
          <w:rFonts w:ascii="Aptos" w:hAnsi="Aptos"/>
          <w:b w:val="0"/>
          <w:i w:val="0"/>
          <w:sz w:val="20"/>
        </w:rPr>
        <w:t>Supervisor responsibility does not eliminate the supervisee’s duty to follow law or permit the AMFT to continue known prohibited conduct.</w:t>
      </w:r>
    </w:p>
    <w:p>
      <w:pPr>
        <w:pStyle w:val="CTAOption"/>
        <w:keepNext/>
        <w:numPr>
          <w:ilvl w:val="0"/>
          <w:numId w:val="619"/>
        </w:numPr>
        <w:spacing w:before="0" w:after="100" w:line="290" w:lineRule="auto"/>
      </w:pPr>
      <w:r>
        <w:rPr>
          <w:rFonts w:ascii="Aptos" w:hAnsi="Aptos"/>
          <w:b/>
          <w:i w:val="0"/>
          <w:color w:val="087F78"/>
          <w:sz w:val="20"/>
        </w:rPr>
        <w:t xml:space="preserve">Incorrect. </w:t>
      </w:r>
      <w:r>
        <w:rPr>
          <w:rFonts w:ascii="Aptos" w:hAnsi="Aptos"/>
          <w:b w:val="0"/>
          <w:i w:val="0"/>
          <w:sz w:val="20"/>
        </w:rPr>
        <w:t>A statute does not require a personalized warning before compliance is expected.</w:t>
      </w:r>
    </w:p>
    <w:p>
      <w:pPr>
        <w:pStyle w:val="CTAOption"/>
        <w:keepNext w:val="0"/>
        <w:numPr>
          <w:ilvl w:val="0"/>
          <w:numId w:val="619"/>
        </w:numPr>
        <w:spacing w:before="0" w:after="100" w:line="290" w:lineRule="auto"/>
      </w:pPr>
      <w:r>
        <w:rPr>
          <w:rFonts w:ascii="Aptos" w:hAnsi="Aptos"/>
          <w:b/>
          <w:i w:val="0"/>
          <w:color w:val="087F78"/>
          <w:sz w:val="20"/>
        </w:rPr>
        <w:t xml:space="preserve">Incorrect. </w:t>
      </w:r>
      <w:r>
        <w:rPr>
          <w:rFonts w:ascii="Aptos" w:hAnsi="Aptos"/>
          <w:b w:val="0"/>
          <w:i w:val="0"/>
          <w:sz w:val="20"/>
        </w:rPr>
        <w:t>Segregating funds does not cure the prohibition on receiving remuneration from clients.</w:t>
      </w:r>
    </w:p>
    <w:p>
      <w:pPr>
        <w:pStyle w:val="SmallNote"/>
      </w:pPr>
      <w:r>
        <w:rPr>
          <w:rFonts w:ascii="Aptos" w:hAnsi="Aptos"/>
          <w:b/>
          <w:i w:val="0"/>
          <w:color w:val="087F78"/>
          <w:sz w:val="17"/>
        </w:rPr>
        <w:t xml:space="preserve">Primary authority: </w:t>
      </w:r>
      <w:r>
        <w:rPr>
          <w:rFonts w:ascii="Aptos" w:hAnsi="Aptos"/>
          <w:b w:val="0"/>
          <w:i w:val="0"/>
          <w:color w:val="404B5A"/>
          <w:sz w:val="17"/>
        </w:rPr>
        <w:t>BPC §§ 4980.43.1, 4980.43.3(e), 4982</w:t>
      </w:r>
    </w:p>
    <w:p>
      <w:pPr>
        <w:pStyle w:val="SmallNote"/>
      </w:pPr>
      <w:r>
        <w:rPr>
          <w:rFonts w:ascii="Aptos" w:hAnsi="Aptos"/>
          <w:b/>
          <w:i w:val="0"/>
          <w:color w:val="087F78"/>
          <w:sz w:val="17"/>
        </w:rPr>
        <w:t xml:space="preserve">Remediation: </w:t>
      </w:r>
      <w:r>
        <w:rPr>
          <w:rFonts w:ascii="Aptos" w:hAnsi="Aptos"/>
          <w:b w:val="0"/>
          <w:i w:val="0"/>
          <w:color w:val="404B5A"/>
          <w:sz w:val="17"/>
        </w:rPr>
        <w:t>Unit 6 — High-Yield Role-Identity Violations and Corrective Action</w:t>
      </w:r>
    </w:p>
    <w:p>
      <w:pPr>
        <w:pStyle w:val="SmallNote"/>
      </w:pPr>
      <w:r>
        <w:rPr>
          <w:rFonts w:ascii="Aptos" w:hAnsi="Aptos"/>
          <w:b/>
          <w:i w:val="0"/>
          <w:color w:val="087F78"/>
          <w:sz w:val="17"/>
        </w:rPr>
        <w:t xml:space="preserve">Internal control: </w:t>
      </w:r>
      <w:r>
        <w:rPr>
          <w:rFonts w:ascii="Aptos" w:hAnsi="Aptos"/>
          <w:b w:val="0"/>
          <w:i w:val="0"/>
          <w:color w:val="404B5A"/>
          <w:sz w:val="17"/>
        </w:rPr>
        <w:t>CTA-EP-001-LS-020 | Unit 6 | LO-7, LO-8, LO-12 | Difficult | Scenario-Based</w:t>
      </w:r>
    </w:p>
    <w:p>
      <w:r>
        <w:br w:type="page"/>
      </w:r>
    </w:p>
    <w:p>
      <w:pPr>
        <w:pStyle w:val="Heading2"/>
      </w:pPr>
      <w:r>
        <w:t>21. CTA-EP-001-LS-021</w:t>
      </w:r>
    </w:p>
    <w:p>
      <w:pPr>
        <w:pStyle w:val="SmallNote"/>
      </w:pPr>
      <w:r>
        <w:rPr>
          <w:rFonts w:ascii="Aptos" w:hAnsi="Aptos"/>
          <w:b w:val="0"/>
          <w:i w:val="0"/>
          <w:color w:val="404B5A"/>
          <w:sz w:val="17"/>
        </w:rPr>
        <w:t>Unit 7 | LO-9 | Easy | Knowledge/Recognition | Error tag: Registration</w:t>
      </w:r>
    </w:p>
    <w:p>
      <w:pPr>
        <w:pStyle w:val="QuestionStem"/>
      </w:pPr>
      <w:r>
        <w:rPr>
          <w:rFonts w:ascii="Aptos" w:hAnsi="Aptos"/>
          <w:b/>
          <w:i w:val="0"/>
          <w:sz w:val="20"/>
        </w:rPr>
        <w:t>Which statement correctly distinguishes TAKEN from PASSED for the LMFT California Law and Ethics Examination?</w:t>
      </w:r>
    </w:p>
    <w:p>
      <w:pPr>
        <w:pStyle w:val="CTAOption"/>
        <w:keepNext/>
        <w:numPr>
          <w:ilvl w:val="0"/>
          <w:numId w:val="520"/>
        </w:numPr>
        <w:spacing w:before="0" w:after="80" w:line="290" w:lineRule="auto"/>
      </w:pPr>
      <w:r>
        <w:rPr>
          <w:rFonts w:ascii="Aptos" w:hAnsi="Aptos"/>
          <w:b w:val="0"/>
          <w:i w:val="0"/>
          <w:sz w:val="20"/>
        </w:rPr>
        <w:t>Taking the exam automatically satisfies the examination requirement for LMFT licensure.</w:t>
      </w:r>
    </w:p>
    <w:p>
      <w:pPr>
        <w:pStyle w:val="CTAOption"/>
        <w:keepNext/>
        <w:numPr>
          <w:ilvl w:val="0"/>
          <w:numId w:val="520"/>
        </w:numPr>
        <w:spacing w:before="0" w:after="80" w:line="290" w:lineRule="auto"/>
      </w:pPr>
      <w:r>
        <w:rPr>
          <w:rFonts w:ascii="Aptos" w:hAnsi="Aptos"/>
          <w:b w:val="0"/>
          <w:i w:val="0"/>
          <w:sz w:val="20"/>
        </w:rPr>
        <w:t>Until passage, an AMFT takes the exam during each renewal cycle; passage is required for licensure and a subsequent registration.</w:t>
      </w:r>
    </w:p>
    <w:p>
      <w:pPr>
        <w:pStyle w:val="CTAOption"/>
        <w:keepNext/>
        <w:numPr>
          <w:ilvl w:val="0"/>
          <w:numId w:val="520"/>
        </w:numPr>
        <w:spacing w:before="0" w:after="80" w:line="290" w:lineRule="auto"/>
      </w:pPr>
      <w:r>
        <w:rPr>
          <w:rFonts w:ascii="Aptos" w:hAnsi="Aptos"/>
          <w:b w:val="0"/>
          <w:i w:val="0"/>
          <w:sz w:val="20"/>
        </w:rPr>
        <w:t>Passing is required for every annual renewal, even after the exam has already been passed.</w:t>
      </w:r>
    </w:p>
    <w:p>
      <w:pPr>
        <w:pStyle w:val="CTAOption"/>
        <w:keepNext w:val="0"/>
        <w:numPr>
          <w:ilvl w:val="0"/>
          <w:numId w:val="520"/>
        </w:numPr>
        <w:spacing w:before="0" w:after="80" w:line="290" w:lineRule="auto"/>
      </w:pPr>
      <w:r>
        <w:rPr>
          <w:rFonts w:ascii="Aptos" w:hAnsi="Aptos"/>
          <w:b w:val="0"/>
          <w:i w:val="0"/>
          <w:sz w:val="20"/>
        </w:rPr>
        <w:t>Taking and passing have the same legal effect when the candidate appears, completes every section, and receives an official result from the testing vendor.</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B. Until passage, an AMFT takes the exam during each renewal cycle; passage is required for licensure and a subsequent registration.</w:t>
      </w:r>
    </w:p>
    <w:p>
      <w:pPr>
        <w:pStyle w:val="Heading3"/>
      </w:pPr>
      <w:r>
        <w:t>Option-by-Option Rationales</w:t>
      </w:r>
    </w:p>
    <w:p>
      <w:pPr>
        <w:pStyle w:val="CTAOption"/>
        <w:keepNext/>
        <w:numPr>
          <w:ilvl w:val="0"/>
          <w:numId w:val="620"/>
        </w:numPr>
        <w:spacing w:before="0" w:after="100" w:line="290" w:lineRule="auto"/>
      </w:pPr>
      <w:r>
        <w:rPr>
          <w:rFonts w:ascii="Aptos" w:hAnsi="Aptos"/>
          <w:b/>
          <w:i w:val="0"/>
          <w:color w:val="087F78"/>
          <w:sz w:val="20"/>
        </w:rPr>
        <w:t xml:space="preserve">Incorrect. </w:t>
      </w:r>
      <w:r>
        <w:rPr>
          <w:rFonts w:ascii="Aptos" w:hAnsi="Aptos"/>
          <w:b w:val="0"/>
          <w:i w:val="0"/>
          <w:sz w:val="20"/>
        </w:rPr>
        <w:t>Participation and passage are distinct; licensure requires passage and satisfaction of the separate clinical-examination and other licensing requirements.</w:t>
      </w:r>
    </w:p>
    <w:p>
      <w:pPr>
        <w:pStyle w:val="CTAOption"/>
        <w:keepNext/>
        <w:numPr>
          <w:ilvl w:val="0"/>
          <w:numId w:val="620"/>
        </w:numPr>
        <w:spacing w:before="0" w:after="100" w:line="290" w:lineRule="auto"/>
      </w:pPr>
      <w:r>
        <w:rPr>
          <w:rFonts w:ascii="Aptos" w:hAnsi="Aptos"/>
          <w:b/>
          <w:i w:val="0"/>
          <w:color w:val="087F78"/>
          <w:sz w:val="20"/>
        </w:rPr>
        <w:t xml:space="preserve">Correct. </w:t>
      </w:r>
      <w:r>
        <w:rPr>
          <w:rFonts w:ascii="Aptos" w:hAnsi="Aptos"/>
          <w:b w:val="0"/>
          <w:i w:val="0"/>
          <w:sz w:val="20"/>
        </w:rPr>
        <w:t>Participation supports annual renewal until the exam is passed, while passage is required for licensure and a subsequent associate registration.</w:t>
      </w:r>
    </w:p>
    <w:p>
      <w:pPr>
        <w:pStyle w:val="CTAOption"/>
        <w:keepNext/>
        <w:numPr>
          <w:ilvl w:val="0"/>
          <w:numId w:val="620"/>
        </w:numPr>
        <w:spacing w:before="0" w:after="100" w:line="290" w:lineRule="auto"/>
      </w:pPr>
      <w:r>
        <w:rPr>
          <w:rFonts w:ascii="Aptos" w:hAnsi="Aptos"/>
          <w:b/>
          <w:i w:val="0"/>
          <w:color w:val="087F78"/>
          <w:sz w:val="20"/>
        </w:rPr>
        <w:t xml:space="preserve">Incorrect. </w:t>
      </w:r>
      <w:r>
        <w:rPr>
          <w:rFonts w:ascii="Aptos" w:hAnsi="Aptos"/>
          <w:b w:val="0"/>
          <w:i w:val="0"/>
          <w:sz w:val="20"/>
        </w:rPr>
        <w:t>Under current guidance, the exam does not need to be taken again for ordinary annual renewal after passage.</w:t>
      </w:r>
    </w:p>
    <w:p>
      <w:pPr>
        <w:pStyle w:val="CTAOption"/>
        <w:keepNext w:val="0"/>
        <w:numPr>
          <w:ilvl w:val="0"/>
          <w:numId w:val="620"/>
        </w:numPr>
        <w:spacing w:before="0" w:after="100" w:line="290" w:lineRule="auto"/>
      </w:pPr>
      <w:r>
        <w:rPr>
          <w:rFonts w:ascii="Aptos" w:hAnsi="Aptos"/>
          <w:b/>
          <w:i w:val="0"/>
          <w:color w:val="087F78"/>
          <w:sz w:val="20"/>
        </w:rPr>
        <w:t xml:space="preserve">Incorrect. </w:t>
      </w:r>
      <w:r>
        <w:rPr>
          <w:rFonts w:ascii="Aptos" w:hAnsi="Aptos"/>
          <w:b w:val="0"/>
          <w:i w:val="0"/>
          <w:sz w:val="20"/>
        </w:rPr>
        <w:t>Appearance or participation is not a passing result.</w:t>
      </w:r>
    </w:p>
    <w:p>
      <w:pPr>
        <w:pStyle w:val="SmallNote"/>
      </w:pPr>
      <w:r>
        <w:rPr>
          <w:rFonts w:ascii="Aptos" w:hAnsi="Aptos"/>
          <w:b/>
          <w:i w:val="0"/>
          <w:color w:val="087F78"/>
          <w:sz w:val="17"/>
        </w:rPr>
        <w:t xml:space="preserve">Primary authority: </w:t>
      </w:r>
      <w:r>
        <w:rPr>
          <w:rFonts w:ascii="Aptos" w:hAnsi="Aptos"/>
          <w:b w:val="0"/>
          <w:i w:val="0"/>
          <w:color w:val="404B5A"/>
          <w:sz w:val="17"/>
        </w:rPr>
        <w:t>BPC §§ 4980.397, 4980.399; BBS Law and Ethics Examination guidance</w:t>
      </w:r>
    </w:p>
    <w:p>
      <w:pPr>
        <w:pStyle w:val="SmallNote"/>
      </w:pPr>
      <w:r>
        <w:rPr>
          <w:rFonts w:ascii="Aptos" w:hAnsi="Aptos"/>
          <w:b/>
          <w:i w:val="0"/>
          <w:color w:val="087F78"/>
          <w:sz w:val="17"/>
        </w:rPr>
        <w:t xml:space="preserve">Remediation: </w:t>
      </w:r>
      <w:r>
        <w:rPr>
          <w:rFonts w:ascii="Aptos" w:hAnsi="Aptos"/>
          <w:b w:val="0"/>
          <w:i w:val="0"/>
          <w:color w:val="404B5A"/>
          <w:sz w:val="17"/>
        </w:rPr>
        <w:t>Unit 7 — The Five States</w:t>
      </w:r>
    </w:p>
    <w:p>
      <w:pPr>
        <w:pStyle w:val="SmallNote"/>
      </w:pPr>
      <w:r>
        <w:rPr>
          <w:rFonts w:ascii="Aptos" w:hAnsi="Aptos"/>
          <w:b/>
          <w:i w:val="0"/>
          <w:color w:val="087F78"/>
          <w:sz w:val="17"/>
        </w:rPr>
        <w:t xml:space="preserve">Internal control: </w:t>
      </w:r>
      <w:r>
        <w:rPr>
          <w:rFonts w:ascii="Aptos" w:hAnsi="Aptos"/>
          <w:b w:val="0"/>
          <w:i w:val="0"/>
          <w:color w:val="404B5A"/>
          <w:sz w:val="17"/>
        </w:rPr>
        <w:t>CTA-EP-001-LS-021 | Unit 7 | LO-9 | Easy | Knowledge/Recognition</w:t>
      </w:r>
    </w:p>
    <w:p>
      <w:r>
        <w:br w:type="page"/>
      </w:r>
    </w:p>
    <w:p>
      <w:pPr>
        <w:pStyle w:val="Heading2"/>
      </w:pPr>
      <w:r>
        <w:t>22. CTA-EP-001-LS-022</w:t>
      </w:r>
    </w:p>
    <w:p>
      <w:pPr>
        <w:pStyle w:val="SmallNote"/>
      </w:pPr>
      <w:r>
        <w:rPr>
          <w:rFonts w:ascii="Aptos" w:hAnsi="Aptos"/>
          <w:b w:val="0"/>
          <w:i w:val="0"/>
          <w:color w:val="404B5A"/>
          <w:sz w:val="17"/>
        </w:rPr>
        <w:t>Unit 7 | LO-9 | Easy | Application/Sequencing | Error tag: Registration</w:t>
      </w:r>
    </w:p>
    <w:p>
      <w:pPr>
        <w:pStyle w:val="QuestionStem"/>
      </w:pPr>
      <w:r>
        <w:rPr>
          <w:rFonts w:ascii="Aptos" w:hAnsi="Aptos"/>
          <w:b/>
          <w:i w:val="0"/>
          <w:sz w:val="20"/>
        </w:rPr>
        <w:t>An AMFT has passed the LMFT California Law and Ethics Examination and is preparing for the next annual registration renewal. Which statement is accurate?</w:t>
      </w:r>
    </w:p>
    <w:p>
      <w:pPr>
        <w:pStyle w:val="CTAOption"/>
        <w:keepNext/>
        <w:numPr>
          <w:ilvl w:val="0"/>
          <w:numId w:val="521"/>
        </w:numPr>
        <w:spacing w:before="0" w:after="80" w:line="290" w:lineRule="auto"/>
      </w:pPr>
      <w:r>
        <w:rPr>
          <w:rFonts w:ascii="Aptos" w:hAnsi="Aptos"/>
          <w:b w:val="0"/>
          <w:i w:val="0"/>
          <w:sz w:val="20"/>
        </w:rPr>
        <w:t>The AMFT must retake the examination during every renewal period despite having passed, because each annual registration creates a new examination cycle.</w:t>
      </w:r>
    </w:p>
    <w:p>
      <w:pPr>
        <w:pStyle w:val="CTAOption"/>
        <w:keepNext/>
        <w:numPr>
          <w:ilvl w:val="0"/>
          <w:numId w:val="521"/>
        </w:numPr>
        <w:spacing w:before="0" w:after="80" w:line="290" w:lineRule="auto"/>
      </w:pPr>
      <w:r>
        <w:rPr>
          <w:rFonts w:ascii="Aptos" w:hAnsi="Aptos"/>
          <w:b w:val="0"/>
          <w:i w:val="0"/>
          <w:sz w:val="20"/>
        </w:rPr>
        <w:t>Passing converts the AMFT registration into an LMFT license.</w:t>
      </w:r>
    </w:p>
    <w:p>
      <w:pPr>
        <w:pStyle w:val="CTAOption"/>
        <w:keepNext/>
        <w:numPr>
          <w:ilvl w:val="0"/>
          <w:numId w:val="521"/>
        </w:numPr>
        <w:spacing w:before="0" w:after="80" w:line="290" w:lineRule="auto"/>
      </w:pPr>
      <w:r>
        <w:rPr>
          <w:rFonts w:ascii="Aptos" w:hAnsi="Aptos"/>
          <w:b w:val="0"/>
          <w:i w:val="0"/>
          <w:sz w:val="20"/>
        </w:rPr>
        <w:t>The exam generally need not be retaken, but the separate three-hour California law-and-ethics CE requirement still applies.</w:t>
      </w:r>
    </w:p>
    <w:p>
      <w:pPr>
        <w:pStyle w:val="CTAOption"/>
        <w:keepNext w:val="0"/>
        <w:numPr>
          <w:ilvl w:val="0"/>
          <w:numId w:val="521"/>
        </w:numPr>
        <w:spacing w:before="0" w:after="80" w:line="290" w:lineRule="auto"/>
      </w:pPr>
      <w:r>
        <w:rPr>
          <w:rFonts w:ascii="Aptos" w:hAnsi="Aptos"/>
          <w:b w:val="0"/>
          <w:i w:val="0"/>
          <w:sz w:val="20"/>
        </w:rPr>
        <w:t>Completing CTA-EP-001 satisfies the Board’s continuing-education requirement because its law-and-ethics content is more extensive than the minimum renewal course.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C. The exam generally need not be retaken, but the separate three-hour California law-and-ethics CE requirement still applies.</w:t>
      </w:r>
    </w:p>
    <w:p>
      <w:pPr>
        <w:pStyle w:val="Heading3"/>
      </w:pPr>
      <w:r>
        <w:t>Option-by-Option Rationales</w:t>
      </w:r>
    </w:p>
    <w:p>
      <w:pPr>
        <w:pStyle w:val="CTAOption"/>
        <w:keepNext/>
        <w:numPr>
          <w:ilvl w:val="0"/>
          <w:numId w:val="621"/>
        </w:numPr>
        <w:spacing w:before="0" w:after="100" w:line="290" w:lineRule="auto"/>
      </w:pPr>
      <w:r>
        <w:rPr>
          <w:rFonts w:ascii="Aptos" w:hAnsi="Aptos"/>
          <w:b/>
          <w:i w:val="0"/>
          <w:color w:val="087F78"/>
          <w:sz w:val="20"/>
        </w:rPr>
        <w:t xml:space="preserve">Incorrect. </w:t>
      </w:r>
      <w:r>
        <w:rPr>
          <w:rFonts w:ascii="Aptos" w:hAnsi="Aptos"/>
          <w:b w:val="0"/>
          <w:i w:val="0"/>
          <w:sz w:val="20"/>
        </w:rPr>
        <w:t>Current Board guidance does not require another annual exam attempt after passage.</w:t>
      </w:r>
    </w:p>
    <w:p>
      <w:pPr>
        <w:pStyle w:val="CTAOption"/>
        <w:keepNext/>
        <w:numPr>
          <w:ilvl w:val="0"/>
          <w:numId w:val="621"/>
        </w:numPr>
        <w:spacing w:before="0" w:after="100" w:line="290" w:lineRule="auto"/>
      </w:pPr>
      <w:r>
        <w:rPr>
          <w:rFonts w:ascii="Aptos" w:hAnsi="Aptos"/>
          <w:b/>
          <w:i w:val="0"/>
          <w:color w:val="087F78"/>
          <w:sz w:val="20"/>
        </w:rPr>
        <w:t xml:space="preserve">Incorrect. </w:t>
      </w:r>
      <w:r>
        <w:rPr>
          <w:rFonts w:ascii="Aptos" w:hAnsi="Aptos"/>
          <w:b w:val="0"/>
          <w:i w:val="0"/>
          <w:sz w:val="20"/>
        </w:rPr>
        <w:t>Examination passage is one milestone; it does not itself complete experience, clinical-exam, application, or license-issuance requirements.</w:t>
      </w:r>
    </w:p>
    <w:p>
      <w:pPr>
        <w:pStyle w:val="CTAOption"/>
        <w:keepNext/>
        <w:numPr>
          <w:ilvl w:val="0"/>
          <w:numId w:val="621"/>
        </w:numPr>
        <w:spacing w:before="0" w:after="100" w:line="290" w:lineRule="auto"/>
      </w:pPr>
      <w:r>
        <w:rPr>
          <w:rFonts w:ascii="Aptos" w:hAnsi="Aptos"/>
          <w:b/>
          <w:i w:val="0"/>
          <w:color w:val="087F78"/>
          <w:sz w:val="20"/>
        </w:rPr>
        <w:t xml:space="preserve">Correct. </w:t>
      </w:r>
      <w:r>
        <w:rPr>
          <w:rFonts w:ascii="Aptos" w:hAnsi="Aptos"/>
          <w:b w:val="0"/>
          <w:i w:val="0"/>
          <w:sz w:val="20"/>
        </w:rPr>
        <w:t>Passing ends the ordinary annual exam-participation requirement, but registrants still complete the separate Board-required California law-and-ethics CE during each renewal period.</w:t>
      </w:r>
    </w:p>
    <w:p>
      <w:pPr>
        <w:pStyle w:val="CTAOption"/>
        <w:keepNext w:val="0"/>
        <w:numPr>
          <w:ilvl w:val="0"/>
          <w:numId w:val="621"/>
        </w:numPr>
        <w:spacing w:before="0" w:after="100" w:line="290" w:lineRule="auto"/>
      </w:pPr>
      <w:r>
        <w:rPr>
          <w:rFonts w:ascii="Aptos" w:hAnsi="Aptos"/>
          <w:b/>
          <w:i w:val="0"/>
          <w:color w:val="087F78"/>
          <w:sz w:val="20"/>
        </w:rPr>
        <w:t xml:space="preserve">Incorrect. </w:t>
      </w:r>
      <w:r>
        <w:rPr>
          <w:rFonts w:ascii="Aptos" w:hAnsi="Aptos"/>
          <w:b w:val="0"/>
          <w:i w:val="0"/>
          <w:sz w:val="20"/>
        </w:rPr>
        <w:t>CTA-EP-001 is an exam-preparation program and awards no CE credit or CE certificate.</w:t>
      </w:r>
    </w:p>
    <w:p>
      <w:pPr>
        <w:pStyle w:val="SmallNote"/>
      </w:pPr>
      <w:r>
        <w:rPr>
          <w:rFonts w:ascii="Aptos" w:hAnsi="Aptos"/>
          <w:b/>
          <w:i w:val="0"/>
          <w:color w:val="087F78"/>
          <w:sz w:val="17"/>
        </w:rPr>
        <w:t xml:space="preserve">Primary authority: </w:t>
      </w:r>
      <w:r>
        <w:rPr>
          <w:rFonts w:ascii="Aptos" w:hAnsi="Aptos"/>
          <w:b w:val="0"/>
          <w:i w:val="0"/>
          <w:color w:val="404B5A"/>
          <w:sz w:val="17"/>
        </w:rPr>
        <w:t>BPC §§ 4980.399(e), 4980.54(c)(2); current BBS renewal guidance</w:t>
      </w:r>
    </w:p>
    <w:p>
      <w:pPr>
        <w:pStyle w:val="SmallNote"/>
      </w:pPr>
      <w:r>
        <w:rPr>
          <w:rFonts w:ascii="Aptos" w:hAnsi="Aptos"/>
          <w:b/>
          <w:i w:val="0"/>
          <w:color w:val="087F78"/>
          <w:sz w:val="17"/>
        </w:rPr>
        <w:t xml:space="preserve">Remediation: </w:t>
      </w:r>
      <w:r>
        <w:rPr>
          <w:rFonts w:ascii="Aptos" w:hAnsi="Aptos"/>
          <w:b w:val="0"/>
          <w:i w:val="0"/>
          <w:color w:val="404B5A"/>
          <w:sz w:val="17"/>
        </w:rPr>
        <w:t>Unit 7 — Annual AMFT Renewal and No-CE Distinction</w:t>
      </w:r>
    </w:p>
    <w:p>
      <w:pPr>
        <w:pStyle w:val="SmallNote"/>
      </w:pPr>
      <w:r>
        <w:rPr>
          <w:rFonts w:ascii="Aptos" w:hAnsi="Aptos"/>
          <w:b/>
          <w:i w:val="0"/>
          <w:color w:val="087F78"/>
          <w:sz w:val="17"/>
        </w:rPr>
        <w:t xml:space="preserve">Internal control: </w:t>
      </w:r>
      <w:r>
        <w:rPr>
          <w:rFonts w:ascii="Aptos" w:hAnsi="Aptos"/>
          <w:b w:val="0"/>
          <w:i w:val="0"/>
          <w:color w:val="404B5A"/>
          <w:sz w:val="17"/>
        </w:rPr>
        <w:t>CTA-EP-001-LS-022 | Unit 7 | LO-9 | Easy | Application/Sequencing</w:t>
      </w:r>
    </w:p>
    <w:p>
      <w:r>
        <w:br w:type="page"/>
      </w:r>
    </w:p>
    <w:p>
      <w:pPr>
        <w:pStyle w:val="Heading2"/>
      </w:pPr>
      <w:r>
        <w:t>23. CTA-EP-001-LS-023</w:t>
      </w:r>
    </w:p>
    <w:p>
      <w:pPr>
        <w:pStyle w:val="SmallNote"/>
      </w:pPr>
      <w:r>
        <w:rPr>
          <w:rFonts w:ascii="Aptos" w:hAnsi="Aptos"/>
          <w:b w:val="0"/>
          <w:i w:val="0"/>
          <w:color w:val="404B5A"/>
          <w:sz w:val="17"/>
        </w:rPr>
        <w:t>Unit 7 | LO-9, LO-10 | Moderate | Application/Sequencing | Error tag: Examination</w:t>
      </w:r>
    </w:p>
    <w:p>
      <w:pPr>
        <w:pStyle w:val="QuestionStem"/>
      </w:pPr>
      <w:r>
        <w:rPr>
          <w:rFonts w:ascii="Aptos" w:hAnsi="Aptos"/>
          <w:b/>
          <w:i w:val="0"/>
          <w:sz w:val="20"/>
        </w:rPr>
        <w:t>An AMFT has passed the Law and Ethics Examination and completed the required experience hours. The AMFT says, “I can schedule the clinical examination immediately and I am essentially licensed.” What is the BEST correction?</w:t>
      </w:r>
    </w:p>
    <w:p>
      <w:pPr>
        <w:pStyle w:val="CTAOption"/>
        <w:keepNext/>
        <w:numPr>
          <w:ilvl w:val="0"/>
          <w:numId w:val="522"/>
        </w:numPr>
        <w:spacing w:before="0" w:after="80" w:line="290" w:lineRule="auto"/>
      </w:pPr>
      <w:r>
        <w:rPr>
          <w:rFonts w:ascii="Aptos" w:hAnsi="Aptos"/>
          <w:b w:val="0"/>
          <w:i w:val="0"/>
          <w:sz w:val="20"/>
        </w:rPr>
        <w:t>Correct; passing Law and Ethics creates automatic clinical-exam eligibility and independent practice authority once the candidate has also completed the required hours.</w:t>
      </w:r>
    </w:p>
    <w:p>
      <w:pPr>
        <w:pStyle w:val="CTAOption"/>
        <w:keepNext/>
        <w:numPr>
          <w:ilvl w:val="0"/>
          <w:numId w:val="522"/>
        </w:numPr>
        <w:spacing w:before="0" w:after="80" w:line="290" w:lineRule="auto"/>
      </w:pPr>
      <w:r>
        <w:rPr>
          <w:rFonts w:ascii="Aptos" w:hAnsi="Aptos"/>
          <w:b w:val="0"/>
          <w:i w:val="0"/>
          <w:sz w:val="20"/>
        </w:rPr>
        <w:t>Correct; completing hours eliminates the need for Board review of education and experience.</w:t>
      </w:r>
    </w:p>
    <w:p>
      <w:pPr>
        <w:pStyle w:val="CTAOption"/>
        <w:keepNext/>
        <w:numPr>
          <w:ilvl w:val="0"/>
          <w:numId w:val="522"/>
        </w:numPr>
        <w:spacing w:before="0" w:after="80" w:line="290" w:lineRule="auto"/>
      </w:pPr>
      <w:r>
        <w:rPr>
          <w:rFonts w:ascii="Aptos" w:hAnsi="Aptos"/>
          <w:b w:val="0"/>
          <w:i w:val="0"/>
          <w:sz w:val="20"/>
        </w:rPr>
        <w:t>Incorrect only because the AMFT must repeat the Law and Ethics Examination and obtain a new passing result before scheduling the clinical examination.</w:t>
      </w:r>
    </w:p>
    <w:p>
      <w:pPr>
        <w:pStyle w:val="CTAOption"/>
        <w:keepNext w:val="0"/>
        <w:numPr>
          <w:ilvl w:val="0"/>
          <w:numId w:val="522"/>
        </w:numPr>
        <w:spacing w:before="0" w:after="80" w:line="290" w:lineRule="auto"/>
      </w:pPr>
      <w:r>
        <w:rPr>
          <w:rFonts w:ascii="Aptos" w:hAnsi="Aptos"/>
          <w:b w:val="0"/>
          <w:i w:val="0"/>
          <w:sz w:val="20"/>
        </w:rPr>
        <w:t>Incorrect; Board approval and clinical-exam eligibility must follow verification of prerequisites, and the person remains unlicensed until issuance.</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D. Incorrect; Board approval and clinical-exam eligibility must follow verification of prerequisites, and the person remains unlicensed until issuance.</w:t>
      </w:r>
    </w:p>
    <w:p>
      <w:pPr>
        <w:pStyle w:val="Heading3"/>
      </w:pPr>
      <w:r>
        <w:t>Option-by-Option Rationales</w:t>
      </w:r>
    </w:p>
    <w:p>
      <w:pPr>
        <w:pStyle w:val="CTAOption"/>
        <w:keepNext/>
        <w:numPr>
          <w:ilvl w:val="0"/>
          <w:numId w:val="622"/>
        </w:numPr>
        <w:spacing w:before="0" w:after="100" w:line="290" w:lineRule="auto"/>
      </w:pPr>
      <w:r>
        <w:rPr>
          <w:rFonts w:ascii="Aptos" w:hAnsi="Aptos"/>
          <w:b/>
          <w:i w:val="0"/>
          <w:color w:val="087F78"/>
          <w:sz w:val="20"/>
        </w:rPr>
        <w:t xml:space="preserve">Incorrect. </w:t>
      </w:r>
      <w:r>
        <w:rPr>
          <w:rFonts w:ascii="Aptos" w:hAnsi="Aptos"/>
          <w:b w:val="0"/>
          <w:i w:val="0"/>
          <w:sz w:val="20"/>
        </w:rPr>
        <w:t>Law and Ethics passage is necessary but does not by itself create clinical-exam eligibility or independent authority.</w:t>
      </w:r>
    </w:p>
    <w:p>
      <w:pPr>
        <w:pStyle w:val="CTAOption"/>
        <w:keepNext/>
        <w:numPr>
          <w:ilvl w:val="0"/>
          <w:numId w:val="622"/>
        </w:numPr>
        <w:spacing w:before="0" w:after="100" w:line="290" w:lineRule="auto"/>
      </w:pPr>
      <w:r>
        <w:rPr>
          <w:rFonts w:ascii="Aptos" w:hAnsi="Aptos"/>
          <w:b/>
          <w:i w:val="0"/>
          <w:color w:val="087F78"/>
          <w:sz w:val="20"/>
        </w:rPr>
        <w:t xml:space="preserve">Incorrect. </w:t>
      </w:r>
      <w:r>
        <w:rPr>
          <w:rFonts w:ascii="Aptos" w:hAnsi="Aptos"/>
          <w:b w:val="0"/>
          <w:i w:val="0"/>
          <w:sz w:val="20"/>
        </w:rPr>
        <w:t>The Board must review the application and verify required education and supervised experience.</w:t>
      </w:r>
    </w:p>
    <w:p>
      <w:pPr>
        <w:pStyle w:val="CTAOption"/>
        <w:keepNext/>
        <w:numPr>
          <w:ilvl w:val="0"/>
          <w:numId w:val="622"/>
        </w:numPr>
        <w:spacing w:before="0" w:after="100" w:line="290" w:lineRule="auto"/>
      </w:pPr>
      <w:r>
        <w:rPr>
          <w:rFonts w:ascii="Aptos" w:hAnsi="Aptos"/>
          <w:b/>
          <w:i w:val="0"/>
          <w:color w:val="087F78"/>
          <w:sz w:val="20"/>
        </w:rPr>
        <w:t xml:space="preserve">Incorrect. </w:t>
      </w:r>
      <w:r>
        <w:rPr>
          <w:rFonts w:ascii="Aptos" w:hAnsi="Aptos"/>
          <w:b w:val="0"/>
          <w:i w:val="0"/>
          <w:sz w:val="20"/>
        </w:rPr>
        <w:t>A passed Law and Ethics Examination generally is not repeated for this purpose; the missing step is Board approval and the remaining clinical-examination and issuance process.</w:t>
      </w:r>
    </w:p>
    <w:p>
      <w:pPr>
        <w:pStyle w:val="CTAOption"/>
        <w:keepNext w:val="0"/>
        <w:numPr>
          <w:ilvl w:val="0"/>
          <w:numId w:val="622"/>
        </w:numPr>
        <w:spacing w:before="0" w:after="100" w:line="290" w:lineRule="auto"/>
      </w:pPr>
      <w:r>
        <w:rPr>
          <w:rFonts w:ascii="Aptos" w:hAnsi="Aptos"/>
          <w:b/>
          <w:i w:val="0"/>
          <w:color w:val="087F78"/>
          <w:sz w:val="20"/>
        </w:rPr>
        <w:t xml:space="preserve">Correct. </w:t>
      </w:r>
      <w:r>
        <w:rPr>
          <w:rFonts w:ascii="Aptos" w:hAnsi="Aptos"/>
          <w:b w:val="0"/>
          <w:i w:val="0"/>
          <w:sz w:val="20"/>
        </w:rPr>
        <w:t>PASSED, ELIGIBLE, and LICENSED are distinct states. The candidate follows the Board’s approval and examination pathway and remains under lawful supervision until licensure is actually issued.</w:t>
      </w:r>
    </w:p>
    <w:p>
      <w:pPr>
        <w:pStyle w:val="SmallNote"/>
      </w:pPr>
      <w:r>
        <w:rPr>
          <w:rFonts w:ascii="Aptos" w:hAnsi="Aptos"/>
          <w:b/>
          <w:i w:val="0"/>
          <w:color w:val="087F78"/>
          <w:sz w:val="17"/>
        </w:rPr>
        <w:t xml:space="preserve">Primary authority: </w:t>
      </w:r>
      <w:r>
        <w:rPr>
          <w:rFonts w:ascii="Aptos" w:hAnsi="Aptos"/>
          <w:b w:val="0"/>
          <w:i w:val="0"/>
          <w:color w:val="404B5A"/>
          <w:sz w:val="17"/>
        </w:rPr>
        <w:t>BPC §§ 4980.397(c), 4980.40, 4980.50; current BBS LMFT applicant guidance</w:t>
      </w:r>
    </w:p>
    <w:p>
      <w:pPr>
        <w:pStyle w:val="SmallNote"/>
      </w:pPr>
      <w:r>
        <w:rPr>
          <w:rFonts w:ascii="Aptos" w:hAnsi="Aptos"/>
          <w:b/>
          <w:i w:val="0"/>
          <w:color w:val="087F78"/>
          <w:sz w:val="17"/>
        </w:rPr>
        <w:t xml:space="preserve">Remediation: </w:t>
      </w:r>
      <w:r>
        <w:rPr>
          <w:rFonts w:ascii="Aptos" w:hAnsi="Aptos"/>
          <w:b w:val="0"/>
          <w:i w:val="0"/>
          <w:color w:val="404B5A"/>
          <w:sz w:val="17"/>
        </w:rPr>
        <w:t>Unit 7 — Pathway Without Conflation</w:t>
      </w:r>
    </w:p>
    <w:p>
      <w:pPr>
        <w:pStyle w:val="SmallNote"/>
      </w:pPr>
      <w:r>
        <w:rPr>
          <w:rFonts w:ascii="Aptos" w:hAnsi="Aptos"/>
          <w:b/>
          <w:i w:val="0"/>
          <w:color w:val="087F78"/>
          <w:sz w:val="17"/>
        </w:rPr>
        <w:t xml:space="preserve">Internal control: </w:t>
      </w:r>
      <w:r>
        <w:rPr>
          <w:rFonts w:ascii="Aptos" w:hAnsi="Aptos"/>
          <w:b w:val="0"/>
          <w:i w:val="0"/>
          <w:color w:val="404B5A"/>
          <w:sz w:val="17"/>
        </w:rPr>
        <w:t>CTA-EP-001-LS-023 | Unit 7 | LO-9, LO-10 | Moderate | Application/Sequencing</w:t>
      </w:r>
    </w:p>
    <w:p>
      <w:r>
        <w:br w:type="page"/>
      </w:r>
    </w:p>
    <w:p>
      <w:pPr>
        <w:pStyle w:val="Heading2"/>
      </w:pPr>
      <w:r>
        <w:t>24. CTA-EP-001-LS-024</w:t>
      </w:r>
    </w:p>
    <w:p>
      <w:pPr>
        <w:pStyle w:val="SmallNote"/>
      </w:pPr>
      <w:r>
        <w:rPr>
          <w:rFonts w:ascii="Aptos" w:hAnsi="Aptos"/>
          <w:b w:val="0"/>
          <w:i w:val="0"/>
          <w:color w:val="404B5A"/>
          <w:sz w:val="17"/>
        </w:rPr>
        <w:t>Unit 8 | LO-10, LO-11, LO-12 | Difficult | Integrated Challenge | Error tag: Current-vs-Pending</w:t>
      </w:r>
    </w:p>
    <w:p>
      <w:pPr>
        <w:pStyle w:val="QuestionStem"/>
      </w:pPr>
      <w:r>
        <w:rPr>
          <w:rFonts w:ascii="Aptos" w:hAnsi="Aptos"/>
          <w:b/>
          <w:i w:val="0"/>
          <w:sz w:val="20"/>
        </w:rPr>
        <w:t>As of August 2, 2026, an AMFT reads that the BBS projected a July 1, 2027 transition to the AMFTRB National Examination as the California clinical examination. Which interpretation is MOST accurate?</w:t>
      </w:r>
    </w:p>
    <w:p>
      <w:pPr>
        <w:pStyle w:val="CTAOption"/>
        <w:keepNext/>
        <w:numPr>
          <w:ilvl w:val="0"/>
          <w:numId w:val="523"/>
        </w:numPr>
        <w:spacing w:before="0" w:after="80" w:line="290" w:lineRule="auto"/>
      </w:pPr>
      <w:r>
        <w:rPr>
          <w:rFonts w:ascii="Aptos" w:hAnsi="Aptos"/>
          <w:b w:val="0"/>
          <w:i w:val="0"/>
          <w:sz w:val="20"/>
        </w:rPr>
        <w:t>The transition remains pending; current clinical-exam instructions control, and California Law and Ethics remains a separate state requirement.</w:t>
      </w:r>
    </w:p>
    <w:p>
      <w:pPr>
        <w:pStyle w:val="CTAOption"/>
        <w:keepNext/>
        <w:numPr>
          <w:ilvl w:val="0"/>
          <w:numId w:val="523"/>
        </w:numPr>
        <w:spacing w:before="0" w:after="80" w:line="290" w:lineRule="auto"/>
      </w:pPr>
      <w:r>
        <w:rPr>
          <w:rFonts w:ascii="Aptos" w:hAnsi="Aptos"/>
          <w:b w:val="0"/>
          <w:i w:val="0"/>
          <w:sz w:val="20"/>
        </w:rPr>
        <w:t>The projection immediately replaces both California examinations with the AMFTRB examination because the Board approved the policy direction and announced a target date.</w:t>
      </w:r>
    </w:p>
    <w:p>
      <w:pPr>
        <w:pStyle w:val="CTAOption"/>
        <w:keepNext/>
        <w:numPr>
          <w:ilvl w:val="0"/>
          <w:numId w:val="523"/>
        </w:numPr>
        <w:spacing w:before="0" w:after="80" w:line="290" w:lineRule="auto"/>
      </w:pPr>
      <w:r>
        <w:rPr>
          <w:rFonts w:ascii="Aptos" w:hAnsi="Aptos"/>
          <w:b w:val="0"/>
          <w:i w:val="0"/>
          <w:sz w:val="20"/>
        </w:rPr>
        <w:t>The AMFTRB examination is already required for every AMFT renewal.</w:t>
      </w:r>
    </w:p>
    <w:p>
      <w:pPr>
        <w:pStyle w:val="CTAOption"/>
        <w:keepNext w:val="0"/>
        <w:numPr>
          <w:ilvl w:val="0"/>
          <w:numId w:val="523"/>
        </w:numPr>
        <w:spacing w:before="0" w:after="80" w:line="290" w:lineRule="auto"/>
      </w:pPr>
      <w:r>
        <w:rPr>
          <w:rFonts w:ascii="Aptos" w:hAnsi="Aptos"/>
          <w:b w:val="0"/>
          <w:i w:val="0"/>
          <w:sz w:val="20"/>
        </w:rPr>
        <w:t>The pending transition eliminates the need to pass California Law and Ethics before clinical-exam eligibility because the national examination will cover both legal and clinical content.</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A. The transition remains pending; current clinical-exam instructions control, and California Law and Ethics remains a separate state requirement.</w:t>
      </w:r>
    </w:p>
    <w:p>
      <w:pPr>
        <w:pStyle w:val="Heading3"/>
      </w:pPr>
      <w:r>
        <w:t>Option-by-Option Rationales</w:t>
      </w:r>
    </w:p>
    <w:p>
      <w:pPr>
        <w:pStyle w:val="CTAOption"/>
        <w:keepNext/>
        <w:numPr>
          <w:ilvl w:val="0"/>
          <w:numId w:val="623"/>
        </w:numPr>
        <w:spacing w:before="0" w:after="100" w:line="290" w:lineRule="auto"/>
      </w:pPr>
      <w:r>
        <w:rPr>
          <w:rFonts w:ascii="Aptos" w:hAnsi="Aptos"/>
          <w:b/>
          <w:i w:val="0"/>
          <w:color w:val="087F78"/>
          <w:sz w:val="20"/>
        </w:rPr>
        <w:t xml:space="preserve">Correct. </w:t>
      </w:r>
      <w:r>
        <w:rPr>
          <w:rFonts w:ascii="Aptos" w:hAnsi="Aptos"/>
          <w:b w:val="0"/>
          <w:i w:val="0"/>
          <w:sz w:val="20"/>
        </w:rPr>
        <w:t>The May 2026 BBS update described a possible transition, ongoing linkage and regulatory work, and a projected date. Until implementation becomes effective, candidates follow current law and Board instructions. The state-specific Law and Ethics Examination remains separate.</w:t>
      </w:r>
    </w:p>
    <w:p>
      <w:pPr>
        <w:pStyle w:val="CTAOption"/>
        <w:keepNext/>
        <w:numPr>
          <w:ilvl w:val="0"/>
          <w:numId w:val="623"/>
        </w:numPr>
        <w:spacing w:before="0" w:after="100" w:line="290" w:lineRule="auto"/>
      </w:pPr>
      <w:r>
        <w:rPr>
          <w:rFonts w:ascii="Aptos" w:hAnsi="Aptos"/>
          <w:b/>
          <w:i w:val="0"/>
          <w:color w:val="087F78"/>
          <w:sz w:val="20"/>
        </w:rPr>
        <w:t xml:space="preserve">Incorrect. </w:t>
      </w:r>
      <w:r>
        <w:rPr>
          <w:rFonts w:ascii="Aptos" w:hAnsi="Aptos"/>
          <w:b w:val="0"/>
          <w:i w:val="0"/>
          <w:sz w:val="20"/>
        </w:rPr>
        <w:t>The proposal concerns the clinical-examination component and does not automatically replace a current rule or the California Law and Ethics Examination.</w:t>
      </w:r>
    </w:p>
    <w:p>
      <w:pPr>
        <w:pStyle w:val="CTAOption"/>
        <w:keepNext/>
        <w:numPr>
          <w:ilvl w:val="0"/>
          <w:numId w:val="623"/>
        </w:numPr>
        <w:spacing w:before="0" w:after="100" w:line="290" w:lineRule="auto"/>
      </w:pPr>
      <w:r>
        <w:rPr>
          <w:rFonts w:ascii="Aptos" w:hAnsi="Aptos"/>
          <w:b/>
          <w:i w:val="0"/>
          <w:color w:val="087F78"/>
          <w:sz w:val="20"/>
        </w:rPr>
        <w:t xml:space="preserve">Incorrect. </w:t>
      </w:r>
      <w:r>
        <w:rPr>
          <w:rFonts w:ascii="Aptos" w:hAnsi="Aptos"/>
          <w:b w:val="0"/>
          <w:i w:val="0"/>
          <w:sz w:val="20"/>
        </w:rPr>
        <w:t>AMFT renewal is tied to the California Law and Ethics participation requirement until passage, not to the AMFTRB examination.</w:t>
      </w:r>
    </w:p>
    <w:p>
      <w:pPr>
        <w:pStyle w:val="CTAOption"/>
        <w:keepNext w:val="0"/>
        <w:numPr>
          <w:ilvl w:val="0"/>
          <w:numId w:val="623"/>
        </w:numPr>
        <w:spacing w:before="0" w:after="100" w:line="290" w:lineRule="auto"/>
      </w:pPr>
      <w:r>
        <w:rPr>
          <w:rFonts w:ascii="Aptos" w:hAnsi="Aptos"/>
          <w:b/>
          <w:i w:val="0"/>
          <w:color w:val="087F78"/>
          <w:sz w:val="20"/>
        </w:rPr>
        <w:t xml:space="preserve">Incorrect. </w:t>
      </w:r>
      <w:r>
        <w:rPr>
          <w:rFonts w:ascii="Aptos" w:hAnsi="Aptos"/>
          <w:b w:val="0"/>
          <w:i w:val="0"/>
          <w:sz w:val="20"/>
        </w:rPr>
        <w:t>Current law requires passage of California Law and Ethics before clinical-exam eligibility, and the Board has stated that the state-specific examination remains separate from the AMFTRB consideration.</w:t>
      </w:r>
    </w:p>
    <w:p>
      <w:pPr>
        <w:pStyle w:val="SmallNote"/>
      </w:pPr>
      <w:r>
        <w:rPr>
          <w:rFonts w:ascii="Aptos" w:hAnsi="Aptos"/>
          <w:b/>
          <w:i w:val="0"/>
          <w:color w:val="087F78"/>
          <w:sz w:val="17"/>
        </w:rPr>
        <w:t xml:space="preserve">Primary authority: </w:t>
      </w:r>
      <w:r>
        <w:rPr>
          <w:rFonts w:ascii="Aptos" w:hAnsi="Aptos"/>
          <w:b w:val="0"/>
          <w:i w:val="0"/>
          <w:color w:val="404B5A"/>
          <w:sz w:val="17"/>
        </w:rPr>
        <w:t>BPC § 4980.397; BBS AMFTRB Transition Update, Agenda Item 25 (Apr. 28/May 2026)</w:t>
      </w:r>
    </w:p>
    <w:p>
      <w:pPr>
        <w:pStyle w:val="SmallNote"/>
      </w:pPr>
      <w:r>
        <w:rPr>
          <w:rFonts w:ascii="Aptos" w:hAnsi="Aptos"/>
          <w:b/>
          <w:i w:val="0"/>
          <w:color w:val="087F78"/>
          <w:sz w:val="17"/>
        </w:rPr>
        <w:t xml:space="preserve">Remediation: </w:t>
      </w:r>
      <w:r>
        <w:rPr>
          <w:rFonts w:ascii="Aptos" w:hAnsi="Aptos"/>
          <w:b w:val="0"/>
          <w:i w:val="0"/>
          <w:color w:val="404B5A"/>
          <w:sz w:val="17"/>
        </w:rPr>
        <w:t>Unit 8 — Three Examination References and Current Transition Status</w:t>
      </w:r>
    </w:p>
    <w:p>
      <w:pPr>
        <w:pStyle w:val="SmallNote"/>
      </w:pPr>
      <w:r>
        <w:rPr>
          <w:rFonts w:ascii="Aptos" w:hAnsi="Aptos"/>
          <w:b/>
          <w:i w:val="0"/>
          <w:color w:val="087F78"/>
          <w:sz w:val="17"/>
        </w:rPr>
        <w:t xml:space="preserve">Internal control: </w:t>
      </w:r>
      <w:r>
        <w:rPr>
          <w:rFonts w:ascii="Aptos" w:hAnsi="Aptos"/>
          <w:b w:val="0"/>
          <w:i w:val="0"/>
          <w:color w:val="404B5A"/>
          <w:sz w:val="17"/>
        </w:rPr>
        <w:t>CTA-EP-001-LS-024 | Unit 8 | LO-10, LO-11, LO-12 | Difficult | Integrated Challenge</w:t>
      </w:r>
    </w:p>
    <w:p>
      <w:r>
        <w:br w:type="page"/>
      </w:r>
    </w:p>
    <w:p>
      <w:pPr>
        <w:pStyle w:val="Heading2"/>
      </w:pPr>
      <w:r>
        <w:t>25. CTA-EP-001-LS-025</w:t>
      </w:r>
    </w:p>
    <w:p>
      <w:pPr>
        <w:pStyle w:val="SmallNote"/>
      </w:pPr>
      <w:r>
        <w:rPr>
          <w:rFonts w:ascii="Aptos" w:hAnsi="Aptos"/>
          <w:b w:val="0"/>
          <w:i w:val="0"/>
          <w:color w:val="404B5A"/>
          <w:sz w:val="17"/>
        </w:rPr>
        <w:t>Unit 8 | LO-4, LO-5, LO-6, LO-7, LO-8, LO-12 | Difficult | Integrated Challenge | Error tag: Integrated</w:t>
      </w:r>
    </w:p>
    <w:p>
      <w:pPr>
        <w:pStyle w:val="QuestionStem"/>
      </w:pPr>
      <w:r>
        <w:rPr>
          <w:rFonts w:ascii="Aptos" w:hAnsi="Aptos"/>
          <w:b/>
          <w:i w:val="0"/>
          <w:sz w:val="20"/>
        </w:rPr>
        <w:t>An AMFT with a subsequent registration accepts a “contractor” role in a private practice. The website says “Morgan Ruiz, AMFT, Couples Therapist,” clients pay Morgan directly, and the owner offers informal weekly consultation but has not accepted supervisory responsibility. What is the BEST integrated response?</w:t>
      </w:r>
    </w:p>
    <w:p>
      <w:pPr>
        <w:pStyle w:val="CTAOption"/>
        <w:keepNext/>
        <w:numPr>
          <w:ilvl w:val="0"/>
          <w:numId w:val="524"/>
        </w:numPr>
        <w:spacing w:before="0" w:after="80" w:line="290" w:lineRule="auto"/>
      </w:pPr>
      <w:r>
        <w:rPr>
          <w:rFonts w:ascii="Aptos" w:hAnsi="Aptos"/>
          <w:b w:val="0"/>
          <w:i w:val="0"/>
          <w:sz w:val="20"/>
        </w:rPr>
        <w:t>Continue after adding the registration number, employer name, and supervision statement because complete disclosure is the only controlling issue in an associate arrangement.</w:t>
      </w:r>
    </w:p>
    <w:p>
      <w:pPr>
        <w:pStyle w:val="CTAOption"/>
        <w:keepNext/>
        <w:numPr>
          <w:ilvl w:val="0"/>
          <w:numId w:val="524"/>
        </w:numPr>
        <w:spacing w:before="0" w:after="80" w:line="290" w:lineRule="auto"/>
      </w:pPr>
      <w:r>
        <w:rPr>
          <w:rFonts w:ascii="Aptos" w:hAnsi="Aptos"/>
          <w:b w:val="0"/>
          <w:i w:val="0"/>
          <w:sz w:val="20"/>
        </w:rPr>
        <w:t>Continue because couples therapy is within LMFT scope, the associate has a registration, and weekly consultation is clinically useful even without formal supervisory responsibility.</w:t>
      </w:r>
    </w:p>
    <w:p>
      <w:pPr>
        <w:pStyle w:val="CTAOption"/>
        <w:keepNext/>
        <w:numPr>
          <w:ilvl w:val="0"/>
          <w:numId w:val="524"/>
        </w:numPr>
        <w:spacing w:before="0" w:after="80" w:line="290" w:lineRule="auto"/>
      </w:pPr>
      <w:r>
        <w:rPr>
          <w:rFonts w:ascii="Aptos" w:hAnsi="Aptos"/>
          <w:b w:val="0"/>
          <w:i w:val="0"/>
          <w:sz w:val="20"/>
        </w:rPr>
        <w:t>Stop the arrangement; correct advertising and disclosures, end direct payment, and establish a lawful setting, work relationship, and supervision.</w:t>
      </w:r>
    </w:p>
    <w:p>
      <w:pPr>
        <w:pStyle w:val="CTAOption"/>
        <w:keepNext w:val="0"/>
        <w:numPr>
          <w:ilvl w:val="0"/>
          <w:numId w:val="524"/>
        </w:numPr>
        <w:spacing w:before="0" w:after="80" w:line="290" w:lineRule="auto"/>
      </w:pPr>
      <w:r>
        <w:rPr>
          <w:rFonts w:ascii="Aptos" w:hAnsi="Aptos"/>
          <w:b w:val="0"/>
          <w:i w:val="0"/>
          <w:sz w:val="20"/>
        </w:rPr>
        <w:t>Ask clients to consent to contractor status and direct payment, then document that continued care in the private practice best protects the treatment relationship.</w:t>
      </w:r>
    </w:p>
    <w:p>
      <w:pPr>
        <w:keepNext w:val="0"/>
        <w:spacing w:before="60" w:after="160" w:line="269" w:lineRule="auto"/>
        <w:ind w:left="140" w:right="140"/>
        <w:shd w:fill="E8F7F5"/>
        <w:pBdr>
          <w:top w:val="single" w:sz="8" w:space="3" w:color="0FA8A0"/>
          <w:left w:val="single" w:sz="8" w:space="3" w:color="0FA8A0"/>
          <w:bottom w:val="single" w:sz="8" w:space="3" w:color="0FA8A0"/>
          <w:right w:val="single" w:sz="8" w:space="3" w:color="0FA8A0"/>
        </w:pBdr>
      </w:pPr>
      <w:r>
        <w:rPr>
          <w:rFonts w:ascii="Aptos" w:hAnsi="Aptos"/>
          <w:b/>
          <w:i w:val="0"/>
          <w:color w:val="0B2545"/>
          <w:sz w:val="19"/>
        </w:rPr>
        <w:t xml:space="preserve">CORRECT ANSWER  </w:t>
      </w:r>
      <w:r>
        <w:rPr>
          <w:rFonts w:ascii="Aptos" w:hAnsi="Aptos"/>
          <w:b w:val="0"/>
          <w:i w:val="0"/>
          <w:color w:val="0B2545"/>
          <w:sz w:val="20"/>
        </w:rPr>
        <w:t>C. Stop the arrangement; correct advertising and disclosures, end direct payment, and establish a lawful setting, work relationship, and supervision.</w:t>
      </w:r>
    </w:p>
    <w:p>
      <w:pPr>
        <w:pStyle w:val="Heading3"/>
      </w:pPr>
      <w:r>
        <w:t>Option-by-Option Rationales</w:t>
      </w:r>
    </w:p>
    <w:p>
      <w:pPr>
        <w:pStyle w:val="CTAOption"/>
        <w:keepNext/>
        <w:numPr>
          <w:ilvl w:val="0"/>
          <w:numId w:val="624"/>
        </w:numPr>
        <w:spacing w:before="0" w:after="100" w:line="290" w:lineRule="auto"/>
      </w:pPr>
      <w:r>
        <w:rPr>
          <w:rFonts w:ascii="Aptos" w:hAnsi="Aptos"/>
          <w:b/>
          <w:i w:val="0"/>
          <w:color w:val="087F78"/>
          <w:sz w:val="20"/>
        </w:rPr>
        <w:t xml:space="preserve">Incorrect. </w:t>
      </w:r>
      <w:r>
        <w:rPr>
          <w:rFonts w:ascii="Aptos" w:hAnsi="Aptos"/>
          <w:b w:val="0"/>
          <w:i w:val="0"/>
          <w:sz w:val="20"/>
        </w:rPr>
        <w:t>The registration number would not cure the subsequent-registration private-practice restriction, contractor status, direct client payment, missing full title and employer information, or lack of supervision.</w:t>
      </w:r>
    </w:p>
    <w:p>
      <w:pPr>
        <w:pStyle w:val="CTAOption"/>
        <w:keepNext/>
        <w:numPr>
          <w:ilvl w:val="0"/>
          <w:numId w:val="624"/>
        </w:numPr>
        <w:spacing w:before="0" w:after="100" w:line="290" w:lineRule="auto"/>
      </w:pPr>
      <w:r>
        <w:rPr>
          <w:rFonts w:ascii="Aptos" w:hAnsi="Aptos"/>
          <w:b/>
          <w:i w:val="0"/>
          <w:color w:val="087F78"/>
          <w:sz w:val="20"/>
        </w:rPr>
        <w:t xml:space="preserve">Incorrect. </w:t>
      </w:r>
      <w:r>
        <w:rPr>
          <w:rFonts w:ascii="Aptos" w:hAnsi="Aptos"/>
          <w:b w:val="0"/>
          <w:i w:val="0"/>
          <w:sz w:val="20"/>
        </w:rPr>
        <w:t>Profession-wide scope and useful consultation do not create lawful associate authority. Consultation is not supervision, and a subsequent registrant may not work or volunteer in private practice.</w:t>
      </w:r>
    </w:p>
    <w:p>
      <w:pPr>
        <w:pStyle w:val="CTAOption"/>
        <w:keepNext/>
        <w:numPr>
          <w:ilvl w:val="0"/>
          <w:numId w:val="624"/>
        </w:numPr>
        <w:spacing w:before="0" w:after="100" w:line="290" w:lineRule="auto"/>
      </w:pPr>
      <w:r>
        <w:rPr>
          <w:rFonts w:ascii="Aptos" w:hAnsi="Aptos"/>
          <w:b/>
          <w:i w:val="0"/>
          <w:color w:val="087F78"/>
          <w:sz w:val="20"/>
        </w:rPr>
        <w:t xml:space="preserve">Correct. </w:t>
      </w:r>
      <w:r>
        <w:rPr>
          <w:rFonts w:ascii="Aptos" w:hAnsi="Aptos"/>
          <w:b w:val="0"/>
          <w:i w:val="0"/>
          <w:sz w:val="20"/>
        </w:rPr>
        <w:t>Applying STATUS → SETTING → SCOPE → SOURCE → SAFEGUARD → STEP → RECORD reveals multiple independent violations. The arrangement must stop until the work setting, relationship, supervision, advertising, disclosures, and payment flow are lawful.</w:t>
      </w:r>
    </w:p>
    <w:p>
      <w:pPr>
        <w:pStyle w:val="CTAOption"/>
        <w:keepNext w:val="0"/>
        <w:numPr>
          <w:ilvl w:val="0"/>
          <w:numId w:val="624"/>
        </w:numPr>
        <w:spacing w:before="0" w:after="100" w:line="290" w:lineRule="auto"/>
      </w:pPr>
      <w:r>
        <w:rPr>
          <w:rFonts w:ascii="Aptos" w:hAnsi="Aptos"/>
          <w:b/>
          <w:i w:val="0"/>
          <w:color w:val="087F78"/>
          <w:sz w:val="20"/>
        </w:rPr>
        <w:t xml:space="preserve">Incorrect. </w:t>
      </w:r>
      <w:r>
        <w:rPr>
          <w:rFonts w:ascii="Aptos" w:hAnsi="Aptos"/>
          <w:b w:val="0"/>
          <w:i w:val="0"/>
          <w:sz w:val="20"/>
        </w:rPr>
        <w:t>Client preference cannot waive public-protection requirements or authorize an unlawful work and payment structure.</w:t>
      </w:r>
    </w:p>
    <w:p>
      <w:pPr>
        <w:pStyle w:val="SmallNote"/>
      </w:pPr>
      <w:r>
        <w:rPr>
          <w:rFonts w:ascii="Aptos" w:hAnsi="Aptos"/>
          <w:b/>
          <w:i w:val="0"/>
          <w:color w:val="087F78"/>
          <w:sz w:val="17"/>
        </w:rPr>
        <w:t xml:space="preserve">Primary authority: </w:t>
      </w:r>
      <w:r>
        <w:rPr>
          <w:rFonts w:ascii="Aptos" w:hAnsi="Aptos"/>
          <w:b w:val="0"/>
          <w:i w:val="0"/>
          <w:color w:val="404B5A"/>
          <w:sz w:val="17"/>
        </w:rPr>
        <w:t>BPC §§ 4980.43.1, 4980.43.3, 4980.44, 4984.01; 16 CCR § 1811</w:t>
      </w:r>
    </w:p>
    <w:p>
      <w:pPr>
        <w:pStyle w:val="SmallNote"/>
      </w:pPr>
      <w:r>
        <w:rPr>
          <w:rFonts w:ascii="Aptos" w:hAnsi="Aptos"/>
          <w:b/>
          <w:i w:val="0"/>
          <w:color w:val="087F78"/>
          <w:sz w:val="17"/>
        </w:rPr>
        <w:t xml:space="preserve">Remediation: </w:t>
      </w:r>
      <w:r>
        <w:rPr>
          <w:rFonts w:ascii="Aptos" w:hAnsi="Aptos"/>
          <w:b w:val="0"/>
          <w:i w:val="0"/>
          <w:color w:val="404B5A"/>
          <w:sz w:val="17"/>
        </w:rPr>
        <w:t>Unit 8 — Integrated Application; revisit Units 3–6</w:t>
      </w:r>
    </w:p>
    <w:p>
      <w:pPr>
        <w:pStyle w:val="SmallNote"/>
      </w:pPr>
      <w:r>
        <w:rPr>
          <w:rFonts w:ascii="Aptos" w:hAnsi="Aptos"/>
          <w:b/>
          <w:i w:val="0"/>
          <w:color w:val="087F78"/>
          <w:sz w:val="17"/>
        </w:rPr>
        <w:t xml:space="preserve">Internal control: </w:t>
      </w:r>
      <w:r>
        <w:rPr>
          <w:rFonts w:ascii="Aptos" w:hAnsi="Aptos"/>
          <w:b w:val="0"/>
          <w:i w:val="0"/>
          <w:color w:val="404B5A"/>
          <w:sz w:val="17"/>
        </w:rPr>
        <w:t>CTA-EP-001-LS-025 | Unit 8 | LO-4, LO-5, LO-6, LO-7, LO-8, LO-12 | Difficult | Integrated Challenge</w:t>
      </w:r>
    </w:p>
    <w:p>
      <w:r>
        <w:br w:type="page"/>
      </w:r>
    </w:p>
    <w:p>
      <w:pPr>
        <w:pStyle w:val="Heading1"/>
      </w:pPr>
      <w:r>
        <w:t>Official Source Register</w:t>
      </w:r>
    </w:p>
    <w:p>
      <w:pPr>
        <w:keepNext w:val="0"/>
        <w:spacing w:before="0" w:after="120" w:line="276" w:lineRule="auto"/>
      </w:pPr>
      <w:r>
        <w:rPr>
          <w:rFonts w:ascii="Aptos" w:hAnsi="Aptos"/>
          <w:b w:val="0"/>
          <w:i w:val="0"/>
          <w:sz w:val="20"/>
        </w:rPr>
        <w:t>Source review completed August 2, 2026. Current statutes and regulations control. Current official BBS guidance controls administrative procedures. Recheck after any material statutory, regulatory, examination, or transition update.</w:t>
      </w:r>
    </w:p>
    <w:p>
      <w:pPr>
        <w:pStyle w:val="CTABullet"/>
      </w:pPr>
      <w:hyperlink r:id="rId12">
        <w:r>
          <w:rPr>
            <w:rFonts w:ascii="Aptos" w:hAnsi="Aptos"/>
            <w:color w:val="087F78"/>
            <w:u w:val="single"/>
            <w:sz w:val="20"/>
          </w:rPr>
          <w:t>BBS Statutes and Regulations, effective January 1, 2026</w:t>
        </w:r>
      </w:hyperlink>
    </w:p>
    <w:p>
      <w:pPr>
        <w:pStyle w:val="CTABullet"/>
      </w:pPr>
      <w:hyperlink r:id="rId13">
        <w:r>
          <w:rPr>
            <w:rFonts w:ascii="Aptos" w:hAnsi="Aptos"/>
            <w:color w:val="087F78"/>
            <w:u w:val="single"/>
            <w:sz w:val="20"/>
          </w:rPr>
          <w:t>BBS California Law and Ethics Examination page</w:t>
        </w:r>
      </w:hyperlink>
    </w:p>
    <w:p>
      <w:pPr>
        <w:pStyle w:val="CTABullet"/>
      </w:pPr>
      <w:hyperlink r:id="rId14">
        <w:r>
          <w:rPr>
            <w:rFonts w:ascii="Aptos" w:hAnsi="Aptos"/>
            <w:color w:val="087F78"/>
            <w:u w:val="single"/>
            <w:sz w:val="20"/>
          </w:rPr>
          <w:t>BBS LMFT applicant pathway</w:t>
        </w:r>
      </w:hyperlink>
    </w:p>
    <w:p>
      <w:pPr>
        <w:pStyle w:val="CTABullet"/>
      </w:pPr>
      <w:hyperlink r:id="rId15">
        <w:r>
          <w:rPr>
            <w:rFonts w:ascii="Aptos" w:hAnsi="Aptos"/>
            <w:color w:val="087F78"/>
            <w:u w:val="single"/>
            <w:sz w:val="20"/>
          </w:rPr>
          <w:t>BBS Advertising Requirements Fact Sheet, effective April 1, 2026</w:t>
        </w:r>
      </w:hyperlink>
    </w:p>
    <w:p>
      <w:pPr>
        <w:pStyle w:val="CTABullet"/>
      </w:pPr>
      <w:hyperlink r:id="rId16">
        <w:r>
          <w:rPr>
            <w:rFonts w:ascii="Aptos" w:hAnsi="Aptos"/>
            <w:color w:val="087F78"/>
            <w:u w:val="single"/>
            <w:sz w:val="20"/>
          </w:rPr>
          <w:t>BBS Frequently Asked Questions for Supervisors, February 2026</w:t>
        </w:r>
      </w:hyperlink>
    </w:p>
    <w:p>
      <w:pPr>
        <w:pStyle w:val="CTABullet"/>
      </w:pPr>
      <w:hyperlink r:id="rId17">
        <w:r>
          <w:rPr>
            <w:rFonts w:ascii="Aptos" w:hAnsi="Aptos"/>
            <w:color w:val="087F78"/>
            <w:u w:val="single"/>
            <w:sz w:val="20"/>
          </w:rPr>
          <w:t>BBS AMFTRB Transition Update, Agenda Item 25, May 2026</w:t>
        </w:r>
      </w:hyperlink>
    </w:p>
    <w:p>
      <w:pPr>
        <w:keepNext w:val="0"/>
        <w:spacing w:before="60" w:after="160" w:line="269" w:lineRule="auto"/>
        <w:ind w:left="140" w:right="140"/>
        <w:shd w:fill="E8EEF5"/>
        <w:pBdr>
          <w:top w:val="single" w:sz="8" w:space="3" w:color="A9BCD3"/>
          <w:left w:val="single" w:sz="8" w:space="3" w:color="A9BCD3"/>
          <w:bottom w:val="single" w:sz="8" w:space="3" w:color="A9BCD3"/>
          <w:right w:val="single" w:sz="8" w:space="3" w:color="A9BCD3"/>
        </w:pBdr>
      </w:pPr>
      <w:r>
        <w:rPr>
          <w:rFonts w:ascii="Aptos" w:hAnsi="Aptos"/>
          <w:b/>
          <w:i w:val="0"/>
          <w:color w:val="0B2545"/>
          <w:sz w:val="19"/>
        </w:rPr>
        <w:t xml:space="preserve">CURRENCY CONTROL  </w:t>
      </w:r>
      <w:r>
        <w:rPr>
          <w:rFonts w:ascii="Aptos" w:hAnsi="Aptos"/>
          <w:b w:val="0"/>
          <w:i w:val="0"/>
          <w:color w:val="0B2545"/>
          <w:sz w:val="20"/>
        </w:rPr>
        <w:t>Fees, forms, vendor procedures, waiting periods, eligibility notices, and implementation dates can change. Verify current requirements on official sources immediately before release and before a candidate acts.</w:t>
      </w:r>
    </w:p>
    <w:p>
      <w:pPr>
        <w:pStyle w:val="Heading2"/>
      </w:pPr>
      <w:r>
        <w:t>Controlled Notices</w:t>
      </w:r>
    </w:p>
    <w:p>
      <w:pPr>
        <w:pStyle w:val="CTABullet"/>
      </w:pPr>
      <w:r>
        <w:rPr>
          <w:rFonts w:ascii="Aptos" w:hAnsi="Aptos"/>
          <w:b w:val="0"/>
          <w:i w:val="0"/>
          <w:sz w:val="19"/>
        </w:rPr>
        <w:t>Independent program. CTA is not affiliated with or endorsed by BBS, Pearson VUE, AMFTRB, or any examination administrator.</w:t>
      </w:r>
    </w:p>
    <w:p>
      <w:pPr>
        <w:pStyle w:val="CTABullet"/>
      </w:pPr>
      <w:r>
        <w:rPr>
          <w:rFonts w:ascii="Aptos" w:hAnsi="Aptos"/>
          <w:b w:val="0"/>
          <w:i w:val="0"/>
          <w:sz w:val="19"/>
        </w:rPr>
        <w:t>No guarantee. Assessment performance supports readiness planning but does not guarantee examination passage, eligibility, licensure, employment, or any professional outcome.</w:t>
      </w:r>
    </w:p>
    <w:p>
      <w:pPr>
        <w:pStyle w:val="CTABullet"/>
      </w:pPr>
      <w:r>
        <w:rPr>
          <w:rFonts w:ascii="Aptos" w:hAnsi="Aptos"/>
          <w:b w:val="0"/>
          <w:i w:val="0"/>
          <w:sz w:val="19"/>
        </w:rPr>
        <w:t>Educational use. This material provides educational information and is not legal advice.</w:t>
      </w:r>
    </w:p>
    <w:p>
      <w:pPr>
        <w:pStyle w:val="CTABullet"/>
      </w:pPr>
      <w:r>
        <w:rPr>
          <w:rFonts w:ascii="Aptos" w:hAnsi="Aptos"/>
          <w:b w:val="0"/>
          <w:i w:val="0"/>
          <w:sz w:val="19"/>
        </w:rPr>
        <w:t>No CE credit. CTA-EP-001 awards no continuing-education credit and no CE certificate.</w:t>
      </w:r>
    </w:p>
    <w:p>
      <w:pPr>
        <w:pStyle w:val="CTABullet"/>
      </w:pPr>
      <w:r>
        <w:rPr>
          <w:rFonts w:ascii="Aptos" w:hAnsi="Aptos"/>
          <w:b w:val="0"/>
          <w:i w:val="0"/>
          <w:sz w:val="19"/>
        </w:rPr>
        <w:t>Original protected content. No live, recalled, copied, or unauthorized licensing-examination questions are used.</w:t>
      </w:r>
    </w:p>
    <w:sectPr w:rsidR="00FC693F" w:rsidRPr="0006063C" w:rsidSect="00034616">
      <w:headerReference w:type="default" r:id="rId9"/>
      <w:footerReference w:type="default" r:id="rId10"/>
      <w:headerReference w:type="first" r:id="rId18"/>
      <w:headerReference w:type="even" r:id="rId19"/>
      <w:footerReference w:type="first" r:id="rId20"/>
      <w:footerReference w:type="even" r:id="rId21"/>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360" w:val="right"/>
      </w:tabs>
      <w:spacing w:before="0" w:after="0" w:line="240" w:lineRule="auto"/>
    </w:pPr>
    <w:r>
      <w:rPr>
        <w:rFonts w:ascii="Aptos" w:hAnsi="Aptos"/>
        <w:b w:val="0"/>
        <w:i w:val="0"/>
        <w:color w:val="404B5A"/>
        <w:sz w:val="16"/>
      </w:rPr>
      <w:t>Controlled Key &amp; Rationales v1.1  |  Not Learner Facing</w:t>
    </w:r>
    <w:r>
      <w:rPr>
        <w:rFonts w:ascii="Aptos" w:hAnsi="Aptos"/>
        <w:b w:val="0"/>
        <w:i w:val="0"/>
        <w:color w:val="404B5A"/>
        <w:sz w:val="16"/>
      </w:rPr>
      <w:tab/>
    </w:r>
    <w:r>
      <w:rPr>
        <w:rFonts w:ascii="Aptos" w:hAnsi="Aptos"/>
        <w:b w:val="0"/>
        <w:i w:val="0"/>
        <w:color w:val="404B5A"/>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rPr>
        <w:rFonts w:ascii="Aptos" w:hAnsi="Aptos"/>
        <w:b/>
        <w:i w:val="0"/>
        <w:color w:val="9B1C1C"/>
        <w:sz w:val="17"/>
      </w:rPr>
      <w:t>CONTROLLED  |  CTA-EP-001 LMFT Practice Act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90">
    <w:multiLevelType w:val="singleLevel"/>
    <w:lvl w:ilvl="0">
      <w:start w:val="1"/>
      <w:numFmt w:val="bullet"/>
      <w:lvlText w:val="•"/>
      <w:lvlJc w:val="left"/>
      <w:pPr>
        <w:tabs>
          <w:tab w:val="num" w:pos="540"/>
        </w:tabs>
        <w:ind w:left="540" w:hanging="270"/>
        <w:spacing w:after="80" w:line="290" w:lineRule="auto"/>
      </w:pPr>
    </w:lvl>
  </w:abstractNum>
  <w:abstractNum w:abstractNumId="191">
    <w:multiLevelType w:val="singleLevel"/>
    <w:lvl w:ilvl="0">
      <w:start w:val="1"/>
      <w:numFmt w:val="upperLetter"/>
      <w:lvlText w:val="%1."/>
      <w:lvlJc w:val="left"/>
      <w:pPr>
        <w:tabs>
          <w:tab w:val="num" w:pos="540"/>
        </w:tabs>
        <w:ind w:left="540" w:hanging="270"/>
        <w:spacing w:after="80" w:line="290" w:lineRule="auto"/>
      </w:pPr>
    </w:lvl>
  </w:abstractNum>
  <w:abstractNum w:abstractNumId="192">
    <w:multiLevelType w:val="singleLevel"/>
    <w:lvl w:ilvl="0">
      <w:start w:val="1"/>
      <w:numFmt w:val="decimal"/>
      <w:lvlText w:val="%1."/>
      <w:lvlJc w:val="left"/>
      <w:pPr>
        <w:tabs>
          <w:tab w:val="num" w:pos="540"/>
        </w:tabs>
        <w:ind w:left="540" w:hanging="270"/>
        <w:spacing w:after="80" w:line="290" w:lineRule="auto"/>
      </w:pPr>
    </w:lvl>
  </w:abstractNum>
  <w:num w:numId="190">
    <w:abstractNumId w:val="190"/>
    <w:lvlOverride w:ilvl="0">
      <w:startOverride w:val="1"/>
    </w:lvlOverride>
  </w:num>
  <w:num w:numId="192">
    <w:abstractNumId w:val="192"/>
    <w:lvlOverride w:ilvl="0">
      <w:startOverride w:val="1"/>
    </w:lvlOverride>
  </w:num>
  <w:num w:numId="500">
    <w:abstractNumId w:val="191"/>
    <w:lvlOverride w:ilvl="0">
      <w:startOverride w:val="1"/>
    </w:lvlOverride>
  </w:num>
  <w:num w:numId="600">
    <w:abstractNumId w:val="191"/>
    <w:lvlOverride w:ilvl="0">
      <w:startOverride w:val="1"/>
    </w:lvlOverride>
  </w:num>
  <w:num w:numId="501">
    <w:abstractNumId w:val="191"/>
    <w:lvlOverride w:ilvl="0">
      <w:startOverride w:val="1"/>
    </w:lvlOverride>
  </w:num>
  <w:num w:numId="601">
    <w:abstractNumId w:val="191"/>
    <w:lvlOverride w:ilvl="0">
      <w:startOverride w:val="1"/>
    </w:lvlOverride>
  </w:num>
  <w:num w:numId="502">
    <w:abstractNumId w:val="191"/>
    <w:lvlOverride w:ilvl="0">
      <w:startOverride w:val="1"/>
    </w:lvlOverride>
  </w:num>
  <w:num w:numId="602">
    <w:abstractNumId w:val="191"/>
    <w:lvlOverride w:ilvl="0">
      <w:startOverride w:val="1"/>
    </w:lvlOverride>
  </w:num>
  <w:num w:numId="503">
    <w:abstractNumId w:val="191"/>
    <w:lvlOverride w:ilvl="0">
      <w:startOverride w:val="1"/>
    </w:lvlOverride>
  </w:num>
  <w:num w:numId="603">
    <w:abstractNumId w:val="191"/>
    <w:lvlOverride w:ilvl="0">
      <w:startOverride w:val="1"/>
    </w:lvlOverride>
  </w:num>
  <w:num w:numId="504">
    <w:abstractNumId w:val="191"/>
    <w:lvlOverride w:ilvl="0">
      <w:startOverride w:val="1"/>
    </w:lvlOverride>
  </w:num>
  <w:num w:numId="604">
    <w:abstractNumId w:val="191"/>
    <w:lvlOverride w:ilvl="0">
      <w:startOverride w:val="1"/>
    </w:lvlOverride>
  </w:num>
  <w:num w:numId="505">
    <w:abstractNumId w:val="191"/>
    <w:lvlOverride w:ilvl="0">
      <w:startOverride w:val="1"/>
    </w:lvlOverride>
  </w:num>
  <w:num w:numId="605">
    <w:abstractNumId w:val="191"/>
    <w:lvlOverride w:ilvl="0">
      <w:startOverride w:val="1"/>
    </w:lvlOverride>
  </w:num>
  <w:num w:numId="506">
    <w:abstractNumId w:val="191"/>
    <w:lvlOverride w:ilvl="0">
      <w:startOverride w:val="1"/>
    </w:lvlOverride>
  </w:num>
  <w:num w:numId="606">
    <w:abstractNumId w:val="191"/>
    <w:lvlOverride w:ilvl="0">
      <w:startOverride w:val="1"/>
    </w:lvlOverride>
  </w:num>
  <w:num w:numId="507">
    <w:abstractNumId w:val="191"/>
    <w:lvlOverride w:ilvl="0">
      <w:startOverride w:val="1"/>
    </w:lvlOverride>
  </w:num>
  <w:num w:numId="607">
    <w:abstractNumId w:val="191"/>
    <w:lvlOverride w:ilvl="0">
      <w:startOverride w:val="1"/>
    </w:lvlOverride>
  </w:num>
  <w:num w:numId="508">
    <w:abstractNumId w:val="191"/>
    <w:lvlOverride w:ilvl="0">
      <w:startOverride w:val="1"/>
    </w:lvlOverride>
  </w:num>
  <w:num w:numId="608">
    <w:abstractNumId w:val="191"/>
    <w:lvlOverride w:ilvl="0">
      <w:startOverride w:val="1"/>
    </w:lvlOverride>
  </w:num>
  <w:num w:numId="509">
    <w:abstractNumId w:val="191"/>
    <w:lvlOverride w:ilvl="0">
      <w:startOverride w:val="1"/>
    </w:lvlOverride>
  </w:num>
  <w:num w:numId="609">
    <w:abstractNumId w:val="191"/>
    <w:lvlOverride w:ilvl="0">
      <w:startOverride w:val="1"/>
    </w:lvlOverride>
  </w:num>
  <w:num w:numId="510">
    <w:abstractNumId w:val="191"/>
    <w:lvlOverride w:ilvl="0">
      <w:startOverride w:val="1"/>
    </w:lvlOverride>
  </w:num>
  <w:num w:numId="610">
    <w:abstractNumId w:val="191"/>
    <w:lvlOverride w:ilvl="0">
      <w:startOverride w:val="1"/>
    </w:lvlOverride>
  </w:num>
  <w:num w:numId="511">
    <w:abstractNumId w:val="191"/>
    <w:lvlOverride w:ilvl="0">
      <w:startOverride w:val="1"/>
    </w:lvlOverride>
  </w:num>
  <w:num w:numId="611">
    <w:abstractNumId w:val="191"/>
    <w:lvlOverride w:ilvl="0">
      <w:startOverride w:val="1"/>
    </w:lvlOverride>
  </w:num>
  <w:num w:numId="512">
    <w:abstractNumId w:val="191"/>
    <w:lvlOverride w:ilvl="0">
      <w:startOverride w:val="1"/>
    </w:lvlOverride>
  </w:num>
  <w:num w:numId="612">
    <w:abstractNumId w:val="191"/>
    <w:lvlOverride w:ilvl="0">
      <w:startOverride w:val="1"/>
    </w:lvlOverride>
  </w:num>
  <w:num w:numId="513">
    <w:abstractNumId w:val="191"/>
    <w:lvlOverride w:ilvl="0">
      <w:startOverride w:val="1"/>
    </w:lvlOverride>
  </w:num>
  <w:num w:numId="613">
    <w:abstractNumId w:val="191"/>
    <w:lvlOverride w:ilvl="0">
      <w:startOverride w:val="1"/>
    </w:lvlOverride>
  </w:num>
  <w:num w:numId="514">
    <w:abstractNumId w:val="191"/>
    <w:lvlOverride w:ilvl="0">
      <w:startOverride w:val="1"/>
    </w:lvlOverride>
  </w:num>
  <w:num w:numId="614">
    <w:abstractNumId w:val="191"/>
    <w:lvlOverride w:ilvl="0">
      <w:startOverride w:val="1"/>
    </w:lvlOverride>
  </w:num>
  <w:num w:numId="515">
    <w:abstractNumId w:val="191"/>
    <w:lvlOverride w:ilvl="0">
      <w:startOverride w:val="1"/>
    </w:lvlOverride>
  </w:num>
  <w:num w:numId="615">
    <w:abstractNumId w:val="191"/>
    <w:lvlOverride w:ilvl="0">
      <w:startOverride w:val="1"/>
    </w:lvlOverride>
  </w:num>
  <w:num w:numId="516">
    <w:abstractNumId w:val="191"/>
    <w:lvlOverride w:ilvl="0">
      <w:startOverride w:val="1"/>
    </w:lvlOverride>
  </w:num>
  <w:num w:numId="616">
    <w:abstractNumId w:val="191"/>
    <w:lvlOverride w:ilvl="0">
      <w:startOverride w:val="1"/>
    </w:lvlOverride>
  </w:num>
  <w:num w:numId="517">
    <w:abstractNumId w:val="191"/>
    <w:lvlOverride w:ilvl="0">
      <w:startOverride w:val="1"/>
    </w:lvlOverride>
  </w:num>
  <w:num w:numId="617">
    <w:abstractNumId w:val="191"/>
    <w:lvlOverride w:ilvl="0">
      <w:startOverride w:val="1"/>
    </w:lvlOverride>
  </w:num>
  <w:num w:numId="518">
    <w:abstractNumId w:val="191"/>
    <w:lvlOverride w:ilvl="0">
      <w:startOverride w:val="1"/>
    </w:lvlOverride>
  </w:num>
  <w:num w:numId="618">
    <w:abstractNumId w:val="191"/>
    <w:lvlOverride w:ilvl="0">
      <w:startOverride w:val="1"/>
    </w:lvlOverride>
  </w:num>
  <w:num w:numId="519">
    <w:abstractNumId w:val="191"/>
    <w:lvlOverride w:ilvl="0">
      <w:startOverride w:val="1"/>
    </w:lvlOverride>
  </w:num>
  <w:num w:numId="619">
    <w:abstractNumId w:val="191"/>
    <w:lvlOverride w:ilvl="0">
      <w:startOverride w:val="1"/>
    </w:lvlOverride>
  </w:num>
  <w:num w:numId="520">
    <w:abstractNumId w:val="191"/>
    <w:lvlOverride w:ilvl="0">
      <w:startOverride w:val="1"/>
    </w:lvlOverride>
  </w:num>
  <w:num w:numId="620">
    <w:abstractNumId w:val="191"/>
    <w:lvlOverride w:ilvl="0">
      <w:startOverride w:val="1"/>
    </w:lvlOverride>
  </w:num>
  <w:num w:numId="521">
    <w:abstractNumId w:val="191"/>
    <w:lvlOverride w:ilvl="0">
      <w:startOverride w:val="1"/>
    </w:lvlOverride>
  </w:num>
  <w:num w:numId="621">
    <w:abstractNumId w:val="191"/>
    <w:lvlOverride w:ilvl="0">
      <w:startOverride w:val="1"/>
    </w:lvlOverride>
  </w:num>
  <w:num w:numId="522">
    <w:abstractNumId w:val="191"/>
    <w:lvlOverride w:ilvl="0">
      <w:startOverride w:val="1"/>
    </w:lvlOverride>
  </w:num>
  <w:num w:numId="622">
    <w:abstractNumId w:val="191"/>
    <w:lvlOverride w:ilvl="0">
      <w:startOverride w:val="1"/>
    </w:lvlOverride>
  </w:num>
  <w:num w:numId="523">
    <w:abstractNumId w:val="191"/>
    <w:lvlOverride w:ilvl="0">
      <w:startOverride w:val="1"/>
    </w:lvlOverride>
  </w:num>
  <w:num w:numId="623">
    <w:abstractNumId w:val="191"/>
    <w:lvlOverride w:ilvl="0">
      <w:startOverride w:val="1"/>
    </w:lvlOverride>
  </w:num>
  <w:num w:numId="524">
    <w:abstractNumId w:val="191"/>
    <w:lvlOverride w:ilvl="0">
      <w:startOverride w:val="1"/>
    </w:lvlOverride>
  </w:num>
  <w:num w:numId="624">
    <w:abstractNumId w:val="1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87F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87F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Bullet">
    <w:name w:val="CTA Bullet"/>
    <w:basedOn w:val="Normal"/>
    <w:pPr>
      <w:spacing w:after="80" w:line="290" w:lineRule="auto"/>
      <w:numPr>
        <w:ilvl w:val="0"/>
        <w:numId w:val="190"/>
      </w:numPr>
    </w:pPr>
  </w:style>
  <w:style w:type="paragraph" w:customStyle="1" w:styleId="CTAOption">
    <w:name w:val="CTA Option"/>
    <w:basedOn w:val="Normal"/>
    <w:pPr>
      <w:spacing w:after="80" w:line="290" w:lineRule="auto"/>
      <w:numPr>
        <w:ilvl w:val="0"/>
        <w:numId w:val="191"/>
      </w:numPr>
    </w:pPr>
  </w:style>
  <w:style w:type="paragraph" w:customStyle="1" w:styleId="CTANumber">
    <w:name w:val="CTA Number"/>
    <w:basedOn w:val="Normal"/>
    <w:pPr>
      <w:spacing w:after="80" w:line="290" w:lineRule="auto"/>
      <w:numPr>
        <w:ilvl w:val="0"/>
        <w:numId w:val="192"/>
      </w:numPr>
    </w:pPr>
  </w:style>
  <w:style w:type="paragraph" w:customStyle="1" w:styleId="QuestionStem">
    <w:name w:val="Question Stem"/>
    <w:basedOn w:val="Normal"/>
    <w:pPr>
      <w:keepNext/>
      <w:spacing w:before="140" w:after="120" w:line="276" w:lineRule="auto"/>
    </w:pPr>
    <w:rPr>
      <w:rFonts w:ascii="Aptos" w:hAnsi="Aptos"/>
      <w:b/>
      <w:color w:val="0B2545"/>
      <w:sz w:val="21"/>
    </w:rPr>
  </w:style>
  <w:style w:type="paragraph" w:customStyle="1" w:styleId="SmallNote">
    <w:name w:val="Small Note"/>
    <w:basedOn w:val="Normal"/>
    <w:pPr>
      <w:spacing w:after="80" w:line="252" w:lineRule="auto"/>
    </w:pPr>
    <w:rPr>
      <w:rFonts w:ascii="Aptos" w:hAnsi="Aptos"/>
      <w:color w:val="404B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bbs.ca.gov/pdf/publications/lawsregs.pdf" TargetMode="External"/><Relationship Id="rId13" Type="http://schemas.openxmlformats.org/officeDocument/2006/relationships/hyperlink" Target="https://www.bbs.ca.gov/exams/calaw_ethics.html" TargetMode="External"/><Relationship Id="rId14" Type="http://schemas.openxmlformats.org/officeDocument/2006/relationships/hyperlink" Target="https://www.bbs.ca.gov/applicants/lmft.html" TargetMode="External"/><Relationship Id="rId15" Type="http://schemas.openxmlformats.org/officeDocument/2006/relationships/hyperlink" Target="https://www.bbs.ca.gov/pdf/publications/adv_guide.pdf" TargetMode="External"/><Relationship Id="rId16" Type="http://schemas.openxmlformats.org/officeDocument/2006/relationships/hyperlink" Target="https://www.bbs.ca.gov/pdf/publications/faqs_for_supervisors.pdf" TargetMode="External"/><Relationship Id="rId17" Type="http://schemas.openxmlformats.org/officeDocument/2006/relationships/hyperlink" Target="https://www.bbs.ca.gov/pdf/agen_notice/2026/20260507_item25.pdf" TargetMode="Externa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LMFT Practice Act Module 25-Question Assessment — Controlled Key and Rationales v1.0</dc:title>
  <dc:subject>Controlled LMFT California Law and Ethics assessment key and detailed rationales</dc:subject>
  <dc:creator>Clinical Training and Supervision Academy</dc:creator>
  <cp:keywords>CONTROLLED, LMFT, AMFT, California Law and Ethics, assessment, rationales</cp:keywords>
  <dc:description>Final internal controlled answer key and rationale edition approved August 3, 2026.</dc:description>
  <cp:lastModifiedBy/>
  <cp:revision>1</cp:revision>
  <dcterms:created xsi:type="dcterms:W3CDTF">2013-12-23T23:15:00Z</dcterms:created>
  <dcterms:modified xsi:type="dcterms:W3CDTF">2013-12-23T23:15:00Z</dcterms:modified>
  <cp:category/>
</cp:coreProperties>
</file>