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val="1"/>
      </w:pPr>
      <w:r>
        <w:drawing>
          <wp:inline xmlns:a="http://schemas.openxmlformats.org/drawingml/2006/main" xmlns:pic="http://schemas.openxmlformats.org/drawingml/2006/picture">
            <wp:extent cx="2743200" cy="1982912"/>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2743200" cy="1982912"/>
                    </a:xfrm>
                    <a:prstGeom prst="rect"/>
                  </pic:spPr>
                </pic:pic>
              </a:graphicData>
            </a:graphic>
          </wp:inline>
        </w:drawing>
      </w:r>
    </w:p>
    <w:p>
      <w:pPr>
        <w:pStyle w:val="Title"/>
        <w:jc w:val="center"/>
        <w:widowControl w:val="1"/>
      </w:pPr>
      <w:r>
        <w:t>LMFT Practice Act, AMFT Professional Identity &amp;</w:t>
        <w:br/>
        <w:t>California Examination Distinctions</w:t>
      </w:r>
    </w:p>
    <w:p>
      <w:pPr>
        <w:pStyle w:val="Subtitle"/>
        <w:jc w:val="center"/>
        <w:widowControl w:val="1"/>
      </w:pPr>
      <w:r>
        <w:t>Master Content Map and Learning Objectives</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700"/>
        <w:gridCol w:w="6660"/>
      </w:tblGrid>
      <w:tr>
        <w:trPr>
          <w:cantSplit/>
          <w:tblHeader w:val="true"/>
        </w:trPr>
        <w:tc>
          <w:tcPr>
            <w:tcW w:type="dxa" w:w="2700"/>
            <w:tcMar>
              <w:top w:w="100" w:type="dxa"/>
              <w:start w:w="120" w:type="dxa"/>
              <w:bottom w:w="100" w:type="dxa"/>
              <w:end w:w="120" w:type="dxa"/>
            </w:tcMar>
            <w:vAlign w:val="top"/>
            <w:shd w:fill="0B2545"/>
          </w:tcPr>
          <w:p>
            <w:pPr>
              <w:keepNext w:val="0"/>
              <w:spacing w:before="0" w:after="60" w:line="259" w:lineRule="auto"/>
            </w:pPr>
            <w:r>
              <w:rPr>
                <w:rFonts w:ascii="Aptos" w:hAnsi="Aptos"/>
                <w:b/>
                <w:i w:val="0"/>
                <w:color w:val="FFFFFF"/>
                <w:sz w:val="18"/>
              </w:rPr>
              <w:t>Program</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CTA LMFT California Law &amp; Ethics Exam Preparation Program</w:t>
            </w:r>
          </w:p>
        </w:tc>
      </w:tr>
      <w:tr>
        <w:trPr>
          <w:cantSplit/>
        </w:trPr>
        <w:tc>
          <w:tcPr>
            <w:tcW w:type="dxa" w:w="2700"/>
            <w:tcMar>
              <w:top w:w="100" w:type="dxa"/>
              <w:start w:w="120" w:type="dxa"/>
              <w:bottom w:w="100" w:type="dxa"/>
              <w:end w:w="120" w:type="dxa"/>
            </w:tcMar>
            <w:vAlign w:val="top"/>
            <w:shd w:fill="0B2545"/>
          </w:tcPr>
          <w:p>
            <w:pPr>
              <w:keepNext w:val="0"/>
              <w:spacing w:before="0" w:after="60" w:line="259" w:lineRule="auto"/>
            </w:pPr>
            <w:r>
              <w:rPr>
                <w:rFonts w:ascii="Aptos" w:hAnsi="Aptos"/>
                <w:b/>
                <w:i w:val="0"/>
                <w:color w:val="FFFFFF"/>
                <w:sz w:val="18"/>
              </w:rPr>
              <w:t>Program code</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CTA-EP-001</w:t>
            </w:r>
          </w:p>
        </w:tc>
      </w:tr>
      <w:tr>
        <w:trPr>
          <w:cantSplit/>
        </w:trPr>
        <w:tc>
          <w:tcPr>
            <w:tcW w:type="dxa" w:w="2700"/>
            <w:tcMar>
              <w:top w:w="100" w:type="dxa"/>
              <w:start w:w="120" w:type="dxa"/>
              <w:bottom w:w="100" w:type="dxa"/>
              <w:end w:w="120" w:type="dxa"/>
            </w:tcMar>
            <w:vAlign w:val="top"/>
            <w:shd w:fill="0B2545"/>
          </w:tcPr>
          <w:p>
            <w:pPr>
              <w:keepNext w:val="0"/>
              <w:spacing w:before="0" w:after="60" w:line="259" w:lineRule="auto"/>
            </w:pPr>
            <w:r>
              <w:rPr>
                <w:rFonts w:ascii="Aptos" w:hAnsi="Aptos"/>
                <w:b/>
                <w:i w:val="0"/>
                <w:color w:val="FFFFFF"/>
                <w:sz w:val="18"/>
              </w:rPr>
              <w:t>Classification</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Exam Preparation Program | No CE Credit</w:t>
            </w:r>
          </w:p>
        </w:tc>
      </w:tr>
      <w:tr>
        <w:trPr>
          <w:cantSplit/>
        </w:trPr>
        <w:tc>
          <w:tcPr>
            <w:tcW w:type="dxa" w:w="2700"/>
            <w:tcMar>
              <w:top w:w="100" w:type="dxa"/>
              <w:start w:w="120" w:type="dxa"/>
              <w:bottom w:w="100" w:type="dxa"/>
              <w:end w:w="120" w:type="dxa"/>
            </w:tcMar>
            <w:vAlign w:val="top"/>
            <w:shd w:fill="0B2545"/>
          </w:tcPr>
          <w:p>
            <w:pPr>
              <w:keepNext w:val="0"/>
              <w:spacing w:before="0" w:after="60" w:line="259" w:lineRule="auto"/>
            </w:pPr>
            <w:r>
              <w:rPr>
                <w:rFonts w:ascii="Aptos" w:hAnsi="Aptos"/>
                <w:b/>
                <w:i w:val="0"/>
                <w:color w:val="FFFFFF"/>
                <w:sz w:val="18"/>
              </w:rPr>
              <w:t>Audience</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LMFT and AMFT candidates only</w:t>
            </w:r>
          </w:p>
        </w:tc>
      </w:tr>
      <w:tr>
        <w:trPr>
          <w:cantSplit/>
        </w:trPr>
        <w:tc>
          <w:tcPr>
            <w:tcW w:type="dxa" w:w="2700"/>
            <w:tcMar>
              <w:top w:w="100" w:type="dxa"/>
              <w:start w:w="120" w:type="dxa"/>
              <w:bottom w:w="100" w:type="dxa"/>
              <w:end w:w="120" w:type="dxa"/>
            </w:tcMar>
            <w:vAlign w:val="top"/>
            <w:shd w:fill="0B2545"/>
          </w:tcPr>
          <w:p>
            <w:pPr>
              <w:keepNext w:val="0"/>
              <w:spacing w:before="0" w:after="60" w:line="259" w:lineRule="auto"/>
            </w:pPr>
            <w:r>
              <w:rPr>
                <w:rFonts w:ascii="Aptos" w:hAnsi="Aptos"/>
                <w:b/>
                <w:i w:val="0"/>
                <w:color w:val="FFFFFF"/>
                <w:sz w:val="18"/>
              </w:rPr>
              <w:t>Document status</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Final Internal | Approved controlled component</w:t>
            </w:r>
          </w:p>
        </w:tc>
      </w:tr>
      <w:tr>
        <w:trPr>
          <w:cantSplit/>
        </w:trPr>
        <w:tc>
          <w:tcPr>
            <w:tcW w:type="dxa" w:w="2700"/>
            <w:tcMar>
              <w:top w:w="100" w:type="dxa"/>
              <w:start w:w="120" w:type="dxa"/>
              <w:bottom w:w="100" w:type="dxa"/>
              <w:end w:w="120" w:type="dxa"/>
            </w:tcMar>
            <w:vAlign w:val="top"/>
            <w:shd w:fill="0B2545"/>
          </w:tcPr>
          <w:p>
            <w:pPr>
              <w:keepNext w:val="0"/>
              <w:spacing w:before="0" w:after="60" w:line="259" w:lineRule="auto"/>
            </w:pPr>
            <w:r>
              <w:rPr>
                <w:rFonts w:ascii="Aptos" w:hAnsi="Aptos"/>
                <w:b/>
                <w:i w:val="0"/>
                <w:color w:val="FFFFFF"/>
                <w:sz w:val="18"/>
              </w:rPr>
              <w:t>Version / date</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v1.1 | August 3, 2026</w:t>
            </w:r>
          </w:p>
        </w:tc>
      </w:tr>
    </w:tbl>
    <w:p>
      <w:pPr>
        <w:widowControl w:val="1"/>
      </w:pPr>
    </w:p>
    <w:tbl>
      <w:tblPr>
        <w:tblW w:type="dxa" w:w="9360"/>
        <w:jc w:val="left"/>
        <w:tblLayout w:type="fixed"/>
        <w:tblLook w:firstColumn="1" w:firstRow="1" w:lastColumn="0" w:lastRow="0" w:noHBand="0" w:noVBand="1" w:val="04A0"/>
        <w:tblInd w:w="0" w:type="dxa"/>
        <w:tblBorders>
          <w:top w:val="single" w:sz="8" w:space="0" w:color="0FA8A0"/>
          <w:left w:val="single" w:sz="8" w:space="0" w:color="0FA8A0"/>
          <w:bottom w:val="single" w:sz="8" w:space="0" w:color="0FA8A0"/>
          <w:right w:val="single" w:sz="8" w:space="0" w:color="0FA8A0"/>
          <w:insideH w:val="single" w:sz="8" w:space="0" w:color="0FA8A0"/>
          <w:insideV w:val="single" w:sz="8" w:space="0" w:color="0FA8A0"/>
        </w:tblBorders>
      </w:tblPr>
      <w:tblGrid>
        <w:gridCol w:w="9360"/>
      </w:tblGrid>
      <w:tr>
        <w:trPr>
          <w:cantSplit/>
          <w:tblHeader w:val="true"/>
        </w:trPr>
        <w:tc>
          <w:tcPr>
            <w:tcW w:type="dxa" w:w="9360"/>
            <w:tcMar>
              <w:top w:w="100" w:type="dxa"/>
              <w:start w:w="120" w:type="dxa"/>
              <w:bottom w:w="100" w:type="dxa"/>
              <w:end w:w="120" w:type="dxa"/>
            </w:tcMar>
            <w:vAlign w:val="top"/>
            <w:shd w:fill="E8F7F5"/>
          </w:tcPr>
          <w:p>
            <w:pPr>
              <w:keepNext w:val="0"/>
              <w:spacing w:before="0" w:after="40" w:line="269" w:lineRule="auto"/>
            </w:pPr>
            <w:r>
              <w:rPr>
                <w:rFonts w:ascii="Aptos" w:hAnsi="Aptos"/>
                <w:b/>
                <w:i w:val="0"/>
                <w:color w:val="0B2545"/>
                <w:sz w:val="19"/>
              </w:rPr>
              <w:t xml:space="preserve">CONTROLLING CLASSIFICATION  </w:t>
            </w:r>
            <w:r>
              <w:rPr>
                <w:rFonts w:ascii="Aptos" w:hAnsi="Aptos"/>
                <w:b w:val="0"/>
                <w:i w:val="0"/>
                <w:color w:val="0B2545"/>
                <w:sz w:val="20"/>
              </w:rPr>
              <w:t>This module belongs to a license-specific LMFT California Law and Ethics exam-preparation program. It is not a continuing-education course, awards no CE credit or CE certificate, and is not the CTA LMFT AMFTRB National Exam Preparation Program.</w:t>
            </w:r>
          </w:p>
        </w:tc>
      </w:tr>
    </w:tbl>
    <w:p>
      <w:pPr>
        <w:spacing w:after="0"/>
        <w:widowControl w:val="1"/>
      </w:pPr>
    </w:p>
    <w:p>
      <w:pPr>
        <w:jc w:val="center"/>
        <w:widowControl w:val="1"/>
      </w:pPr>
      <w:r>
        <w:rPr>
          <w:rFonts w:ascii="Aptos" w:hAnsi="Aptos"/>
          <w:b/>
          <w:i w:val="0"/>
          <w:color w:val="087F78"/>
          <w:sz w:val="22"/>
        </w:rPr>
        <w:t>Teaching Clinicians How to Think.™</w:t>
      </w:r>
    </w:p>
    <w:p>
      <w:pPr>
        <w:widowControl w:val="1"/>
      </w:pPr>
      <w:r>
        <w:br w:type="page"/>
      </w:r>
    </w:p>
    <w:p>
      <w:pPr>
        <w:pStyle w:val="Heading1"/>
        <w:widowControl w:val="1"/>
      </w:pPr>
      <w:r>
        <w:t>1. Document Control and Approval Record</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700"/>
        <w:gridCol w:w="6660"/>
      </w:tblGrid>
      <w:tr>
        <w:trPr>
          <w:cantSplit/>
          <w:tblHeader w:val="true"/>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Controlling plan</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Fast-Track License-Specific Conversion and Release Blueprint v1.0</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Program offer</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$199 | Six months of access</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Module placement</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Required license-specific module after program orientation and before Workbook 1</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Assessment dependency</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One separate 25-question LMFT license-specific assessment with controlled answer key and option-by-option rationales</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Primary development use</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Controls module prose, instructional features, assessment blueprint, rationales, flashcard updates, LMS lesson structure, and release records</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Supersedes</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New component; no prior module version</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Source-review date</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August 2, 2026</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Approval outcome</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Approved for final internal module, assessment, LMS, and release-control use</w:t>
            </w:r>
          </w:p>
        </w:tc>
      </w:tr>
    </w:tbl>
    <w:p>
      <w:pPr>
        <w:pStyle w:val="Heading1"/>
        <w:widowControl w:val="1"/>
      </w:pPr>
      <w:r>
        <w:t>2. Module Purpose and Release Role</w:t>
      </w:r>
    </w:p>
    <w:p>
      <w:pPr>
        <w:widowControl w:val="1"/>
      </w:pPr>
      <w:r>
        <w:rPr>
          <w:rFonts w:ascii="Aptos" w:hAnsi="Aptos"/>
          <w:b/>
          <w:i w:val="0"/>
          <w:color w:val="087F78"/>
          <w:sz w:val="21"/>
        </w:rPr>
        <w:t xml:space="preserve">Purpose. </w:t>
      </w:r>
      <w:r>
        <w:rPr>
          <w:rFonts w:ascii="Aptos" w:hAnsi="Aptos"/>
          <w:b w:val="0"/>
          <w:i w:val="0"/>
          <w:sz w:val="21"/>
        </w:rPr>
        <w:t>Establish the profession-specific legal identity and examination pathway that the shared nine-workbook core does not fully supply. The module teaches candidates to recognize the controlling LMFT Practice Act rule, locate the candidate’s legal status, apply AMFT-specific practice restrictions and disclosures, and distinguish the LMFT California Law and Ethics Examination from clinical examinations and proposed future transition activity.</w:t>
      </w:r>
    </w:p>
    <w:p>
      <w:pPr>
        <w:widowControl w:val="1"/>
      </w:pPr>
      <w:r>
        <w:rPr>
          <w:rFonts w:ascii="Aptos" w:hAnsi="Aptos"/>
          <w:b/>
          <w:i w:val="0"/>
          <w:color w:val="087F78"/>
          <w:sz w:val="21"/>
        </w:rPr>
        <w:t xml:space="preserve">Release role. </w:t>
      </w:r>
      <w:r>
        <w:rPr>
          <w:rFonts w:ascii="Aptos" w:hAnsi="Aptos"/>
          <w:b w:val="0"/>
          <w:i w:val="0"/>
          <w:sz w:val="21"/>
        </w:rPr>
        <w:t>This component is the conversion bridge between the formerly shared LMFT/LCSW/LPCC curriculum and the LMFT Candidate Editions. It creates the vocabulary, legal hierarchy, and examination distinctions that every later workbook, question bank, examination form, flashcard, learner resource, and LMS page must use consistently.</w:t>
      </w:r>
    </w:p>
    <w:p>
      <w:pPr>
        <w:widowControl w:val="1"/>
      </w:pPr>
      <w:r>
        <w:br w:type="page"/>
      </w:r>
    </w:p>
    <w:p>
      <w:pPr>
        <w:pStyle w:val="Heading1"/>
        <w:widowControl w:val="1"/>
      </w:pPr>
      <w:r>
        <w:t>3. Audience, Assumptions, and Boundaries</w:t>
      </w:r>
    </w:p>
    <w:tbl>
      <w:tblPr>
        <w:tblW w:type="dxa" w:w="9360"/>
        <w:jc w:val="left"/>
        <w:tblLayout w:type="fixed"/>
        <w:tblLook w:firstColumn="1" w:firstRow="1" w:lastColumn="0" w:lastRow="0" w:noHBand="0" w:noVBand="1" w:val="04A0"/>
        <w:tblInd w:w="0" w:type="dxa"/>
        <w:tblBorders>
          <w:top w:val="single" w:sz="8" w:space="0" w:color="0FA8A0"/>
          <w:left w:val="single" w:sz="8" w:space="0" w:color="0FA8A0"/>
          <w:bottom w:val="single" w:sz="8" w:space="0" w:color="0FA8A0"/>
          <w:right w:val="single" w:sz="8" w:space="0" w:color="0FA8A0"/>
          <w:insideH w:val="single" w:sz="8" w:space="0" w:color="0FA8A0"/>
          <w:insideV w:val="single" w:sz="8" w:space="0" w:color="0FA8A0"/>
        </w:tblBorders>
      </w:tblPr>
      <w:tblGrid>
        <w:gridCol w:w="9360"/>
      </w:tblGrid>
      <w:tr>
        <w:trPr>
          <w:cantSplit/>
          <w:tblHeader w:val="true"/>
        </w:trPr>
        <w:tc>
          <w:tcPr>
            <w:tcW w:type="dxa" w:w="9360"/>
            <w:tcMar>
              <w:top w:w="100" w:type="dxa"/>
              <w:start w:w="120" w:type="dxa"/>
              <w:bottom w:w="100" w:type="dxa"/>
              <w:end w:w="120" w:type="dxa"/>
            </w:tcMar>
            <w:vAlign w:val="top"/>
            <w:shd w:fill="E8EEF5"/>
          </w:tcPr>
          <w:p>
            <w:pPr>
              <w:keepNext w:val="0"/>
              <w:spacing w:before="0" w:after="40" w:line="269" w:lineRule="auto"/>
            </w:pPr>
            <w:r>
              <w:rPr>
                <w:rFonts w:ascii="Aptos" w:hAnsi="Aptos"/>
                <w:b/>
                <w:i w:val="0"/>
                <w:color w:val="0B2545"/>
                <w:sz w:val="19"/>
              </w:rPr>
              <w:t xml:space="preserve">SOURCE-OF-TRUTH RULE  </w:t>
            </w:r>
            <w:r>
              <w:rPr>
                <w:rFonts w:ascii="Aptos" w:hAnsi="Aptos"/>
                <w:b w:val="0"/>
                <w:i w:val="0"/>
                <w:color w:val="0B2545"/>
                <w:sz w:val="20"/>
              </w:rPr>
              <w:t>When this module conflicts with a shared-core statement, the current California LMFT Practice Act, applicable regulations, and current official BBS guidance control. Proposed legislation or rulemaking must be labeled proposed or pending until effective.</w:t>
            </w:r>
          </w:p>
        </w:tc>
      </w:tr>
    </w:tbl>
    <w:p>
      <w:pPr>
        <w:spacing w:after="0"/>
        <w:widowControl w:val="1"/>
      </w:pPr>
    </w:p>
    <w:p>
      <w:pPr>
        <w:pStyle w:val="ListBullet"/>
        <w:widowControl w:val="1"/>
      </w:pPr>
      <w:r>
        <w:rPr>
          <w:rFonts w:ascii="Aptos" w:hAnsi="Aptos"/>
          <w:b w:val="0"/>
          <w:i w:val="0"/>
          <w:sz w:val="21"/>
        </w:rPr>
        <w:t>Primary learners: California Associate Marriage and Family Therapists (AMFTs) and other eligible LMFT candidates preparing for the LMFT California Law and Ethics Examination.</w:t>
      </w:r>
    </w:p>
    <w:p>
      <w:pPr>
        <w:pStyle w:val="ListBullet"/>
        <w:widowControl w:val="1"/>
      </w:pPr>
      <w:r>
        <w:rPr>
          <w:rFonts w:ascii="Aptos" w:hAnsi="Aptos"/>
          <w:b w:val="0"/>
          <w:i w:val="0"/>
          <w:sz w:val="21"/>
        </w:rPr>
        <w:t>Professional lens: relational, systemic, treatment-unit, couple, and family reasoning where relevant to the legal or ethical decision.</w:t>
      </w:r>
    </w:p>
    <w:p>
      <w:pPr>
        <w:pStyle w:val="ListBullet"/>
        <w:widowControl w:val="1"/>
      </w:pPr>
      <w:r>
        <w:rPr>
          <w:rFonts w:ascii="Aptos" w:hAnsi="Aptos"/>
          <w:b w:val="0"/>
          <w:i w:val="0"/>
          <w:sz w:val="21"/>
        </w:rPr>
        <w:t>Prerequisite: program orientation only. No prior completion of the nine workbooks is required.</w:t>
      </w:r>
    </w:p>
    <w:p>
      <w:pPr>
        <w:pStyle w:val="ListBullet"/>
        <w:widowControl w:val="1"/>
      </w:pPr>
      <w:r>
        <w:rPr>
          <w:rFonts w:ascii="Aptos" w:hAnsi="Aptos"/>
          <w:b w:val="0"/>
          <w:i w:val="0"/>
          <w:sz w:val="21"/>
        </w:rPr>
        <w:t>Instructional depth: exam-relevant application of LMFT-specific identity and Practice Act rules; not an exhaustive licensing handbook or legal treatise.</w:t>
      </w:r>
    </w:p>
    <w:p>
      <w:pPr>
        <w:pStyle w:val="ListBullet"/>
        <w:widowControl w:val="1"/>
      </w:pPr>
      <w:r>
        <w:rPr>
          <w:rFonts w:ascii="Aptos" w:hAnsi="Aptos"/>
          <w:b w:val="0"/>
          <w:i w:val="0"/>
          <w:sz w:val="21"/>
        </w:rPr>
        <w:t>Assessment protection: only original CTA questions; no live, recalled, copied, or unauthorized licensing-examination content.</w:t>
      </w:r>
    </w:p>
    <w:p>
      <w:pPr>
        <w:pStyle w:val="ListBullet"/>
        <w:widowControl w:val="1"/>
      </w:pPr>
      <w:r>
        <w:rPr>
          <w:rFonts w:ascii="Aptos" w:hAnsi="Aptos"/>
          <w:b w:val="0"/>
          <w:i w:val="0"/>
          <w:sz w:val="21"/>
        </w:rPr>
        <w:t>Currency control: exact fees, vendor procedures, and transition dates are high-change facts and must be verified on official sources before learner release.</w:t>
      </w:r>
    </w:p>
    <w:p>
      <w:pPr>
        <w:widowControl w:val="1"/>
      </w:pPr>
      <w:r>
        <w:br w:type="page"/>
      </w:r>
    </w:p>
    <w:p>
      <w:pPr>
        <w:pStyle w:val="Heading2"/>
        <w:widowControl w:val="1"/>
      </w:pPr>
      <w:r>
        <w:t>Explicit Exclusions</w:t>
      </w:r>
    </w:p>
    <w:p>
      <w:pPr>
        <w:pStyle w:val="ListBullet"/>
        <w:widowControl w:val="1"/>
      </w:pPr>
      <w:r>
        <w:rPr>
          <w:rFonts w:ascii="Aptos" w:hAnsi="Aptos"/>
          <w:b w:val="0"/>
          <w:i w:val="0"/>
          <w:sz w:val="21"/>
        </w:rPr>
        <w:t>No LCSW/ASW or LPCC/APCC candidate instruction, comparison tables, or generic “mental health professional” framing.</w:t>
      </w:r>
    </w:p>
    <w:p>
      <w:pPr>
        <w:pStyle w:val="ListBullet"/>
        <w:widowControl w:val="1"/>
      </w:pPr>
      <w:r>
        <w:rPr>
          <w:rFonts w:ascii="Aptos" w:hAnsi="Aptos"/>
          <w:b w:val="0"/>
          <w:i w:val="0"/>
          <w:sz w:val="21"/>
        </w:rPr>
        <w:t>No preparation for the California LMFT Clinical Examination or AMFTRB National Examination beyond concise pathway distinctions needed to prevent candidate confusion.</w:t>
      </w:r>
    </w:p>
    <w:p>
      <w:pPr>
        <w:pStyle w:val="ListBullet"/>
        <w:widowControl w:val="1"/>
      </w:pPr>
      <w:r>
        <w:rPr>
          <w:rFonts w:ascii="Aptos" w:hAnsi="Aptos"/>
          <w:b w:val="0"/>
          <w:i w:val="0"/>
          <w:sz w:val="21"/>
        </w:rPr>
        <w:t>No CE-hour language, CE learning contract, CE evaluation, CE certificate, or representation that the module satisfies a Board-required CE course.</w:t>
      </w:r>
    </w:p>
    <w:p>
      <w:pPr>
        <w:pStyle w:val="ListBullet"/>
        <w:widowControl w:val="1"/>
      </w:pPr>
      <w:r>
        <w:rPr>
          <w:rFonts w:ascii="Aptos" w:hAnsi="Aptos"/>
          <w:b w:val="0"/>
          <w:i w:val="0"/>
          <w:sz w:val="21"/>
        </w:rPr>
        <w:t>No new bonus resource development before launch.</w:t>
      </w:r>
    </w:p>
    <w:p>
      <w:pPr>
        <w:pStyle w:val="ListBullet"/>
        <w:widowControl w:val="1"/>
      </w:pPr>
      <w:r>
        <w:rPr>
          <w:rFonts w:ascii="Aptos" w:hAnsi="Aptos"/>
          <w:b w:val="0"/>
          <w:i w:val="0"/>
          <w:sz w:val="21"/>
        </w:rPr>
        <w:t>No unnecessary duplication of confidentiality, mandated reporting, boundaries, telehealth, records, or other shared-core instruction except where an LMFT/AMFT status distinction changes the analysis.</w:t>
      </w:r>
    </w:p>
    <w:p>
      <w:pPr>
        <w:widowControl w:val="1"/>
      </w:pPr>
      <w:r>
        <w:br w:type="page"/>
      </w:r>
    </w:p>
    <w:p>
      <w:pPr>
        <w:pStyle w:val="Heading1"/>
        <w:widowControl w:val="1"/>
      </w:pPr>
      <w:r>
        <w:t>4. Module-Level Learning Objectives</w:t>
      </w:r>
    </w:p>
    <w:p>
      <w:pPr>
        <w:widowControl w:val="1"/>
      </w:pPr>
      <w:r>
        <w:rPr>
          <w:rFonts w:ascii="Aptos" w:hAnsi="Aptos"/>
          <w:b w:val="0"/>
          <w:i/>
          <w:color w:val="404B5A"/>
          <w:sz w:val="21"/>
        </w:rPr>
        <w:t>After completing this module, the learner will be able to:</w:t>
      </w:r>
    </w:p>
    <w:p>
      <w:pPr>
        <w:pStyle w:val="ListBullet"/>
        <w:widowControl w:val="1"/>
      </w:pPr>
      <w:r>
        <w:rPr>
          <w:rFonts w:ascii="Aptos" w:hAnsi="Aptos"/>
          <w:b/>
          <w:i w:val="0"/>
          <w:color w:val="087F78"/>
          <w:sz w:val="21"/>
        </w:rPr>
        <w:t xml:space="preserve">LO-1: </w:t>
      </w:r>
      <w:r>
        <w:rPr>
          <w:rFonts w:ascii="Aptos" w:hAnsi="Aptos"/>
          <w:b w:val="0"/>
          <w:i w:val="0"/>
          <w:sz w:val="21"/>
        </w:rPr>
        <w:t>Locate and prioritize the California Business and Professions Code, Title 16 regulations, and current BBS guidance when resolving an LMFT-specific law-and-ethics question.</w:t>
      </w:r>
    </w:p>
    <w:p>
      <w:pPr>
        <w:pStyle w:val="ListBullet"/>
        <w:widowControl w:val="1"/>
      </w:pPr>
      <w:r>
        <w:rPr>
          <w:rFonts w:ascii="Aptos" w:hAnsi="Aptos"/>
          <w:b/>
          <w:i w:val="0"/>
          <w:color w:val="087F78"/>
          <w:sz w:val="21"/>
        </w:rPr>
        <w:t xml:space="preserve">LO-2: </w:t>
      </w:r>
      <w:r>
        <w:rPr>
          <w:rFonts w:ascii="Aptos" w:hAnsi="Aptos"/>
          <w:b w:val="0"/>
          <w:i w:val="0"/>
          <w:sz w:val="21"/>
        </w:rPr>
        <w:t>Differentiate the legal identities of LMFT, registered AMFT, marriage and family therapist trainee, applicant for registration, and applicant for licensure.</w:t>
      </w:r>
    </w:p>
    <w:p>
      <w:pPr>
        <w:pStyle w:val="ListBullet"/>
        <w:widowControl w:val="1"/>
      </w:pPr>
      <w:r>
        <w:rPr>
          <w:rFonts w:ascii="Aptos" w:hAnsi="Aptos"/>
          <w:b/>
          <w:i w:val="0"/>
          <w:color w:val="087F78"/>
          <w:sz w:val="21"/>
        </w:rPr>
        <w:t xml:space="preserve">LO-3: </w:t>
      </w:r>
      <w:r>
        <w:rPr>
          <w:rFonts w:ascii="Aptos" w:hAnsi="Aptos"/>
          <w:b w:val="0"/>
          <w:i w:val="0"/>
          <w:sz w:val="21"/>
        </w:rPr>
        <w:t>Apply the statutory LMFT scope of practice to determine whether a proposed service, intervention, or professional representation is within the profession’s authorized role.</w:t>
      </w:r>
    </w:p>
    <w:p>
      <w:pPr>
        <w:pStyle w:val="ListBullet"/>
        <w:widowControl w:val="1"/>
      </w:pPr>
      <w:r>
        <w:rPr>
          <w:rFonts w:ascii="Aptos" w:hAnsi="Aptos"/>
          <w:b/>
          <w:i w:val="0"/>
          <w:color w:val="087F78"/>
          <w:sz w:val="21"/>
        </w:rPr>
        <w:t xml:space="preserve">LO-4: </w:t>
      </w:r>
      <w:r>
        <w:rPr>
          <w:rFonts w:ascii="Aptos" w:hAnsi="Aptos"/>
          <w:b w:val="0"/>
          <w:i w:val="0"/>
          <w:sz w:val="21"/>
        </w:rPr>
        <w:t>Distinguish an LMFT’s authority to practice independently from an AMFT’s authority to provide services only within lawful employment, registration, and supervision conditions.</w:t>
      </w:r>
    </w:p>
    <w:p>
      <w:pPr>
        <w:pStyle w:val="ListBullet"/>
        <w:widowControl w:val="1"/>
      </w:pPr>
      <w:r>
        <w:rPr>
          <w:rFonts w:ascii="Aptos" w:hAnsi="Aptos"/>
          <w:b/>
          <w:i w:val="0"/>
          <w:color w:val="087F78"/>
          <w:sz w:val="21"/>
        </w:rPr>
        <w:t xml:space="preserve">LO-5: </w:t>
      </w:r>
      <w:r>
        <w:rPr>
          <w:rFonts w:ascii="Aptos" w:hAnsi="Aptos"/>
          <w:b w:val="0"/>
          <w:i w:val="0"/>
          <w:sz w:val="21"/>
        </w:rPr>
        <w:t>Select compliant AMFT client disclosures, professional titles, abbreviations, and advertising elements in written, verbal, and digital contexts.</w:t>
      </w:r>
    </w:p>
    <w:p>
      <w:pPr>
        <w:pStyle w:val="ListBullet"/>
        <w:widowControl w:val="1"/>
      </w:pPr>
      <w:r>
        <w:rPr>
          <w:rFonts w:ascii="Aptos" w:hAnsi="Aptos"/>
          <w:b/>
          <w:i w:val="0"/>
          <w:color w:val="087F78"/>
          <w:sz w:val="21"/>
        </w:rPr>
        <w:t xml:space="preserve">LO-6: </w:t>
      </w:r>
      <w:r>
        <w:rPr>
          <w:rFonts w:ascii="Aptos" w:hAnsi="Aptos"/>
          <w:b w:val="0"/>
          <w:i w:val="0"/>
          <w:sz w:val="21"/>
        </w:rPr>
        <w:t>Evaluate whether an AMFT’s work setting, employment or volunteer status, compensation arrangement, business interest, and service location comply with LMFT Practice Act requirements.</w:t>
      </w:r>
    </w:p>
    <w:p>
      <w:pPr>
        <w:pStyle w:val="ListBullet"/>
        <w:widowControl w:val="1"/>
      </w:pPr>
      <w:r>
        <w:rPr>
          <w:rFonts w:ascii="Aptos" w:hAnsi="Aptos"/>
          <w:b/>
          <w:i w:val="0"/>
          <w:color w:val="087F78"/>
          <w:sz w:val="21"/>
        </w:rPr>
        <w:t xml:space="preserve">LO-7: </w:t>
      </w:r>
      <w:r>
        <w:rPr>
          <w:rFonts w:ascii="Aptos" w:hAnsi="Aptos"/>
          <w:b w:val="0"/>
          <w:i w:val="0"/>
          <w:sz w:val="21"/>
        </w:rPr>
        <w:t>Apply supervisor–supervisee responsibility rules to identify which person must act, document, consult, correct, disclose, or stop services in a role-specific scenario.</w:t>
      </w:r>
    </w:p>
    <w:p>
      <w:pPr>
        <w:pStyle w:val="ListBullet"/>
        <w:widowControl w:val="1"/>
      </w:pPr>
      <w:r>
        <w:rPr>
          <w:rFonts w:ascii="Aptos" w:hAnsi="Aptos"/>
          <w:b/>
          <w:i w:val="0"/>
          <w:color w:val="087F78"/>
          <w:sz w:val="21"/>
        </w:rPr>
        <w:t xml:space="preserve">LO-8: </w:t>
      </w:r>
      <w:r>
        <w:rPr>
          <w:rFonts w:ascii="Aptos" w:hAnsi="Aptos"/>
          <w:b w:val="0"/>
          <w:i w:val="0"/>
          <w:sz w:val="21"/>
        </w:rPr>
        <w:t>Recognize role-identity violations that may constitute unauthorized practice, misrepresentation, advertising violations, or unprofessional conduct.</w:t>
      </w:r>
    </w:p>
    <w:p>
      <w:pPr>
        <w:pStyle w:val="ListBullet"/>
        <w:widowControl w:val="1"/>
      </w:pPr>
      <w:r>
        <w:rPr>
          <w:rFonts w:ascii="Aptos" w:hAnsi="Aptos"/>
          <w:b/>
          <w:i w:val="0"/>
          <w:color w:val="087F78"/>
          <w:sz w:val="21"/>
        </w:rPr>
        <w:t xml:space="preserve">LO-9: </w:t>
      </w:r>
      <w:r>
        <w:rPr>
          <w:rFonts w:ascii="Aptos" w:hAnsi="Aptos"/>
          <w:b w:val="0"/>
          <w:i w:val="0"/>
          <w:sz w:val="21"/>
        </w:rPr>
        <w:t>Sequence the AMFT registration-renewal and California Law and Ethics examination obligations that affect continued registration and progression toward licensure.</w:t>
      </w:r>
    </w:p>
    <w:p>
      <w:pPr>
        <w:pStyle w:val="ListBullet"/>
        <w:widowControl w:val="1"/>
      </w:pPr>
      <w:r>
        <w:rPr>
          <w:rFonts w:ascii="Aptos" w:hAnsi="Aptos"/>
          <w:b/>
          <w:i w:val="0"/>
          <w:color w:val="087F78"/>
          <w:sz w:val="21"/>
        </w:rPr>
        <w:t xml:space="preserve">LO-10: </w:t>
      </w:r>
      <w:r>
        <w:rPr>
          <w:rFonts w:ascii="Aptos" w:hAnsi="Aptos"/>
          <w:b w:val="0"/>
          <w:i w:val="0"/>
          <w:sz w:val="21"/>
        </w:rPr>
        <w:t>Distinguish the purpose, eligibility relationship, and scope of the LMFT California Law and Ethics Examination from the clinical examination used for LMFT licensure.</w:t>
      </w:r>
    </w:p>
    <w:p>
      <w:pPr>
        <w:pStyle w:val="ListBullet"/>
        <w:widowControl w:val="1"/>
      </w:pPr>
      <w:r>
        <w:rPr>
          <w:rFonts w:ascii="Aptos" w:hAnsi="Aptos"/>
          <w:b/>
          <w:i w:val="0"/>
          <w:color w:val="087F78"/>
          <w:sz w:val="21"/>
        </w:rPr>
        <w:t xml:space="preserve">LO-11: </w:t>
      </w:r>
      <w:r>
        <w:rPr>
          <w:rFonts w:ascii="Aptos" w:hAnsi="Aptos"/>
          <w:b w:val="0"/>
          <w:i w:val="0"/>
          <w:sz w:val="21"/>
        </w:rPr>
        <w:t>Explain the current status of the proposed AMFTRB clinical-examination transition without treating a pending change as current law or conflating it with the state-specific Law and Ethics Examination.</w:t>
      </w:r>
    </w:p>
    <w:p>
      <w:pPr>
        <w:pStyle w:val="ListBullet"/>
        <w:widowControl w:val="1"/>
      </w:pPr>
      <w:r>
        <w:rPr>
          <w:rFonts w:ascii="Aptos" w:hAnsi="Aptos"/>
          <w:b/>
          <w:i w:val="0"/>
          <w:color w:val="087F78"/>
          <w:sz w:val="21"/>
        </w:rPr>
        <w:t xml:space="preserve">LO-12: </w:t>
      </w:r>
      <w:r>
        <w:rPr>
          <w:rFonts w:ascii="Aptos" w:hAnsi="Aptos"/>
          <w:b w:val="0"/>
          <w:i w:val="0"/>
          <w:sz w:val="21"/>
        </w:rPr>
        <w:t>Use the CTA LMFT decision sequence to identify the candidate’s status, controlling rule, protected party, required action, and documentation or consultation step in integrated scenarios.</w:t>
      </w:r>
    </w:p>
    <w:p>
      <w:pPr>
        <w:widowControl w:val="1"/>
      </w:pPr>
      <w:r>
        <w:br w:type="page"/>
      </w:r>
    </w:p>
    <w:p>
      <w:pPr>
        <w:pStyle w:val="Heading2"/>
        <w:widowControl w:val="1"/>
      </w:pPr>
      <w:r>
        <w:t>Objective Quality Controls</w:t>
      </w:r>
    </w:p>
    <w:p>
      <w:pPr>
        <w:pStyle w:val="ListBullet"/>
        <w:widowControl w:val="1"/>
      </w:pPr>
      <w:r>
        <w:rPr>
          <w:rFonts w:ascii="Aptos" w:hAnsi="Aptos"/>
          <w:b w:val="0"/>
          <w:i w:val="0"/>
          <w:sz w:val="21"/>
        </w:rPr>
        <w:t>Every objective is taught in the module and sampled by the 25-question assessment or an applied checkpoint.</w:t>
      </w:r>
    </w:p>
    <w:p>
      <w:pPr>
        <w:pStyle w:val="ListBullet"/>
        <w:widowControl w:val="1"/>
      </w:pPr>
      <w:r>
        <w:rPr>
          <w:rFonts w:ascii="Aptos" w:hAnsi="Aptos"/>
          <w:b w:val="0"/>
          <w:i w:val="0"/>
          <w:sz w:val="21"/>
        </w:rPr>
        <w:t>Objectives use observable actions: locate, differentiate, apply, distinguish, select, evaluate, recognize, sequence, explain, and use.</w:t>
      </w:r>
    </w:p>
    <w:p>
      <w:pPr>
        <w:pStyle w:val="ListBullet"/>
        <w:widowControl w:val="1"/>
      </w:pPr>
      <w:r>
        <w:rPr>
          <w:rFonts w:ascii="Aptos" w:hAnsi="Aptos"/>
          <w:b w:val="0"/>
          <w:i w:val="0"/>
          <w:sz w:val="21"/>
        </w:rPr>
        <w:t>No objective promises licensure eligibility, legal advice, or examination passage.</w:t>
      </w:r>
    </w:p>
    <w:p>
      <w:pPr>
        <w:pStyle w:val="Heading1"/>
        <w:widowControl w:val="1"/>
      </w:pPr>
      <w:r>
        <w:t>5. CTA LMFT Decision Sequence</w:t>
      </w:r>
    </w:p>
    <w:tbl>
      <w:tblPr>
        <w:tblW w:type="dxa" w:w="9360"/>
        <w:jc w:val="left"/>
        <w:tblLayout w:type="fixed"/>
        <w:tblLook w:firstColumn="1" w:firstRow="1" w:lastColumn="0" w:lastRow="0" w:noHBand="0" w:noVBand="1" w:val="04A0"/>
        <w:tblInd w:w="0" w:type="dxa"/>
        <w:tblBorders>
          <w:top w:val="single" w:sz="8" w:space="0" w:color="0FA8A0"/>
          <w:left w:val="single" w:sz="8" w:space="0" w:color="0FA8A0"/>
          <w:bottom w:val="single" w:sz="8" w:space="0" w:color="0FA8A0"/>
          <w:right w:val="single" w:sz="8" w:space="0" w:color="0FA8A0"/>
          <w:insideH w:val="single" w:sz="8" w:space="0" w:color="0FA8A0"/>
          <w:insideV w:val="single" w:sz="8" w:space="0" w:color="0FA8A0"/>
        </w:tblBorders>
      </w:tblPr>
      <w:tblGrid>
        <w:gridCol w:w="9360"/>
      </w:tblGrid>
      <w:tr>
        <w:trPr>
          <w:cantSplit/>
          <w:tblHeader w:val="true"/>
        </w:trPr>
        <w:tc>
          <w:tcPr>
            <w:tcW w:type="dxa" w:w="9360"/>
            <w:tcMar>
              <w:top w:w="100" w:type="dxa"/>
              <w:start w:w="120" w:type="dxa"/>
              <w:bottom w:w="100" w:type="dxa"/>
              <w:end w:w="120" w:type="dxa"/>
            </w:tcMar>
            <w:vAlign w:val="top"/>
            <w:shd w:fill="E8F7F5"/>
          </w:tcPr>
          <w:p>
            <w:pPr>
              <w:keepNext w:val="0"/>
              <w:spacing w:before="0" w:after="40" w:line="269" w:lineRule="auto"/>
            </w:pPr>
            <w:r>
              <w:rPr>
                <w:rFonts w:ascii="Aptos" w:hAnsi="Aptos"/>
                <w:b/>
                <w:i w:val="0"/>
                <w:color w:val="0B2545"/>
                <w:sz w:val="19"/>
              </w:rPr>
              <w:t xml:space="preserve">REASONING FRAMEWORK  </w:t>
            </w:r>
            <w:r>
              <w:rPr>
                <w:rFonts w:ascii="Aptos" w:hAnsi="Aptos"/>
                <w:b w:val="0"/>
                <w:i w:val="0"/>
                <w:color w:val="0B2545"/>
                <w:sz w:val="20"/>
              </w:rPr>
              <w:t>STATUS → SETTING → SCOPE → SOURCE → SAFEGUARD → STEP → RECORD</w:t>
            </w:r>
          </w:p>
        </w:tc>
      </w:tr>
    </w:tbl>
    <w:p>
      <w:pPr>
        <w:spacing w:after="0"/>
        <w:widowControl w:val="1"/>
      </w:pP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600"/>
        <w:gridCol w:w="7760"/>
      </w:tblGrid>
      <w:tr>
        <w:trPr>
          <w:tblHeader w:val="true"/>
          <w:cantSplit/>
        </w:trPr>
        <w:tc>
          <w:tcPr>
            <w:tcW w:type="dxa" w:w="16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Step</w:t>
            </w:r>
          </w:p>
        </w:tc>
        <w:tc>
          <w:tcPr>
            <w:tcW w:type="dxa" w:w="776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Question to answer</w:t>
            </w:r>
          </w:p>
        </w:tc>
      </w:tr>
      <w:tr>
        <w:trPr>
          <w:cantSplit/>
        </w:trPr>
        <w:tc>
          <w:tcPr>
            <w:tcW w:type="dxa" w:w="16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STATUS</w:t>
            </w:r>
          </w:p>
        </w:tc>
        <w:tc>
          <w:tcPr>
            <w:tcW w:type="dxa" w:w="7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Identify whether the person is an LMFT, registered AMFT, trainee, applicant, supervisor, employer, or another actor.</w:t>
            </w:r>
          </w:p>
        </w:tc>
      </w:tr>
      <w:tr>
        <w:trPr>
          <w:cantSplit/>
        </w:trPr>
        <w:tc>
          <w:tcPr>
            <w:tcW w:type="dxa" w:w="16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SETTING</w:t>
            </w:r>
          </w:p>
        </w:tc>
        <w:tc>
          <w:tcPr>
            <w:tcW w:type="dxa" w:w="7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Determine whether the setting is exempt or nonexempt, private practice/professional corporation or another lawful setting, and whether the person’s status permits work there.</w:t>
            </w:r>
          </w:p>
        </w:tc>
      </w:tr>
      <w:tr>
        <w:trPr>
          <w:cantSplit/>
        </w:trPr>
        <w:tc>
          <w:tcPr>
            <w:tcW w:type="dxa" w:w="16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SCOPE</w:t>
            </w:r>
          </w:p>
        </w:tc>
        <w:tc>
          <w:tcPr>
            <w:tcW w:type="dxa" w:w="7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Confirm that the service and representation fit the LMFT scope of practice and the individual’s education, training, experience, and supervision.</w:t>
            </w:r>
          </w:p>
        </w:tc>
      </w:tr>
      <w:tr>
        <w:trPr>
          <w:cantSplit/>
        </w:trPr>
        <w:tc>
          <w:tcPr>
            <w:tcW w:type="dxa" w:w="16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SOURCE</w:t>
            </w:r>
          </w:p>
        </w:tc>
        <w:tc>
          <w:tcPr>
            <w:tcW w:type="dxa" w:w="7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Locate the controlling statute, regulation, BBS instruction, and applicable ethical standard; current enforceable authority outranks a generalized rule or pending proposal.</w:t>
            </w:r>
          </w:p>
        </w:tc>
      </w:tr>
      <w:tr>
        <w:trPr>
          <w:cantSplit/>
        </w:trPr>
        <w:tc>
          <w:tcPr>
            <w:tcW w:type="dxa" w:w="16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SAFEGUARD</w:t>
            </w:r>
          </w:p>
        </w:tc>
        <w:tc>
          <w:tcPr>
            <w:tcW w:type="dxa" w:w="7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Identify the client, couple, family, treatment unit, supervisee, public, or record integrity that the rule protects.</w:t>
            </w:r>
          </w:p>
        </w:tc>
      </w:tr>
      <w:tr>
        <w:trPr>
          <w:cantSplit/>
        </w:trPr>
        <w:tc>
          <w:tcPr>
            <w:tcW w:type="dxa" w:w="16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STEP</w:t>
            </w:r>
          </w:p>
        </w:tc>
        <w:tc>
          <w:tcPr>
            <w:tcW w:type="dxa" w:w="7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Choose the best required or most protective legally supportable action in the sequence presented.</w:t>
            </w:r>
          </w:p>
        </w:tc>
      </w:tr>
      <w:tr>
        <w:trPr>
          <w:cantSplit/>
        </w:trPr>
        <w:tc>
          <w:tcPr>
            <w:tcW w:type="dxa" w:w="16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RECORD</w:t>
            </w:r>
          </w:p>
        </w:tc>
        <w:tc>
          <w:tcPr>
            <w:tcW w:type="dxa" w:w="7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Complete the required notice, supervision communication, documentation, verification, or follow-up without inventing facts.</w:t>
            </w:r>
          </w:p>
        </w:tc>
      </w:tr>
    </w:tbl>
    <w:p>
      <w:pPr>
        <w:widowControl w:val="1"/>
      </w:pPr>
      <w:r>
        <w:br w:type="page"/>
      </w:r>
    </w:p>
    <w:p>
      <w:pPr>
        <w:pStyle w:val="Heading1"/>
        <w:widowControl w:val="1"/>
      </w:pPr>
      <w:r>
        <w:t>6. Master Content Map</w:t>
      </w:r>
    </w:p>
    <w:p>
      <w:pPr>
        <w:widowControl w:val="1"/>
      </w:pPr>
      <w:r>
        <w:rPr>
          <w:rFonts w:ascii="Aptos" w:hAnsi="Aptos"/>
          <w:b/>
          <w:i w:val="0"/>
          <w:color w:val="087F78"/>
          <w:sz w:val="21"/>
        </w:rPr>
        <w:t xml:space="preserve">Architecture: </w:t>
      </w:r>
      <w:r>
        <w:rPr>
          <w:rFonts w:ascii="Aptos" w:hAnsi="Aptos"/>
          <w:b w:val="0"/>
          <w:i w:val="0"/>
          <w:sz w:val="21"/>
        </w:rPr>
        <w:t>Eight instructional units progress from authority and identity to applied Practice Act reasoning and examination-pathway distinctions. The question targets below total 25 and reserve space for integrated decisions rather than rote recall.</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480"/>
        <w:gridCol w:w="900"/>
        <w:gridCol w:w="420"/>
        <w:gridCol w:w="2760"/>
        <w:gridCol w:w="2100"/>
        <w:gridCol w:w="1700"/>
      </w:tblGrid>
      <w:tr>
        <w:trPr>
          <w:tblHeader w:val="true"/>
          <w:cantSplit/>
        </w:trPr>
        <w:tc>
          <w:tcPr>
            <w:tcW w:type="dxa" w:w="148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Unit</w:t>
            </w:r>
          </w:p>
        </w:tc>
        <w:tc>
          <w:tcPr>
            <w:tcW w:type="dxa" w:w="9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LOs</w:t>
            </w:r>
          </w:p>
        </w:tc>
        <w:tc>
          <w:tcPr>
            <w:tcW w:type="dxa" w:w="42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Q</w:t>
            </w:r>
          </w:p>
        </w:tc>
        <w:tc>
          <w:tcPr>
            <w:tcW w:type="dxa" w:w="276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Required content</w:t>
            </w:r>
          </w:p>
        </w:tc>
        <w:tc>
          <w:tcPr>
            <w:tcW w:type="dxa" w:w="21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Mastery evidence</w:t>
            </w:r>
          </w:p>
        </w:tc>
        <w:tc>
          <w:tcPr>
            <w:tcW w:type="dxa" w:w="17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Primary anchors</w:t>
            </w:r>
          </w:p>
        </w:tc>
      </w:tr>
      <w:tr>
        <w:trPr>
          <w:cantSplit/>
        </w:trPr>
        <w:tc>
          <w:tcPr>
            <w:tcW w:type="dxa" w:w="148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1. Authority, Act Architecture, and Source Hierarchy</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LO-1, LO-12</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2</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BBS jurisdiction; Licensed Marriage and Family Therapist Act; statute–regulation–official-guidance hierarchy; enforceable rule versus ethics guidance; current rule versus pending change; source-review habits.</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Select the controlling authority and reject outdated, cross-license, employer-policy-only, or proposed-rule distractors.</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4980–4980.06; 16 CCR div. 18; current BBS publications</w:t>
            </w:r>
          </w:p>
        </w:tc>
      </w:tr>
      <w:tr>
        <w:trPr>
          <w:cantSplit/>
        </w:trPr>
        <w:tc>
          <w:tcPr>
            <w:tcW w:type="dxa" w:w="148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2. LMFT Scope and Systemic Professional Identity</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LO-2, LO-3, LO-4</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4</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Practice of marriage and family therapy; psychotherapeutic and family-systems theories; individuals, couples, and groups; assessment, treatment planning, psychotherapy, relational therapy, case management, consultation, supervision; remuneration and holding out.</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Determine whether conduct is within the LMFT profession and distinguish scope from an individual candidate’s present authority or competence.</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4980, 4980.02, 4980.03, 4980.10</w:t>
            </w:r>
          </w:p>
        </w:tc>
      </w:tr>
      <w:tr>
        <w:trPr>
          <w:cantSplit/>
        </w:trPr>
        <w:tc>
          <w:tcPr>
            <w:tcW w:type="dxa" w:w="148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3. Protected Titles, AMFT Status, Client Notice, and Advertising</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LO-2, LO-5, LO-8</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4</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LMFT versus registered AMFT versus trainee; unlicensed status; accurate title use; registration number; employer identity; supervised status; AMFT abbreviation rule; websites, directories, social media, cards, and telehealth-facing materials.</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Choose complete disclosures and advertisements; identify omissions, premature title use, and implications of independent licensure.</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4980, 4980.03, 4980.08–.09, 4980.31, 4980.44, 4980.48; 16 CCR § 1811</w:t>
            </w:r>
          </w:p>
        </w:tc>
      </w:tr>
      <w:tr>
        <w:trPr>
          <w:cantSplit/>
        </w:trPr>
        <w:tc>
          <w:tcPr>
            <w:tcW w:type="dxa" w:w="148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4. Supervised Practice and Role Accountability</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LO-4, LO-7, LO-12</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4</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Meaning and purpose of supervision; continuous supervised status; supervisor responsibility for quality; consultation versus supervision; supervisee responsibility; supervision agreement and documentation; escalation when supervision or competence is inadequate.</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Identify who must act and when an AMFT must consult, obtain direction, correct a process, decline or stop a service, or document the response.</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4980.03(g), 4980.43, 4980.43.1–.5; 16 CCR §§ 1833–1834</w:t>
            </w:r>
          </w:p>
        </w:tc>
      </w:tr>
    </w:tbl>
    <w:p>
      <w:pPr>
        <w:pStyle w:val="Heading2"/>
        <w:widowControl w:val="1"/>
      </w:pPr>
      <w:r>
        <w:t>Content-Map Interpretation Rules</w:t>
      </w:r>
    </w:p>
    <w:p>
      <w:pPr>
        <w:pStyle w:val="ListBullet"/>
        <w:widowControl w:val="1"/>
      </w:pPr>
      <w:r>
        <w:rPr>
          <w:rFonts w:ascii="Aptos" w:hAnsi="Aptos"/>
          <w:b w:val="0"/>
          <w:i w:val="0"/>
          <w:sz w:val="21"/>
        </w:rPr>
        <w:t>“Primary anchors” are development references, not a complete statement of all law that may apply to a scenario.</w:t>
      </w:r>
    </w:p>
    <w:p>
      <w:pPr>
        <w:pStyle w:val="ListBullet"/>
        <w:widowControl w:val="1"/>
      </w:pPr>
      <w:r>
        <w:rPr>
          <w:rFonts w:ascii="Aptos" w:hAnsi="Aptos"/>
          <w:b w:val="0"/>
          <w:i w:val="0"/>
          <w:sz w:val="21"/>
        </w:rPr>
        <w:t>Unit 6 samples only profession-specific identity and enforcement issues; the nine workbooks remain the main home for broader confidentiality, reporting, records, boundaries, telehealth, and other substantive domains.</w:t>
      </w:r>
    </w:p>
    <w:p>
      <w:pPr>
        <w:pStyle w:val="ListBullet"/>
        <w:widowControl w:val="1"/>
      </w:pPr>
      <w:r>
        <w:rPr>
          <w:rFonts w:ascii="Aptos" w:hAnsi="Aptos"/>
          <w:b w:val="0"/>
          <w:i w:val="0"/>
          <w:sz w:val="21"/>
        </w:rPr>
        <w:t>Unit 8 must carry a conspicuous “current as of” note and be checked immediately before LMS publication because the BBS transition process is active.</w:t>
      </w:r>
    </w:p>
    <w:p>
      <w:pPr>
        <w:widowControl w:val="1"/>
      </w:pPr>
      <w:r>
        <w:br w:type="page"/>
      </w:r>
    </w:p>
    <w:p>
      <w:pPr>
        <w:pStyle w:val="Heading1"/>
        <w:widowControl w:val="1"/>
      </w:pPr>
      <w:r>
        <w:t>6. Master Content Map (continued)</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480"/>
        <w:gridCol w:w="900"/>
        <w:gridCol w:w="420"/>
        <w:gridCol w:w="2760"/>
        <w:gridCol w:w="2100"/>
        <w:gridCol w:w="1700"/>
      </w:tblGrid>
      <w:tr>
        <w:trPr>
          <w:tblHeader w:val="true"/>
          <w:cantSplit/>
        </w:trPr>
        <w:tc>
          <w:tcPr>
            <w:tcW w:type="dxa" w:w="148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Unit</w:t>
            </w:r>
          </w:p>
        </w:tc>
        <w:tc>
          <w:tcPr>
            <w:tcW w:type="dxa" w:w="9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LOs</w:t>
            </w:r>
          </w:p>
        </w:tc>
        <w:tc>
          <w:tcPr>
            <w:tcW w:type="dxa" w:w="42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Q</w:t>
            </w:r>
          </w:p>
        </w:tc>
        <w:tc>
          <w:tcPr>
            <w:tcW w:type="dxa" w:w="276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Required content</w:t>
            </w:r>
          </w:p>
        </w:tc>
        <w:tc>
          <w:tcPr>
            <w:tcW w:type="dxa" w:w="21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Mastery evidence</w:t>
            </w:r>
          </w:p>
        </w:tc>
        <w:tc>
          <w:tcPr>
            <w:tcW w:type="dxa" w:w="17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6"/>
              </w:rPr>
              <w:t>Primary anchors</w:t>
            </w:r>
          </w:p>
        </w:tc>
      </w:tr>
      <w:tr>
        <w:trPr>
          <w:cantSplit/>
        </w:trPr>
        <w:tc>
          <w:tcPr>
            <w:tcW w:type="dxa" w:w="148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5. Work Settings, Employment, Payment, and Business Boundaries</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LO-4, LO-6, LO-8</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4</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Exempt and nonexempt settings; private practice/professional corporation; registration required before private-practice work; employee or volunteer status; no client remuneration; no proprietary interest or paying employer obligations; approved locations; written oversight requirements.</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Evaluate whether a proposed job, contractor-like arrangement, payment flow, rental arrangement, supervisor relationship, or service location is permissible.</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4980.01, 4980.05–.06, 4980.43.3–.4, 4984.01; 16 CCR §§ 1833, 1833.05</w:t>
            </w:r>
          </w:p>
        </w:tc>
      </w:tr>
      <w:tr>
        <w:trPr>
          <w:cantSplit/>
        </w:trPr>
        <w:tc>
          <w:tcPr>
            <w:tcW w:type="dxa" w:w="148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6. Professional Responsibility and Enforcement Through the LMFT Lens</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LO-7, LO-8, LO-12</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2</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Unauthorized practice; false or misleading professional representation; practicing beyond competence; failure to comply with supervision or experience rules; supervisor–supervisee accountability; relationship between Practice Act duties and ethical reasoning.</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Identify the legally controlling problem before selecting consultation, correction, disclosure, cessation, reporting, or documentation steps.</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4982–4983; 16 CCR § 1845; relevant profession-specific ethical standards</w:t>
            </w:r>
          </w:p>
        </w:tc>
      </w:tr>
      <w:tr>
        <w:trPr>
          <w:cantSplit/>
        </w:trPr>
        <w:tc>
          <w:tcPr>
            <w:tcW w:type="dxa" w:w="148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7. AMFT Registration and California Examination Pathway</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LO-9, LO-10</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3</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Annual registration cycle; Law and Ethics Exam participation until passed; passage for licensure and subsequent registration; retest timing and official eligibility notices; law-and-ethics versus clinical-exam purpose and sequencing; high-change procedure verification.</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Sequence exam and registration obligations without confusing attempt, passage, eligibility, renewal, or licensure milestones.</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4980.397–.399, 4980.40, 4980.50, 4984.01; 16 CCR §§ 1806, 1829.1–.3; BBS exam pages</w:t>
            </w:r>
          </w:p>
        </w:tc>
      </w:tr>
      <w:tr>
        <w:trPr>
          <w:cantSplit/>
        </w:trPr>
        <w:tc>
          <w:tcPr>
            <w:tcW w:type="dxa" w:w="148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5"/>
              </w:rPr>
              <w:t>8. California Clinical Exam, Proposed AMFTRB Transition, and Integrated Application</w:t>
            </w:r>
          </w:p>
        </w:tc>
        <w:tc>
          <w:tcPr>
            <w:tcW w:type="dxa" w:w="9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5"/>
              </w:rPr>
              <w:t>LO-10, LO-11, LO-12</w:t>
            </w:r>
          </w:p>
        </w:tc>
        <w:tc>
          <w:tcPr>
            <w:tcW w:type="dxa" w:w="420"/>
            <w:shd w:fill="F2F4F7"/>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5"/>
              </w:rPr>
              <w:t>2</w:t>
            </w:r>
          </w:p>
        </w:tc>
        <w:tc>
          <w:tcPr>
            <w:tcW w:type="dxa" w:w="2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State-specific Law and Ethics Exam remains separate; current clinical-exam role; proposed AMFTRB clinical-exam transition; current versus projected dates; official update checks; multi-issue scenarios combining status, setting, scope, source, safeguard, action, and record.</w:t>
            </w:r>
          </w:p>
        </w:tc>
        <w:tc>
          <w:tcPr>
            <w:tcW w:type="dxa" w:w="2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Reject the assumption that a clinical-exam transition replaces the California Law and Ethics Examination; apply the full CTA decision sequence.</w:t>
            </w:r>
          </w:p>
        </w:tc>
        <w:tc>
          <w:tcPr>
            <w:tcW w:type="dxa" w:w="17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4"/>
              </w:rPr>
              <w:t>BPC § 4980.397; BBS LMFT exam pages; BBS AMFTRB transition materials</w:t>
            </w:r>
          </w:p>
        </w:tc>
      </w:tr>
    </w:tbl>
    <w:p>
      <w:pPr>
        <w:widowControl w:val="1"/>
      </w:pPr>
      <w:r>
        <w:br w:type="page"/>
      </w:r>
    </w:p>
    <w:p>
      <w:pPr>
        <w:pStyle w:val="Heading1"/>
        <w:widowControl w:val="1"/>
      </w:pPr>
      <w:r>
        <w:t>7. Unit Build Specifications</w:t>
      </w:r>
    </w:p>
    <w:p>
      <w:pPr>
        <w:pStyle w:val="Heading2"/>
        <w:widowControl w:val="1"/>
      </w:pPr>
      <w:r>
        <w:t>Unit 1 — Authority, Act Architecture, and Source Hierarchy</w:t>
      </w:r>
    </w:p>
    <w:p>
      <w:pPr>
        <w:pStyle w:val="ListBullet"/>
        <w:widowControl w:val="1"/>
      </w:pPr>
      <w:r>
        <w:rPr>
          <w:rFonts w:ascii="Aptos" w:hAnsi="Aptos"/>
          <w:b w:val="0"/>
          <w:i w:val="0"/>
          <w:sz w:val="21"/>
        </w:rPr>
        <w:t>Open with the difference between a legal duty, a regulation implementing the statute, a Board procedure, an ethical standard, and an employer policy.</w:t>
      </w:r>
    </w:p>
    <w:p>
      <w:pPr>
        <w:pStyle w:val="ListBullet"/>
        <w:widowControl w:val="1"/>
      </w:pPr>
      <w:r>
        <w:rPr>
          <w:rFonts w:ascii="Aptos" w:hAnsi="Aptos"/>
          <w:b w:val="0"/>
          <w:i w:val="0"/>
          <w:sz w:val="21"/>
        </w:rPr>
        <w:t>Teach candidates to resolve conflicts by identifying the most specific current controlling authority and the candidate’s exact license status.</w:t>
      </w:r>
    </w:p>
    <w:p>
      <w:pPr>
        <w:pStyle w:val="ListBullet"/>
        <w:widowControl w:val="1"/>
      </w:pPr>
      <w:r>
        <w:rPr>
          <w:rFonts w:ascii="Aptos" w:hAnsi="Aptos"/>
          <w:b w:val="0"/>
          <w:i w:val="0"/>
          <w:sz w:val="21"/>
        </w:rPr>
        <w:t>Use a short “current rule or pending change?” sorting exercise.</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choosing a familiar generic ethics principle before identifying a profession-specific statutory requirement.</w:t>
      </w:r>
    </w:p>
    <w:p>
      <w:pPr>
        <w:pStyle w:val="Heading2"/>
        <w:widowControl w:val="1"/>
      </w:pPr>
      <w:r>
        <w:t>Unit 2 — LMFT Scope and Systemic Professional Identity</w:t>
      </w:r>
    </w:p>
    <w:p>
      <w:pPr>
        <w:pStyle w:val="ListBullet"/>
        <w:widowControl w:val="1"/>
      </w:pPr>
      <w:r>
        <w:rPr>
          <w:rFonts w:ascii="Aptos" w:hAnsi="Aptos"/>
          <w:b w:val="0"/>
          <w:i w:val="0"/>
          <w:sz w:val="21"/>
        </w:rPr>
        <w:t>Anchor the LMFT lens in psychotherapeutic and family-systems theories and the treatment of relational as well as individual concerns.</w:t>
      </w:r>
    </w:p>
    <w:p>
      <w:pPr>
        <w:pStyle w:val="ListBullet"/>
        <w:widowControl w:val="1"/>
      </w:pPr>
      <w:r>
        <w:rPr>
          <w:rFonts w:ascii="Aptos" w:hAnsi="Aptos"/>
          <w:b w:val="0"/>
          <w:i w:val="0"/>
          <w:sz w:val="21"/>
        </w:rPr>
        <w:t>Separate three questions that distractors often collapse: Is the service within the LMFT profession? Is it within this person’s competence? Is this person presently authorized to provide it in this setting?</w:t>
      </w:r>
    </w:p>
    <w:p>
      <w:pPr>
        <w:pStyle w:val="ListBullet"/>
        <w:widowControl w:val="1"/>
      </w:pPr>
      <w:r>
        <w:rPr>
          <w:rFonts w:ascii="Aptos" w:hAnsi="Aptos"/>
          <w:b w:val="0"/>
          <w:i w:val="0"/>
          <w:sz w:val="21"/>
        </w:rPr>
        <w:t>Use paired examples in which the service is within LMFT scope but the AMFT’s setting, supervision, or representation makes the proposed action impermissible.</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treating “within LMFT scope” as equivalent to “an AMFT may perform it independently.”</w:t>
      </w:r>
    </w:p>
    <w:p>
      <w:pPr>
        <w:widowControl w:val="1"/>
      </w:pPr>
      <w:r>
        <w:br w:type="page"/>
      </w:r>
    </w:p>
    <w:p>
      <w:pPr>
        <w:pStyle w:val="Heading2"/>
        <w:widowControl w:val="1"/>
      </w:pPr>
      <w:r>
        <w:t>Unit 3 — Protected Titles, Client Notice, and Advertising</w:t>
      </w:r>
    </w:p>
    <w:p>
      <w:pPr>
        <w:pStyle w:val="ListBullet"/>
        <w:widowControl w:val="1"/>
      </w:pPr>
      <w:r>
        <w:rPr>
          <w:rFonts w:ascii="Aptos" w:hAnsi="Aptos"/>
          <w:b w:val="0"/>
          <w:i w:val="0"/>
          <w:sz w:val="21"/>
        </w:rPr>
        <w:t>Use concise compliance checklists for first client contact, informed-status disclosure, public advertising, and abbreviation use.</w:t>
      </w:r>
    </w:p>
    <w:p>
      <w:pPr>
        <w:pStyle w:val="ListBullet"/>
        <w:widowControl w:val="1"/>
      </w:pPr>
      <w:r>
        <w:rPr>
          <w:rFonts w:ascii="Aptos" w:hAnsi="Aptos"/>
          <w:b w:val="0"/>
          <w:i w:val="0"/>
          <w:sz w:val="21"/>
        </w:rPr>
        <w:t>Apply requirements to websites, profiles, directory listings, social media bios, appointment messages, and printed materials.</w:t>
      </w:r>
    </w:p>
    <w:p>
      <w:pPr>
        <w:pStyle w:val="ListBullet"/>
        <w:widowControl w:val="1"/>
      </w:pPr>
      <w:r>
        <w:rPr>
          <w:rFonts w:ascii="Aptos" w:hAnsi="Aptos"/>
          <w:b w:val="0"/>
          <w:i w:val="0"/>
          <w:sz w:val="21"/>
        </w:rPr>
        <w:t>Require learners to identify every missing element rather than merely spotting one error.</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assuming a supervisor’s name alone cures a missing registration number, employer name, or unlicensed-status disclosure.</w:t>
      </w:r>
    </w:p>
    <w:p>
      <w:pPr>
        <w:pStyle w:val="Heading2"/>
        <w:widowControl w:val="1"/>
      </w:pPr>
      <w:r>
        <w:t>Unit 4 — Supervised Practice and Role Accountability</w:t>
      </w:r>
    </w:p>
    <w:p>
      <w:pPr>
        <w:pStyle w:val="ListBullet"/>
        <w:widowControl w:val="1"/>
      </w:pPr>
      <w:r>
        <w:rPr>
          <w:rFonts w:ascii="Aptos" w:hAnsi="Aptos"/>
          <w:b w:val="0"/>
          <w:i w:val="0"/>
          <w:sz w:val="21"/>
        </w:rPr>
        <w:t>Teach supervision as responsibility and control over service quality, not casual consultation or peer discussion.</w:t>
      </w:r>
    </w:p>
    <w:p>
      <w:pPr>
        <w:pStyle w:val="ListBullet"/>
        <w:widowControl w:val="1"/>
      </w:pPr>
      <w:r>
        <w:rPr>
          <w:rFonts w:ascii="Aptos" w:hAnsi="Aptos"/>
          <w:b w:val="0"/>
          <w:i w:val="0"/>
          <w:sz w:val="21"/>
        </w:rPr>
        <w:t>Show the AMFT’s continuing duty to practice within training and to seek direction; supervision does not transfer all accountability away from the supervisee.</w:t>
      </w:r>
    </w:p>
    <w:p>
      <w:pPr>
        <w:pStyle w:val="ListBullet"/>
        <w:widowControl w:val="1"/>
      </w:pPr>
      <w:r>
        <w:rPr>
          <w:rFonts w:ascii="Aptos" w:hAnsi="Aptos"/>
          <w:b w:val="0"/>
          <w:i w:val="0"/>
          <w:sz w:val="21"/>
        </w:rPr>
        <w:t>Use sequencing cases involving uncertainty, supervisor unavailability, conflicting employer instructions, and inadequate competence.</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choosing independent clinical action because it appears therapeutically helpful before resolving the supervision requirement.</w:t>
      </w:r>
    </w:p>
    <w:p>
      <w:pPr>
        <w:widowControl w:val="1"/>
      </w:pPr>
      <w:r>
        <w:br w:type="page"/>
      </w:r>
    </w:p>
    <w:p>
      <w:pPr>
        <w:pStyle w:val="Heading2"/>
        <w:widowControl w:val="1"/>
      </w:pPr>
      <w:r>
        <w:t>Unit 5 — Work Settings, Employment, Payment, and Business Boundaries</w:t>
      </w:r>
    </w:p>
    <w:p>
      <w:pPr>
        <w:pStyle w:val="ListBullet"/>
        <w:widowControl w:val="1"/>
      </w:pPr>
      <w:r>
        <w:rPr>
          <w:rFonts w:ascii="Aptos" w:hAnsi="Aptos"/>
          <w:b w:val="0"/>
          <w:i w:val="0"/>
          <w:sz w:val="21"/>
        </w:rPr>
        <w:t>Build a setting-status decision tree: identify setting; confirm registration; verify employment/volunteer relationship; confirm supervision; inspect payment and business arrangements; verify service location.</w:t>
      </w:r>
    </w:p>
    <w:p>
      <w:pPr>
        <w:pStyle w:val="ListBullet"/>
        <w:widowControl w:val="1"/>
      </w:pPr>
      <w:r>
        <w:rPr>
          <w:rFonts w:ascii="Aptos" w:hAnsi="Aptos"/>
          <w:b w:val="0"/>
          <w:i w:val="0"/>
          <w:sz w:val="21"/>
        </w:rPr>
        <w:t>Use realistic offers involving room rental, percentage splits, direct client payment, contractor labels, telehealth from an unapproved location, and third-party staffing.</w:t>
      </w:r>
    </w:p>
    <w:p>
      <w:pPr>
        <w:pStyle w:val="ListBullet"/>
        <w:widowControl w:val="1"/>
      </w:pPr>
      <w:r>
        <w:rPr>
          <w:rFonts w:ascii="Aptos" w:hAnsi="Aptos"/>
          <w:b w:val="0"/>
          <w:i w:val="0"/>
          <w:sz w:val="21"/>
        </w:rPr>
        <w:t>Avoid broad statements that all nonprofit or government-associated work is automatically exempt.</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accepting the employer’s label for the arrangement without examining the actual legal conditions.</w:t>
      </w:r>
    </w:p>
    <w:p>
      <w:pPr>
        <w:pStyle w:val="Heading2"/>
        <w:widowControl w:val="1"/>
      </w:pPr>
      <w:r>
        <w:t>Unit 6 — Professional Responsibility and Enforcement</w:t>
      </w:r>
    </w:p>
    <w:p>
      <w:pPr>
        <w:pStyle w:val="ListBullet"/>
        <w:widowControl w:val="1"/>
      </w:pPr>
      <w:r>
        <w:rPr>
          <w:rFonts w:ascii="Aptos" w:hAnsi="Aptos"/>
          <w:b w:val="0"/>
          <w:i w:val="0"/>
          <w:sz w:val="21"/>
        </w:rPr>
        <w:t>Connect inaccurate status, titles, scope, work arrangements, and supervision failures to potential public-protection and enforcement consequences.</w:t>
      </w:r>
    </w:p>
    <w:p>
      <w:pPr>
        <w:pStyle w:val="ListBullet"/>
        <w:widowControl w:val="1"/>
      </w:pPr>
      <w:r>
        <w:rPr>
          <w:rFonts w:ascii="Aptos" w:hAnsi="Aptos"/>
          <w:b w:val="0"/>
          <w:i w:val="0"/>
          <w:sz w:val="21"/>
        </w:rPr>
        <w:t>Keep sanctions secondary; prioritize recognition and correction of the controlling violation.</w:t>
      </w:r>
    </w:p>
    <w:p>
      <w:pPr>
        <w:pStyle w:val="ListBullet"/>
        <w:widowControl w:val="1"/>
      </w:pPr>
      <w:r>
        <w:rPr>
          <w:rFonts w:ascii="Aptos" w:hAnsi="Aptos"/>
          <w:b w:val="0"/>
          <w:i w:val="0"/>
          <w:sz w:val="21"/>
        </w:rPr>
        <w:t>Use only conduct categories that are necessary to reinforce LMFT/AMFT professional identity.</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memorizing disciplinary labels while missing the immediate protective action.</w:t>
      </w:r>
    </w:p>
    <w:p>
      <w:pPr>
        <w:widowControl w:val="1"/>
      </w:pPr>
      <w:r>
        <w:br w:type="page"/>
      </w:r>
    </w:p>
    <w:p>
      <w:pPr>
        <w:pStyle w:val="Heading2"/>
        <w:widowControl w:val="1"/>
      </w:pPr>
      <w:r>
        <w:t>Unit 7 — Registration and Examination Pathway</w:t>
      </w:r>
    </w:p>
    <w:p>
      <w:pPr>
        <w:pStyle w:val="ListBullet"/>
        <w:widowControl w:val="1"/>
      </w:pPr>
      <w:r>
        <w:rPr>
          <w:rFonts w:ascii="Aptos" w:hAnsi="Aptos"/>
          <w:b w:val="0"/>
          <w:i w:val="0"/>
          <w:sz w:val="21"/>
        </w:rPr>
        <w:t>Use a pathway graphic in the learner module, but preserve source-date labels and avoid fixed fee amounts.</w:t>
      </w:r>
    </w:p>
    <w:p>
      <w:pPr>
        <w:pStyle w:val="ListBullet"/>
        <w:widowControl w:val="1"/>
      </w:pPr>
      <w:r>
        <w:rPr>
          <w:rFonts w:ascii="Aptos" w:hAnsi="Aptos"/>
          <w:b w:val="0"/>
          <w:i w:val="0"/>
          <w:sz w:val="21"/>
        </w:rPr>
        <w:t>Contrast TAKEN/ATTEMPTED, PASSED, ELIGIBLE, RENEWED, and LICENSED as distinct states.</w:t>
      </w:r>
    </w:p>
    <w:p>
      <w:pPr>
        <w:pStyle w:val="ListBullet"/>
        <w:widowControl w:val="1"/>
      </w:pPr>
      <w:r>
        <w:rPr>
          <w:rFonts w:ascii="Aptos" w:hAnsi="Aptos"/>
          <w:b w:val="0"/>
          <w:i w:val="0"/>
          <w:sz w:val="21"/>
        </w:rPr>
        <w:t>Direct learners to current BBS and Pearson VUE pages for scheduling, fees, accommodations, and candidate-handbook details.</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treating an exam attempt as passage or assuming clinical-exam eligibility follows automatically from passing Law and Ethics.</w:t>
      </w:r>
    </w:p>
    <w:p>
      <w:pPr>
        <w:pStyle w:val="Heading2"/>
        <w:widowControl w:val="1"/>
      </w:pPr>
      <w:r>
        <w:t>Unit 8 — Examination Distinctions and Integrated Application</w:t>
      </w:r>
    </w:p>
    <w:p>
      <w:pPr>
        <w:pStyle w:val="ListBullet"/>
        <w:widowControl w:val="1"/>
      </w:pPr>
      <w:r>
        <w:rPr>
          <w:rFonts w:ascii="Aptos" w:hAnsi="Aptos"/>
          <w:b w:val="0"/>
          <w:i w:val="0"/>
          <w:sz w:val="21"/>
        </w:rPr>
        <w:t>State plainly that this CTA program prepares for the LMFT California Law and Ethics Examination only.</w:t>
      </w:r>
    </w:p>
    <w:p>
      <w:pPr>
        <w:pStyle w:val="ListBullet"/>
        <w:widowControl w:val="1"/>
      </w:pPr>
      <w:r>
        <w:rPr>
          <w:rFonts w:ascii="Aptos" w:hAnsi="Aptos"/>
          <w:b w:val="0"/>
          <w:i w:val="0"/>
          <w:sz w:val="21"/>
        </w:rPr>
        <w:t>Describe the current clinical exam and pending AMFTRB transition only to establish the licensure pathway and prevent product confusion.</w:t>
      </w:r>
    </w:p>
    <w:p>
      <w:pPr>
        <w:pStyle w:val="ListBullet"/>
        <w:widowControl w:val="1"/>
      </w:pPr>
      <w:r>
        <w:rPr>
          <w:rFonts w:ascii="Aptos" w:hAnsi="Aptos"/>
          <w:b w:val="0"/>
          <w:i w:val="0"/>
          <w:sz w:val="21"/>
        </w:rPr>
        <w:t>End with multi-issue cases requiring the full CTA decision sequence and a source-currency check.</w:t>
      </w:r>
    </w:p>
    <w:p>
      <w:pPr>
        <w:keepNext w:val="0"/>
        <w:spacing w:before="40" w:after="160" w:line="276" w:lineRule="auto"/>
        <w:widowControl w:val="1"/>
      </w:pPr>
      <w:r>
        <w:rPr>
          <w:rFonts w:ascii="Aptos" w:hAnsi="Aptos"/>
          <w:b/>
          <w:i w:val="0"/>
          <w:color w:val="9B1C1C"/>
          <w:sz w:val="18"/>
        </w:rPr>
        <w:t xml:space="preserve">EXAM TRAP  </w:t>
      </w:r>
      <w:r>
        <w:rPr>
          <w:rFonts w:ascii="Aptos" w:hAnsi="Aptos"/>
          <w:b w:val="0"/>
          <w:i/>
          <w:color w:val="404B5A"/>
          <w:sz w:val="19"/>
        </w:rPr>
        <w:t>Common trap: assuming the proposed national clinical exam would replace or absorb California’s state-specific Law and Ethics Examination.</w:t>
      </w:r>
    </w:p>
    <w:p>
      <w:pPr>
        <w:widowControl w:val="1"/>
      </w:pPr>
      <w:r>
        <w:br w:type="page"/>
      </w:r>
    </w:p>
    <w:p>
      <w:pPr>
        <w:pStyle w:val="Heading1"/>
        <w:widowControl w:val="1"/>
      </w:pPr>
      <w:r>
        <w:t>8. Assessment Alignment for the Required 25-Question Form</w:t>
      </w:r>
    </w:p>
    <w:tbl>
      <w:tblPr>
        <w:tblW w:type="dxa" w:w="9360"/>
        <w:jc w:val="left"/>
        <w:tblLayout w:type="fixed"/>
        <w:tblLook w:firstColumn="1" w:firstRow="1" w:lastColumn="0" w:lastRow="0" w:noHBand="0" w:noVBand="1" w:val="04A0"/>
        <w:tblInd w:w="0" w:type="dxa"/>
        <w:tblBorders>
          <w:top w:val="single" w:sz="8" w:space="0" w:color="0FA8A0"/>
          <w:left w:val="single" w:sz="8" w:space="0" w:color="0FA8A0"/>
          <w:bottom w:val="single" w:sz="8" w:space="0" w:color="0FA8A0"/>
          <w:right w:val="single" w:sz="8" w:space="0" w:color="0FA8A0"/>
          <w:insideH w:val="single" w:sz="8" w:space="0" w:color="0FA8A0"/>
          <w:insideV w:val="single" w:sz="8" w:space="0" w:color="0FA8A0"/>
        </w:tblBorders>
      </w:tblPr>
      <w:tblGrid>
        <w:gridCol w:w="9360"/>
      </w:tblGrid>
      <w:tr>
        <w:trPr>
          <w:cantSplit/>
          <w:tblHeader w:val="true"/>
        </w:trPr>
        <w:tc>
          <w:tcPr>
            <w:tcW w:type="dxa" w:w="9360"/>
            <w:tcMar>
              <w:top w:w="100" w:type="dxa"/>
              <w:start w:w="120" w:type="dxa"/>
              <w:bottom w:w="100" w:type="dxa"/>
              <w:end w:w="120" w:type="dxa"/>
            </w:tcMar>
            <w:vAlign w:val="top"/>
            <w:shd w:fill="E8EEF5"/>
          </w:tcPr>
          <w:p>
            <w:pPr>
              <w:keepNext w:val="0"/>
              <w:spacing w:before="0" w:after="40" w:line="269" w:lineRule="auto"/>
            </w:pPr>
            <w:r>
              <w:rPr>
                <w:rFonts w:ascii="Aptos" w:hAnsi="Aptos"/>
                <w:b/>
                <w:i w:val="0"/>
                <w:color w:val="0B2545"/>
                <w:sz w:val="19"/>
              </w:rPr>
              <w:t xml:space="preserve">ASSESSMENT CONTROL  </w:t>
            </w:r>
            <w:r>
              <w:rPr>
                <w:rFonts w:ascii="Aptos" w:hAnsi="Aptos"/>
                <w:b w:val="0"/>
                <w:i w:val="0"/>
                <w:color w:val="0B2545"/>
                <w:sz w:val="20"/>
              </w:rPr>
              <w:t>This section reserves coverage and difficulty. It does not create or release assessment items. The separate bank must use original one-best-answer questions and a controlled rationale file that explains every option.</w:t>
            </w:r>
          </w:p>
        </w:tc>
      </w:tr>
    </w:tbl>
    <w:p>
      <w:pPr>
        <w:spacing w:after="0"/>
        <w:widowControl w:val="1"/>
      </w:pP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5060"/>
        <w:gridCol w:w="900"/>
        <w:gridCol w:w="900"/>
        <w:gridCol w:w="1300"/>
        <w:gridCol w:w="1200"/>
      </w:tblGrid>
      <w:tr>
        <w:trPr>
          <w:tblHeader w:val="true"/>
          <w:cantSplit/>
        </w:trPr>
        <w:tc>
          <w:tcPr>
            <w:tcW w:type="dxa" w:w="506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Domain</w:t>
            </w:r>
          </w:p>
        </w:tc>
        <w:tc>
          <w:tcPr>
            <w:tcW w:type="dxa" w:w="9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Items</w:t>
            </w:r>
          </w:p>
        </w:tc>
        <w:tc>
          <w:tcPr>
            <w:tcW w:type="dxa" w:w="9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Easy</w:t>
            </w:r>
          </w:p>
        </w:tc>
        <w:tc>
          <w:tcPr>
            <w:tcW w:type="dxa" w:w="13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Moderate</w:t>
            </w:r>
          </w:p>
        </w:tc>
        <w:tc>
          <w:tcPr>
            <w:tcW w:type="dxa" w:w="12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Difficult</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1. Authority and hierarchy</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0</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2. LMFT scope and identity</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4</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3. Titles, notice, and advertising</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4</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4. Supervision and accountability</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4</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5. Settings, employment, and payment</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4</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6. Responsibility and enforcement</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0</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7. Registration and exam pathway</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3</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1</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0</w:t>
            </w:r>
          </w:p>
        </w:tc>
      </w:tr>
      <w:tr>
        <w:trPr>
          <w:cantSplit/>
        </w:trPr>
        <w:tc>
          <w:tcPr>
            <w:tcW w:type="dxa" w:w="50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7"/>
              </w:rPr>
              <w:t>8. Exam distinctions and integration</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c>
          <w:tcPr>
            <w:tcW w:type="dxa" w:w="9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0</w:t>
            </w:r>
          </w:p>
        </w:tc>
        <w:tc>
          <w:tcPr>
            <w:tcW w:type="dxa" w:w="13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0</w:t>
            </w:r>
          </w:p>
        </w:tc>
        <w:tc>
          <w:tcPr>
            <w:tcW w:type="dxa" w:w="1200"/>
            <w:tcMar>
              <w:top w:w="100" w:type="dxa"/>
              <w:start w:w="120" w:type="dxa"/>
              <w:bottom w:w="100" w:type="dxa"/>
              <w:end w:w="120" w:type="dxa"/>
            </w:tcMar>
            <w:vAlign w:val="top"/>
          </w:tcPr>
          <w:p>
            <w:pPr>
              <w:keepNext w:val="0"/>
              <w:spacing w:before="0" w:after="60" w:line="259" w:lineRule="auto"/>
              <w:jc w:val="center"/>
            </w:pPr>
            <w:r>
              <w:rPr>
                <w:rFonts w:ascii="Aptos" w:hAnsi="Aptos"/>
                <w:b w:val="0"/>
                <w:i w:val="0"/>
                <w:color w:val="0B2545"/>
                <w:sz w:val="17"/>
              </w:rPr>
              <w:t>2</w:t>
            </w:r>
          </w:p>
        </w:tc>
      </w:tr>
      <w:tr>
        <w:trPr>
          <w:cantSplit/>
        </w:trPr>
        <w:tc>
          <w:tcPr>
            <w:tcW w:type="dxa" w:w="506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7"/>
              </w:rPr>
              <w:t>TOTAL</w:t>
            </w:r>
          </w:p>
        </w:tc>
        <w:tc>
          <w:tcPr>
            <w:tcW w:type="dxa" w:w="900"/>
            <w:shd w:fill="E8F7F5"/>
            <w:tcMar>
              <w:top w:w="100" w:type="dxa"/>
              <w:start w:w="120" w:type="dxa"/>
              <w:bottom w:w="100" w:type="dxa"/>
              <w:end w:w="120" w:type="dxa"/>
            </w:tcMar>
            <w:vAlign w:val="top"/>
          </w:tcPr>
          <w:p>
            <w:pPr>
              <w:keepNext w:val="0"/>
              <w:spacing w:before="0" w:after="60" w:line="259" w:lineRule="auto"/>
              <w:jc w:val="center"/>
            </w:pPr>
            <w:r>
              <w:rPr>
                <w:rFonts w:ascii="Aptos" w:hAnsi="Aptos"/>
                <w:b/>
                <w:i w:val="0"/>
                <w:color w:val="0B2545"/>
                <w:sz w:val="17"/>
              </w:rPr>
              <w:t>25</w:t>
            </w:r>
          </w:p>
        </w:tc>
        <w:tc>
          <w:tcPr>
            <w:tcW w:type="dxa" w:w="900"/>
            <w:shd w:fill="E8F7F5"/>
            <w:tcMar>
              <w:top w:w="100" w:type="dxa"/>
              <w:start w:w="120" w:type="dxa"/>
              <w:bottom w:w="100" w:type="dxa"/>
              <w:end w:w="120" w:type="dxa"/>
            </w:tcMar>
            <w:vAlign w:val="top"/>
          </w:tcPr>
          <w:p>
            <w:pPr>
              <w:keepNext w:val="0"/>
              <w:spacing w:before="0" w:after="60" w:line="259" w:lineRule="auto"/>
              <w:jc w:val="center"/>
            </w:pPr>
            <w:r>
              <w:rPr>
                <w:rFonts w:ascii="Aptos" w:hAnsi="Aptos"/>
                <w:b/>
                <w:i w:val="0"/>
                <w:color w:val="0B2545"/>
                <w:sz w:val="17"/>
              </w:rPr>
              <w:t>7</w:t>
            </w:r>
          </w:p>
        </w:tc>
        <w:tc>
          <w:tcPr>
            <w:tcW w:type="dxa" w:w="1300"/>
            <w:shd w:fill="E8F7F5"/>
            <w:tcMar>
              <w:top w:w="100" w:type="dxa"/>
              <w:start w:w="120" w:type="dxa"/>
              <w:bottom w:w="100" w:type="dxa"/>
              <w:end w:w="120" w:type="dxa"/>
            </w:tcMar>
            <w:vAlign w:val="top"/>
          </w:tcPr>
          <w:p>
            <w:pPr>
              <w:keepNext w:val="0"/>
              <w:spacing w:before="0" w:after="60" w:line="259" w:lineRule="auto"/>
              <w:jc w:val="center"/>
            </w:pPr>
            <w:r>
              <w:rPr>
                <w:rFonts w:ascii="Aptos" w:hAnsi="Aptos"/>
                <w:b/>
                <w:i w:val="0"/>
                <w:color w:val="0B2545"/>
                <w:sz w:val="17"/>
              </w:rPr>
              <w:t>11</w:t>
            </w:r>
          </w:p>
        </w:tc>
        <w:tc>
          <w:tcPr>
            <w:tcW w:type="dxa" w:w="1200"/>
            <w:shd w:fill="E8F7F5"/>
            <w:tcMar>
              <w:top w:w="100" w:type="dxa"/>
              <w:start w:w="120" w:type="dxa"/>
              <w:bottom w:w="100" w:type="dxa"/>
              <w:end w:w="120" w:type="dxa"/>
            </w:tcMar>
            <w:vAlign w:val="top"/>
          </w:tcPr>
          <w:p>
            <w:pPr>
              <w:keepNext w:val="0"/>
              <w:spacing w:before="0" w:after="60" w:line="259" w:lineRule="auto"/>
              <w:jc w:val="center"/>
            </w:pPr>
            <w:r>
              <w:rPr>
                <w:rFonts w:ascii="Aptos" w:hAnsi="Aptos"/>
                <w:b/>
                <w:i w:val="0"/>
                <w:color w:val="0B2545"/>
                <w:sz w:val="17"/>
              </w:rPr>
              <w:t>7</w:t>
            </w:r>
          </w:p>
        </w:tc>
      </w:tr>
    </w:tbl>
    <w:p>
      <w:pPr>
        <w:pStyle w:val="Heading2"/>
        <w:widowControl w:val="1"/>
      </w:pPr>
      <w:r>
        <w:t>Question-Design Controls</w:t>
      </w:r>
    </w:p>
    <w:p>
      <w:pPr>
        <w:pStyle w:val="ListBullet"/>
        <w:widowControl w:val="1"/>
      </w:pPr>
      <w:r>
        <w:rPr>
          <w:rFonts w:ascii="Aptos" w:hAnsi="Aptos"/>
          <w:b w:val="0"/>
          <w:i w:val="0"/>
          <w:sz w:val="21"/>
        </w:rPr>
        <w:t>Difficulty target: 7 Easy, 11 Moderate, and 7 Difficult. Scenario-Based and Integrated Challenge remain question types, not difficulty labels.</w:t>
      </w:r>
    </w:p>
    <w:p>
      <w:pPr>
        <w:pStyle w:val="ListBullet"/>
        <w:widowControl w:val="1"/>
      </w:pPr>
      <w:r>
        <w:rPr>
          <w:rFonts w:ascii="Aptos" w:hAnsi="Aptos"/>
          <w:b w:val="0"/>
          <w:i w:val="0"/>
          <w:sz w:val="21"/>
        </w:rPr>
        <w:t>Question-type target: approximately 5 knowledge/recognition, 11 application/sequencing, 7 scenario-based, and 2 integrated-challenge items.</w:t>
      </w:r>
    </w:p>
    <w:p>
      <w:pPr>
        <w:pStyle w:val="ListBullet"/>
        <w:widowControl w:val="1"/>
      </w:pPr>
      <w:r>
        <w:rPr>
          <w:rFonts w:ascii="Aptos" w:hAnsi="Aptos"/>
          <w:b w:val="0"/>
          <w:i w:val="0"/>
          <w:sz w:val="21"/>
        </w:rPr>
        <w:t>Correct-answer positions must be balanced across A–D; no detectable position, length, grammar, or qualifier pattern.</w:t>
      </w:r>
    </w:p>
    <w:p>
      <w:pPr>
        <w:pStyle w:val="ListBullet"/>
        <w:widowControl w:val="1"/>
      </w:pPr>
      <w:r>
        <w:rPr>
          <w:rFonts w:ascii="Aptos" w:hAnsi="Aptos"/>
          <w:b w:val="0"/>
          <w:i w:val="0"/>
          <w:sz w:val="21"/>
        </w:rPr>
        <w:t>Every item receives a unique ID, primary objective, primary legal anchor, difficulty, item type, keyed answer, and remediation destination.</w:t>
      </w:r>
    </w:p>
    <w:p>
      <w:pPr>
        <w:pStyle w:val="ListBullet"/>
        <w:widowControl w:val="1"/>
      </w:pPr>
      <w:r>
        <w:rPr>
          <w:rFonts w:ascii="Aptos" w:hAnsi="Aptos"/>
          <w:b w:val="0"/>
          <w:i w:val="0"/>
          <w:sz w:val="21"/>
        </w:rPr>
        <w:t>Every rationale must explain why the keyed option is best and why each distractor is inaccurate, incomplete, premature, excessive, unsupported, or assigned to the wrong role.</w:t>
      </w:r>
    </w:p>
    <w:p>
      <w:pPr>
        <w:pStyle w:val="ListBullet"/>
        <w:widowControl w:val="1"/>
      </w:pPr>
      <w:r>
        <w:rPr>
          <w:rFonts w:ascii="Aptos" w:hAnsi="Aptos"/>
          <w:b w:val="0"/>
          <w:i w:val="0"/>
          <w:sz w:val="21"/>
        </w:rPr>
        <w:t>Items testing high-change procedures must avoid fragile fee amounts and scheduling details unless the item is revalidated immediately before release.</w:t>
      </w:r>
    </w:p>
    <w:p>
      <w:pPr>
        <w:pStyle w:val="Heading2"/>
        <w:widowControl w:val="1"/>
      </w:pPr>
      <w:r>
        <w:t>Proposed Item-ID Pattern</w:t>
      </w:r>
    </w:p>
    <w:p>
      <w:pPr>
        <w:widowControl w:val="1"/>
      </w:pPr>
      <w:r>
        <w:rPr>
          <w:rFonts w:ascii="Aptos" w:hAnsi="Aptos"/>
          <w:b/>
          <w:i w:val="0"/>
          <w:color w:val="087F78"/>
          <w:sz w:val="21"/>
        </w:rPr>
        <w:t>CTA-EP-001-LS-001 through CTA-EP-001-LS-025</w:t>
      </w:r>
      <w:r>
        <w:rPr>
          <w:rFonts w:ascii="Aptos" w:hAnsi="Aptos"/>
          <w:b w:val="0"/>
          <w:i w:val="0"/>
          <w:sz w:val="21"/>
        </w:rPr>
        <w:t xml:space="preserve">  |  “LS” denotes the controlled license-specific module assessment and prevents collision with nine-workbook chapter-bank IDs or full-length examination IDs.</w:t>
      </w:r>
    </w:p>
    <w:p>
      <w:pPr>
        <w:pStyle w:val="Heading1"/>
        <w:widowControl w:val="1"/>
      </w:pPr>
      <w:r>
        <w:t>9. Required Instructional Features</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700"/>
        <w:gridCol w:w="7660"/>
      </w:tblGrid>
      <w:tr>
        <w:trPr>
          <w:tblHeader w:val="true"/>
          <w:cantSplit/>
        </w:trPr>
        <w:tc>
          <w:tcPr>
            <w:tcW w:type="dxa" w:w="17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CTA stage</w:t>
            </w:r>
          </w:p>
        </w:tc>
        <w:tc>
          <w:tcPr>
            <w:tcW w:type="dxa" w:w="766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8"/>
              </w:rPr>
              <w:t>Required implementation</w:t>
            </w:r>
          </w:p>
        </w:tc>
      </w:tr>
      <w:tr>
        <w:trPr>
          <w:cantSplit/>
        </w:trPr>
        <w:tc>
          <w:tcPr>
            <w:tcW w:type="dxa" w:w="17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8"/>
              </w:rPr>
              <w:t>Preview</w:t>
            </w:r>
          </w:p>
        </w:tc>
        <w:tc>
          <w:tcPr>
            <w:tcW w:type="dxa" w:w="7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Short readiness prompt that separates professional status, scope, setting, and exam pathway.</w:t>
            </w:r>
          </w:p>
        </w:tc>
      </w:tr>
      <w:tr>
        <w:trPr>
          <w:cantSplit/>
        </w:trPr>
        <w:tc>
          <w:tcPr>
            <w:tcW w:type="dxa" w:w="17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8"/>
              </w:rPr>
              <w:t>Learn</w:t>
            </w:r>
          </w:p>
        </w:tc>
        <w:tc>
          <w:tcPr>
            <w:tcW w:type="dxa" w:w="7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Concise explanations with statute/regulation anchors and plain-language definitions.</w:t>
            </w:r>
          </w:p>
        </w:tc>
      </w:tr>
      <w:tr>
        <w:trPr>
          <w:cantSplit/>
        </w:trPr>
        <w:tc>
          <w:tcPr>
            <w:tcW w:type="dxa" w:w="17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8"/>
              </w:rPr>
              <w:t>Organize</w:t>
            </w:r>
          </w:p>
        </w:tc>
        <w:tc>
          <w:tcPr>
            <w:tcW w:type="dxa" w:w="7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Status–Setting–Scope–Source–Safeguard–Step–Record framework and role-comparison tools.</w:t>
            </w:r>
          </w:p>
        </w:tc>
      </w:tr>
      <w:tr>
        <w:trPr>
          <w:cantSplit/>
        </w:trPr>
        <w:tc>
          <w:tcPr>
            <w:tcW w:type="dxa" w:w="17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8"/>
              </w:rPr>
              <w:t>Apply</w:t>
            </w:r>
          </w:p>
        </w:tc>
        <w:tc>
          <w:tcPr>
            <w:tcW w:type="dxa" w:w="7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LMFT/AMFT vignettes using couples, families, individuals, supervisors, employers, private practice, agencies, telehealth, and public advertising.</w:t>
            </w:r>
          </w:p>
        </w:tc>
      </w:tr>
      <w:tr>
        <w:trPr>
          <w:cantSplit/>
        </w:trPr>
        <w:tc>
          <w:tcPr>
            <w:tcW w:type="dxa" w:w="17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8"/>
              </w:rPr>
              <w:t>Evaluate</w:t>
            </w:r>
          </w:p>
        </w:tc>
        <w:tc>
          <w:tcPr>
            <w:tcW w:type="dxa" w:w="7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Knowledge checks and rationale analysis that identify the controlling rule and the distractor’s exact defect.</w:t>
            </w:r>
          </w:p>
        </w:tc>
      </w:tr>
      <w:tr>
        <w:trPr>
          <w:cantSplit/>
        </w:trPr>
        <w:tc>
          <w:tcPr>
            <w:tcW w:type="dxa" w:w="17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8"/>
              </w:rPr>
              <w:t>Repair</w:t>
            </w:r>
          </w:p>
        </w:tc>
        <w:tc>
          <w:tcPr>
            <w:tcW w:type="dxa" w:w="7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Error-log tags: Identity, Scope, Setting, Supervision, Advertising, Registration, Examination, Current-vs-Pending.</w:t>
            </w:r>
          </w:p>
        </w:tc>
      </w:tr>
      <w:tr>
        <w:trPr>
          <w:cantSplit/>
        </w:trPr>
        <w:tc>
          <w:tcPr>
            <w:tcW w:type="dxa" w:w="17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8"/>
              </w:rPr>
              <w:t>Revisit</w:t>
            </w:r>
          </w:p>
        </w:tc>
        <w:tc>
          <w:tcPr>
            <w:tcW w:type="dxa" w:w="7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End-of-module rapid review, then the separate protected 25-question assessment.</w:t>
            </w:r>
          </w:p>
        </w:tc>
      </w:tr>
    </w:tbl>
    <w:p>
      <w:pPr>
        <w:pStyle w:val="Heading2"/>
        <w:widowControl w:val="1"/>
      </w:pPr>
      <w:r>
        <w:t>Recurring CTA Cues</w:t>
      </w:r>
    </w:p>
    <w:p>
      <w:pPr>
        <w:pStyle w:val="ListBullet"/>
        <w:widowControl w:val="1"/>
      </w:pPr>
      <w:r>
        <w:rPr>
          <w:rFonts w:ascii="Aptos" w:hAnsi="Aptos"/>
          <w:b w:val="0"/>
          <w:i w:val="0"/>
          <w:sz w:val="21"/>
        </w:rPr>
        <w:t>CTA Exam Tip: identify the candidate’s status before applying the rule.</w:t>
      </w:r>
    </w:p>
    <w:p>
      <w:pPr>
        <w:pStyle w:val="ListBullet"/>
        <w:widowControl w:val="1"/>
      </w:pPr>
      <w:r>
        <w:rPr>
          <w:rFonts w:ascii="Aptos" w:hAnsi="Aptos"/>
          <w:b w:val="0"/>
          <w:i w:val="0"/>
          <w:sz w:val="21"/>
        </w:rPr>
        <w:t>LMFT Lens: identify the relational, systemic, couple, family, or treatment-unit dimension when it affects the legal or ethical analysis.</w:t>
      </w:r>
    </w:p>
    <w:p>
      <w:pPr>
        <w:pStyle w:val="ListBullet"/>
        <w:widowControl w:val="1"/>
      </w:pPr>
      <w:r>
        <w:rPr>
          <w:rFonts w:ascii="Aptos" w:hAnsi="Aptos"/>
          <w:b w:val="0"/>
          <w:i w:val="0"/>
          <w:sz w:val="21"/>
        </w:rPr>
        <w:t>Common Trap: name the specific reasoning error, not merely that an option is “wrong.”</w:t>
      </w:r>
    </w:p>
    <w:p>
      <w:pPr>
        <w:pStyle w:val="ListBullet"/>
        <w:widowControl w:val="1"/>
      </w:pPr>
      <w:r>
        <w:rPr>
          <w:rFonts w:ascii="Aptos" w:hAnsi="Aptos"/>
          <w:b w:val="0"/>
          <w:i w:val="0"/>
          <w:sz w:val="21"/>
        </w:rPr>
        <w:t>Current-Source Check: direct the learner to verify high-change BBS procedures and pending examination transitions.</w:t>
      </w:r>
    </w:p>
    <w:p>
      <w:pPr>
        <w:pStyle w:val="ListBullet"/>
        <w:widowControl w:val="1"/>
      </w:pPr>
      <w:r>
        <w:rPr>
          <w:rFonts w:ascii="Aptos" w:hAnsi="Aptos"/>
          <w:b w:val="0"/>
          <w:i w:val="0"/>
          <w:sz w:val="21"/>
        </w:rPr>
        <w:t>Remember: separate profession-wide scope, personal competence, and present legal authority.</w:t>
      </w:r>
    </w:p>
    <w:p>
      <w:pPr>
        <w:widowControl w:val="1"/>
      </w:pPr>
      <w:r>
        <w:br w:type="page"/>
      </w:r>
    </w:p>
    <w:p>
      <w:pPr>
        <w:pStyle w:val="Heading1"/>
        <w:widowControl w:val="1"/>
      </w:pPr>
      <w:r>
        <w:t>10. Cross-Program and Nine-Workbook Conversion Controls</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1900"/>
        <w:gridCol w:w="4100"/>
        <w:gridCol w:w="3360"/>
      </w:tblGrid>
      <w:tr>
        <w:trPr>
          <w:tblHeader w:val="true"/>
          <w:cantSplit/>
        </w:trPr>
        <w:tc>
          <w:tcPr>
            <w:tcW w:type="dxa" w:w="19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7"/>
              </w:rPr>
              <w:t>Control</w:t>
            </w:r>
          </w:p>
        </w:tc>
        <w:tc>
          <w:tcPr>
            <w:tcW w:type="dxa" w:w="41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7"/>
              </w:rPr>
              <w:t>Required treatment</w:t>
            </w:r>
          </w:p>
        </w:tc>
        <w:tc>
          <w:tcPr>
            <w:tcW w:type="dxa" w:w="336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7"/>
              </w:rPr>
              <w:t>Release check</w:t>
            </w:r>
          </w:p>
        </w:tc>
      </w:tr>
      <w:tr>
        <w:trPr>
          <w:cantSplit/>
        </w:trPr>
        <w:tc>
          <w:tcPr>
            <w:tcW w:type="dxa" w:w="19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License specificity</w:t>
            </w:r>
          </w:p>
        </w:tc>
        <w:tc>
          <w:tcPr>
            <w:tcW w:type="dxa" w:w="4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Use LMFT/AMFT terminology throughout. Remove LCSW/ASW and LPCC/APCC learner framing unless a narrow legal comparison is essential and approved.</w:t>
            </w:r>
          </w:p>
        </w:tc>
        <w:tc>
          <w:tcPr>
            <w:tcW w:type="dxa" w:w="33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Search every learner-facing file for cross-license titles and generic candidate labels.</w:t>
            </w:r>
          </w:p>
        </w:tc>
      </w:tr>
      <w:tr>
        <w:trPr>
          <w:cantSplit/>
        </w:trPr>
        <w:tc>
          <w:tcPr>
            <w:tcW w:type="dxa" w:w="190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Scope framing</w:t>
            </w:r>
          </w:p>
        </w:tc>
        <w:tc>
          <w:tcPr>
            <w:tcW w:type="dxa" w:w="4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Use the statutory LMFT and family-systems scope; do not substitute generic psychotherapy or counseling definitions.</w:t>
            </w:r>
          </w:p>
        </w:tc>
        <w:tc>
          <w:tcPr>
            <w:tcW w:type="dxa" w:w="33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Map every scope statement to BPC § 4980.02 or a more specific authority.</w:t>
            </w:r>
          </w:p>
        </w:tc>
      </w:tr>
      <w:tr>
        <w:trPr>
          <w:cantSplit/>
        </w:trPr>
        <w:tc>
          <w:tcPr>
            <w:tcW w:type="dxa" w:w="19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Professional status</w:t>
            </w:r>
          </w:p>
        </w:tc>
        <w:tc>
          <w:tcPr>
            <w:tcW w:type="dxa" w:w="4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Treat AMFTs as unlicensed registered associates and distinguish registration from independent licensure.</w:t>
            </w:r>
          </w:p>
        </w:tc>
        <w:tc>
          <w:tcPr>
            <w:tcW w:type="dxa" w:w="33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Audit titles, disclosures, examples, answer choices, flashcards, and LMS labels.</w:t>
            </w:r>
          </w:p>
        </w:tc>
      </w:tr>
      <w:tr>
        <w:trPr>
          <w:cantSplit/>
        </w:trPr>
        <w:tc>
          <w:tcPr>
            <w:tcW w:type="dxa" w:w="190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Examination identity</w:t>
            </w:r>
          </w:p>
        </w:tc>
        <w:tc>
          <w:tcPr>
            <w:tcW w:type="dxa" w:w="4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Name the LMFT California Law and Ethics Examination consistently. Keep clinical-exam and AMFTRB material to pathway distinctions.</w:t>
            </w:r>
          </w:p>
        </w:tc>
        <w:tc>
          <w:tcPr>
            <w:tcW w:type="dxa" w:w="33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Confirm website, LMS, workbooks, simulations, and checkout do not promise clinical-exam preparation.</w:t>
            </w:r>
          </w:p>
        </w:tc>
      </w:tr>
      <w:tr>
        <w:trPr>
          <w:cantSplit/>
        </w:trPr>
        <w:tc>
          <w:tcPr>
            <w:tcW w:type="dxa" w:w="19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Assessment migration</w:t>
            </w:r>
          </w:p>
        </w:tc>
        <w:tc>
          <w:tcPr>
            <w:tcW w:type="dxa" w:w="4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Use this module’s objectives to convert or replace flagged shared-core items and protect unused reserve content.</w:t>
            </w:r>
          </w:p>
        </w:tc>
        <w:tc>
          <w:tcPr>
            <w:tcW w:type="dxa" w:w="33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Record item disposition, replacement ID, rationale status, and form allocation.</w:t>
            </w:r>
          </w:p>
        </w:tc>
      </w:tr>
      <w:tr>
        <w:trPr>
          <w:cantSplit/>
        </w:trPr>
        <w:tc>
          <w:tcPr>
            <w:tcW w:type="dxa" w:w="190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No CE classification</w:t>
            </w:r>
          </w:p>
        </w:tc>
        <w:tc>
          <w:tcPr>
            <w:tcW w:type="dxa" w:w="4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Use “Exam Preparation Program | No CE Credit” in learner-facing and administrative records.</w:t>
            </w:r>
          </w:p>
        </w:tc>
        <w:tc>
          <w:tcPr>
            <w:tcW w:type="dxa" w:w="33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Confirm no CE hours, evaluation, certificate, membership rule, or CE completion gate is attached.</w:t>
            </w:r>
          </w:p>
        </w:tc>
      </w:tr>
      <w:tr>
        <w:trPr>
          <w:cantSplit/>
        </w:trPr>
        <w:tc>
          <w:tcPr>
            <w:tcW w:type="dxa" w:w="19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Version control</w:t>
            </w:r>
          </w:p>
        </w:tc>
        <w:tc>
          <w:tcPr>
            <w:tcW w:type="dxa" w:w="41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Archive superseded shared-core editions; issue LMFT Candidate Editions and LMFT-specific examination forms under controlled versions.</w:t>
            </w:r>
          </w:p>
        </w:tc>
        <w:tc>
          <w:tcPr>
            <w:tcW w:type="dxa" w:w="33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Ensure LMS, downloadable files, release register, and David’s implementation package point to the same approved versions.</w:t>
            </w:r>
          </w:p>
        </w:tc>
      </w:tr>
    </w:tbl>
    <w:p>
      <w:pPr>
        <w:pStyle w:val="Heading1"/>
        <w:widowControl w:val="1"/>
      </w:pPr>
      <w:r>
        <w:t>11. Source Register and Currency Controls</w:t>
      </w:r>
    </w:p>
    <w:p>
      <w:pPr>
        <w:widowControl w:val="1"/>
      </w:pPr>
      <w:r>
        <w:rPr>
          <w:rFonts w:ascii="Aptos" w:hAnsi="Aptos"/>
          <w:b/>
          <w:i w:val="0"/>
          <w:color w:val="087F78"/>
          <w:sz w:val="21"/>
        </w:rPr>
        <w:t xml:space="preserve">Source hierarchy. </w:t>
      </w:r>
      <w:r>
        <w:rPr>
          <w:rFonts w:ascii="Aptos" w:hAnsi="Aptos"/>
          <w:b w:val="0"/>
          <w:i w:val="0"/>
          <w:sz w:val="21"/>
        </w:rPr>
        <w:t>Current California statutes and regulations control. Current official BBS instructions govern application, eligibility, renewal, and testing procedures. Candidate handbooks govern vendor-facing test procedures. Ethical codes supplement but do not override law.</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3400"/>
        <w:gridCol w:w="4200"/>
        <w:gridCol w:w="1760"/>
      </w:tblGrid>
      <w:tr>
        <w:trPr>
          <w:tblHeader w:val="true"/>
          <w:cantSplit/>
        </w:trPr>
        <w:tc>
          <w:tcPr>
            <w:tcW w:type="dxa" w:w="34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7"/>
              </w:rPr>
              <w:t>Official source</w:t>
            </w:r>
          </w:p>
        </w:tc>
        <w:tc>
          <w:tcPr>
            <w:tcW w:type="dxa" w:w="420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7"/>
              </w:rPr>
              <w:t>Development use</w:t>
            </w:r>
          </w:p>
        </w:tc>
        <w:tc>
          <w:tcPr>
            <w:tcW w:type="dxa" w:w="1760"/>
            <w:shd w:fill="0B2545"/>
            <w:tcMar>
              <w:top w:w="100" w:type="dxa"/>
              <w:start w:w="120" w:type="dxa"/>
              <w:bottom w:w="100" w:type="dxa"/>
              <w:end w:w="120" w:type="dxa"/>
            </w:tcMar>
            <w:vAlign w:val="top"/>
          </w:tcPr>
          <w:p>
            <w:pPr>
              <w:keepNext w:val="0"/>
              <w:spacing w:before="0" w:after="60" w:line="259" w:lineRule="auto"/>
            </w:pPr>
            <w:r>
              <w:rPr>
                <w:rFonts w:ascii="Aptos" w:hAnsi="Aptos"/>
                <w:b/>
                <w:i w:val="0"/>
                <w:color w:val="FFFFFF"/>
                <w:sz w:val="17"/>
              </w:rPr>
              <w:t>Link</w:t>
            </w:r>
          </w:p>
        </w:tc>
      </w:tr>
      <w:tr>
        <w:trPr>
          <w:cantSplit/>
        </w:trPr>
        <w:tc>
          <w:tcPr>
            <w:tcW w:type="dxa" w:w="34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BBS Statutes and Regulations, effective January 1, 2026</w:t>
            </w:r>
          </w:p>
        </w:tc>
        <w:tc>
          <w:tcPr>
            <w:tcW w:type="dxa" w:w="42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Practice Act and Title 16 anchors for Units 1–7</w:t>
            </w:r>
          </w:p>
        </w:tc>
        <w:tc>
          <w:tcPr>
            <w:tcW w:type="dxa" w:w="1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r>
            <w:hyperlink r:id="rId12">
              <w:r>
                <w:rPr>
                  <w:rFonts w:ascii="Aptos" w:hAnsi="Aptos"/>
                  <w:color w:val="087F78"/>
                  <w:u w:val="single"/>
                  <w:sz w:val="20"/>
                </w:rPr>
                <w:t>Open official source</w:t>
              </w:r>
            </w:hyperlink>
          </w:p>
        </w:tc>
      </w:tr>
      <w:tr>
        <w:trPr>
          <w:cantSplit/>
        </w:trPr>
        <w:tc>
          <w:tcPr>
            <w:tcW w:type="dxa" w:w="340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BBS California Law and Ethics Examination page</w:t>
            </w:r>
          </w:p>
        </w:tc>
        <w:tc>
          <w:tcPr>
            <w:tcW w:type="dxa" w:w="42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Current license-specific exam, annual attempt, subsequent-registration, vendor, and application guidance</w:t>
            </w:r>
          </w:p>
        </w:tc>
        <w:tc>
          <w:tcPr>
            <w:tcW w:type="dxa" w:w="1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r>
            <w:hyperlink r:id="rId13">
              <w:r>
                <w:rPr>
                  <w:rFonts w:ascii="Aptos" w:hAnsi="Aptos"/>
                  <w:color w:val="087F78"/>
                  <w:u w:val="single"/>
                  <w:sz w:val="20"/>
                </w:rPr>
                <w:t>Open official source</w:t>
              </w:r>
            </w:hyperlink>
          </w:p>
        </w:tc>
      </w:tr>
      <w:tr>
        <w:trPr>
          <w:cantSplit/>
        </w:trPr>
        <w:tc>
          <w:tcPr>
            <w:tcW w:type="dxa" w:w="34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BBS LMFT applicant pathway page</w:t>
            </w:r>
          </w:p>
        </w:tc>
        <w:tc>
          <w:tcPr>
            <w:tcW w:type="dxa" w:w="42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Current AMFT-to-LMFT pathway, registration, exam, and clinical eligibility distinctions</w:t>
            </w:r>
          </w:p>
        </w:tc>
        <w:tc>
          <w:tcPr>
            <w:tcW w:type="dxa" w:w="1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r>
            <w:hyperlink r:id="rId14">
              <w:r>
                <w:rPr>
                  <w:rFonts w:ascii="Aptos" w:hAnsi="Aptos"/>
                  <w:color w:val="087F78"/>
                  <w:u w:val="single"/>
                  <w:sz w:val="20"/>
                </w:rPr>
                <w:t>Open official source</w:t>
              </w:r>
            </w:hyperlink>
          </w:p>
        </w:tc>
      </w:tr>
      <w:tr>
        <w:trPr>
          <w:cantSplit/>
        </w:trPr>
        <w:tc>
          <w:tcPr>
            <w:tcW w:type="dxa" w:w="340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BBS California Law and Ethics Examination FAQs</w:t>
            </w:r>
          </w:p>
        </w:tc>
        <w:tc>
          <w:tcPr>
            <w:tcW w:type="dxa" w:w="42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Current eligibility, multiple-registration, scheduling, retest, and candidate-handbook guidance</w:t>
            </w:r>
          </w:p>
        </w:tc>
        <w:tc>
          <w:tcPr>
            <w:tcW w:type="dxa" w:w="1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r>
            <w:hyperlink r:id="rId15">
              <w:r>
                <w:rPr>
                  <w:rFonts w:ascii="Aptos" w:hAnsi="Aptos"/>
                  <w:color w:val="087F78"/>
                  <w:u w:val="single"/>
                  <w:sz w:val="20"/>
                </w:rPr>
                <w:t>Open official source</w:t>
              </w:r>
            </w:hyperlink>
          </w:p>
        </w:tc>
      </w:tr>
      <w:tr>
        <w:trPr>
          <w:cantSplit/>
        </w:trPr>
        <w:tc>
          <w:tcPr>
            <w:tcW w:type="dxa" w:w="3400"/>
            <w:shd w:fill="E8EE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BBS LMFT clinical examination page</w:t>
            </w:r>
          </w:p>
        </w:tc>
        <w:tc>
          <w:tcPr>
            <w:tcW w:type="dxa" w:w="42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Current clinical-exam eligibility and timing distinction</w:t>
            </w:r>
          </w:p>
        </w:tc>
        <w:tc>
          <w:tcPr>
            <w:tcW w:type="dxa" w:w="1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r>
            <w:hyperlink r:id="rId16">
              <w:r>
                <w:rPr>
                  <w:rFonts w:ascii="Aptos" w:hAnsi="Aptos"/>
                  <w:color w:val="087F78"/>
                  <w:u w:val="single"/>
                  <w:sz w:val="20"/>
                </w:rPr>
                <w:t>Open official source</w:t>
              </w:r>
            </w:hyperlink>
          </w:p>
        </w:tc>
      </w:tr>
      <w:tr>
        <w:trPr>
          <w:cantSplit/>
        </w:trPr>
        <w:tc>
          <w:tcPr>
            <w:tcW w:type="dxa" w:w="3400"/>
            <w:shd w:fill="E8F7F5"/>
            <w:tcMar>
              <w:top w:w="100" w:type="dxa"/>
              <w:start w:w="120" w:type="dxa"/>
              <w:bottom w:w="100" w:type="dxa"/>
              <w:end w:w="120" w:type="dxa"/>
            </w:tcMar>
            <w:vAlign w:val="top"/>
          </w:tcPr>
          <w:p>
            <w:pPr>
              <w:keepNext w:val="0"/>
              <w:spacing w:before="0" w:after="60" w:line="259" w:lineRule="auto"/>
            </w:pPr>
            <w:r>
              <w:rPr>
                <w:rFonts w:ascii="Aptos" w:hAnsi="Aptos"/>
                <w:b/>
                <w:i w:val="0"/>
                <w:color w:val="0B2545"/>
                <w:sz w:val="16"/>
              </w:rPr>
              <w:t>BBS AMFTRB Transition Update, Agenda Item 25 (May 2026)</w:t>
            </w:r>
          </w:p>
        </w:tc>
        <w:tc>
          <w:tcPr>
            <w:tcW w:type="dxa" w:w="420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t>Proposed clinical-exam transition status and projected July 1, 2027 timeline; pending update and rulemaking</w:t>
            </w:r>
          </w:p>
        </w:tc>
        <w:tc>
          <w:tcPr>
            <w:tcW w:type="dxa" w:w="17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6"/>
              </w:rPr>
            </w:r>
            <w:hyperlink r:id="rId17">
              <w:r>
                <w:rPr>
                  <w:rFonts w:ascii="Aptos" w:hAnsi="Aptos"/>
                  <w:color w:val="087F78"/>
                  <w:u w:val="single"/>
                  <w:sz w:val="20"/>
                </w:rPr>
                <w:t>Open official source</w:t>
              </w:r>
            </w:hyperlink>
          </w:p>
        </w:tc>
      </w:tr>
    </w:tbl>
    <w:p>
      <w:pPr>
        <w:pStyle w:val="Heading2"/>
        <w:widowControl w:val="1"/>
      </w:pPr>
      <w:r>
        <w:t>Mandatory Recheck Triggers</w:t>
      </w:r>
    </w:p>
    <w:p>
      <w:pPr>
        <w:pStyle w:val="ListBullet"/>
        <w:widowControl w:val="1"/>
      </w:pPr>
      <w:r>
        <w:rPr>
          <w:rFonts w:ascii="Aptos" w:hAnsi="Aptos"/>
          <w:b w:val="0"/>
          <w:i w:val="0"/>
          <w:sz w:val="21"/>
        </w:rPr>
        <w:t>Immediately before module release, full-length examination reissue, website publication, and any material LMS update.</w:t>
      </w:r>
    </w:p>
    <w:p>
      <w:pPr>
        <w:pStyle w:val="ListBullet"/>
        <w:widowControl w:val="1"/>
      </w:pPr>
      <w:r>
        <w:rPr>
          <w:rFonts w:ascii="Aptos" w:hAnsi="Aptos"/>
          <w:b w:val="0"/>
          <w:i w:val="0"/>
          <w:sz w:val="21"/>
        </w:rPr>
        <w:t>After a new annual BBS statutes-and-regulations publication or effective statutory/regulatory change.</w:t>
      </w:r>
    </w:p>
    <w:p>
      <w:pPr>
        <w:pStyle w:val="ListBullet"/>
        <w:widowControl w:val="1"/>
      </w:pPr>
      <w:r>
        <w:rPr>
          <w:rFonts w:ascii="Aptos" w:hAnsi="Aptos"/>
          <w:b w:val="0"/>
          <w:i w:val="0"/>
          <w:sz w:val="21"/>
        </w:rPr>
        <w:t>After any BBS action, notice, or implementation update concerning AMFTRB adoption or the California clinical examination.</w:t>
      </w:r>
    </w:p>
    <w:p>
      <w:pPr>
        <w:pStyle w:val="ListBullet"/>
        <w:widowControl w:val="1"/>
      </w:pPr>
      <w:r>
        <w:rPr>
          <w:rFonts w:ascii="Aptos" w:hAnsi="Aptos"/>
          <w:b w:val="0"/>
          <w:i w:val="0"/>
          <w:sz w:val="21"/>
        </w:rPr>
        <w:t>When BBS, Pearson VUE, fees, eligibility, accommodations, retest windows, registration renewal, or subsequent-registration procedures change.</w:t>
      </w:r>
    </w:p>
    <w:tbl>
      <w:tblPr>
        <w:tblW w:type="dxa" w:w="9360"/>
        <w:jc w:val="left"/>
        <w:tblLayout w:type="fixed"/>
        <w:tblLook w:firstColumn="1" w:firstRow="1" w:lastColumn="0" w:lastRow="0" w:noHBand="0" w:noVBand="1" w:val="04A0"/>
        <w:tblInd w:w="0" w:type="dxa"/>
        <w:tblBorders>
          <w:top w:val="single" w:sz="8" w:space="0" w:color="0FA8A0"/>
          <w:left w:val="single" w:sz="8" w:space="0" w:color="0FA8A0"/>
          <w:bottom w:val="single" w:sz="8" w:space="0" w:color="0FA8A0"/>
          <w:right w:val="single" w:sz="8" w:space="0" w:color="0FA8A0"/>
          <w:insideH w:val="single" w:sz="8" w:space="0" w:color="0FA8A0"/>
          <w:insideV w:val="single" w:sz="8" w:space="0" w:color="0FA8A0"/>
        </w:tblBorders>
      </w:tblPr>
      <w:tblGrid>
        <w:gridCol w:w="9360"/>
      </w:tblGrid>
      <w:tr>
        <w:trPr>
          <w:cantSplit/>
          <w:tblHeader w:val="true"/>
        </w:trPr>
        <w:tc>
          <w:tcPr>
            <w:tcW w:type="dxa" w:w="9360"/>
            <w:tcMar>
              <w:top w:w="100" w:type="dxa"/>
              <w:start w:w="120" w:type="dxa"/>
              <w:bottom w:w="100" w:type="dxa"/>
              <w:end w:w="120" w:type="dxa"/>
            </w:tcMar>
            <w:vAlign w:val="top"/>
            <w:shd w:fill="E8F7F5"/>
          </w:tcPr>
          <w:p>
            <w:pPr>
              <w:keepNext w:val="0"/>
              <w:spacing w:before="0" w:after="40" w:line="269" w:lineRule="auto"/>
            </w:pPr>
            <w:r>
              <w:rPr>
                <w:rFonts w:ascii="Aptos" w:hAnsi="Aptos"/>
                <w:b/>
                <w:i w:val="0"/>
                <w:color w:val="0B2545"/>
                <w:sz w:val="19"/>
              </w:rPr>
              <w:t xml:space="preserve">CURRENT TRANSITION STATEMENT FOR V1.0  </w:t>
            </w:r>
            <w:r>
              <w:rPr>
                <w:rFonts w:ascii="Aptos" w:hAnsi="Aptos"/>
                <w:b w:val="0"/>
                <w:i w:val="0"/>
                <w:color w:val="0B2545"/>
                <w:sz w:val="20"/>
              </w:rPr>
              <w:t>As of August 2, 2026, California’s state-specific LMFT Law and Ethics Examination remains a separate required examination. BBS materials describe a proposed transition from the California LMFT Clinical Examination to the AMFTRB National Examination, with a projected July 1, 2027 implementation date subject to updated regulatory action. Learner-facing materials must not present that projected transition as already effective.</w:t>
            </w:r>
          </w:p>
        </w:tc>
      </w:tr>
    </w:tbl>
    <w:p>
      <w:pPr>
        <w:spacing w:after="0"/>
        <w:widowControl w:val="1"/>
      </w:pPr>
    </w:p>
    <w:p>
      <w:pPr>
        <w:widowControl w:val="1"/>
      </w:pPr>
      <w:r>
        <w:br w:type="page"/>
      </w:r>
    </w:p>
    <w:p>
      <w:pPr>
        <w:pStyle w:val="Heading1"/>
        <w:widowControl w:val="1"/>
      </w:pPr>
      <w:r>
        <w:t>12. Notices and Intellectual-Property Controls</w:t>
      </w:r>
    </w:p>
    <w:p>
      <w:pPr>
        <w:keepNext w:val="0"/>
        <w:spacing w:before="0" w:after="100" w:line="276" w:lineRule="auto"/>
        <w:widowControl w:val="1"/>
      </w:pPr>
      <w:r>
        <w:rPr>
          <w:rFonts w:ascii="Aptos" w:hAnsi="Aptos"/>
          <w:b/>
          <w:i w:val="0"/>
          <w:color w:val="087F78"/>
          <w:sz w:val="21"/>
        </w:rPr>
        <w:t xml:space="preserve">Independent program: </w:t>
      </w:r>
      <w:r>
        <w:rPr>
          <w:rFonts w:ascii="Aptos" w:hAnsi="Aptos"/>
          <w:b w:val="0"/>
          <w:i w:val="0"/>
          <w:sz w:val="21"/>
        </w:rPr>
        <w:t>Clinical Training and Supervision Academy is an independent educational resource and is not affiliated with or endorsed by the California Board of Behavioral Sciences, Pearson VUE, the Association of Marital and Family Therapy Regulatory Boards, or any examination administrator.</w:t>
      </w:r>
    </w:p>
    <w:p>
      <w:pPr>
        <w:keepNext w:val="0"/>
        <w:spacing w:before="0" w:after="100" w:line="276" w:lineRule="auto"/>
        <w:widowControl w:val="1"/>
      </w:pPr>
      <w:r>
        <w:rPr>
          <w:rFonts w:ascii="Aptos" w:hAnsi="Aptos"/>
          <w:b/>
          <w:i w:val="0"/>
          <w:color w:val="087F78"/>
          <w:sz w:val="21"/>
        </w:rPr>
        <w:t xml:space="preserve">No guarantee: </w:t>
      </w:r>
      <w:r>
        <w:rPr>
          <w:rFonts w:ascii="Aptos" w:hAnsi="Aptos"/>
          <w:b w:val="0"/>
          <w:i w:val="0"/>
          <w:sz w:val="21"/>
        </w:rPr>
        <w:t>Participation supports examination readiness but does not guarantee passage, licensure eligibility, licensure, employment, or any professional outcome.</w:t>
      </w:r>
    </w:p>
    <w:p>
      <w:pPr>
        <w:keepNext w:val="0"/>
        <w:spacing w:before="0" w:after="100" w:line="276" w:lineRule="auto"/>
        <w:widowControl w:val="1"/>
      </w:pPr>
      <w:r>
        <w:rPr>
          <w:rFonts w:ascii="Aptos" w:hAnsi="Aptos"/>
          <w:b/>
          <w:i w:val="0"/>
          <w:color w:val="087F78"/>
          <w:sz w:val="21"/>
        </w:rPr>
        <w:t xml:space="preserve">Current official sources: </w:t>
      </w:r>
      <w:r>
        <w:rPr>
          <w:rFonts w:ascii="Aptos" w:hAnsi="Aptos"/>
          <w:b w:val="0"/>
          <w:i w:val="0"/>
          <w:sz w:val="21"/>
        </w:rPr>
        <w:t>Laws, regulations, fees, forms, examination procedures, and transition plans may change. Learners must verify current requirements through official sources.</w:t>
      </w:r>
    </w:p>
    <w:p>
      <w:pPr>
        <w:keepNext w:val="0"/>
        <w:spacing w:before="0" w:after="100" w:line="276" w:lineRule="auto"/>
        <w:widowControl w:val="1"/>
      </w:pPr>
      <w:r>
        <w:rPr>
          <w:rFonts w:ascii="Aptos" w:hAnsi="Aptos"/>
          <w:b/>
          <w:i w:val="0"/>
          <w:color w:val="087F78"/>
          <w:sz w:val="21"/>
        </w:rPr>
        <w:t xml:space="preserve">Educational use: </w:t>
      </w:r>
      <w:r>
        <w:rPr>
          <w:rFonts w:ascii="Aptos" w:hAnsi="Aptos"/>
          <w:b w:val="0"/>
          <w:i w:val="0"/>
          <w:sz w:val="21"/>
        </w:rPr>
        <w:t>The module provides educational information and is not legal advice. A candidate should consult the Board, qualified counsel, or another appropriate authority for an individual legal or licensing question.</w:t>
      </w:r>
    </w:p>
    <w:p>
      <w:pPr>
        <w:keepNext w:val="0"/>
        <w:spacing w:before="0" w:after="100" w:line="276" w:lineRule="auto"/>
        <w:widowControl w:val="1"/>
      </w:pPr>
      <w:r>
        <w:rPr>
          <w:rFonts w:ascii="Aptos" w:hAnsi="Aptos"/>
          <w:b/>
          <w:i w:val="0"/>
          <w:color w:val="087F78"/>
          <w:sz w:val="21"/>
        </w:rPr>
        <w:t xml:space="preserve">No CE credit: </w:t>
      </w:r>
      <w:r>
        <w:rPr>
          <w:rFonts w:ascii="Aptos" w:hAnsi="Aptos"/>
          <w:b w:val="0"/>
          <w:i w:val="0"/>
          <w:sz w:val="21"/>
        </w:rPr>
        <w:t>This module is part of an Exam Preparation Program. It awards no continuing-education credit and no CE certificate.</w:t>
      </w:r>
    </w:p>
    <w:p>
      <w:pPr>
        <w:keepNext w:val="0"/>
        <w:spacing w:before="0" w:after="100" w:line="276" w:lineRule="auto"/>
        <w:widowControl w:val="1"/>
      </w:pPr>
      <w:r>
        <w:rPr>
          <w:rFonts w:ascii="Aptos" w:hAnsi="Aptos"/>
          <w:b/>
          <w:i w:val="0"/>
          <w:color w:val="087F78"/>
          <w:sz w:val="21"/>
        </w:rPr>
        <w:t xml:space="preserve">Original content: </w:t>
      </w:r>
      <w:r>
        <w:rPr>
          <w:rFonts w:ascii="Aptos" w:hAnsi="Aptos"/>
          <w:b w:val="0"/>
          <w:i w:val="0"/>
          <w:sz w:val="21"/>
        </w:rPr>
        <w:t>CTA questions, rationales, frameworks, graphics, and learning tools are original protected educational content. No live, recalled, copied, or unauthorized examination questions may be used.</w:t>
      </w:r>
    </w:p>
    <w:p>
      <w:pPr>
        <w:widowControl w:val="1"/>
      </w:pPr>
      <w:r>
        <w:br w:type="page"/>
      </w:r>
    </w:p>
    <w:p>
      <w:pPr>
        <w:pStyle w:val="Heading1"/>
        <w:widowControl w:val="1"/>
      </w:pPr>
      <w:r>
        <w:t>13. Approval Record</w:t>
      </w:r>
    </w:p>
    <w:tbl>
      <w:tblPr>
        <w:tblW w:type="dxa" w:w="9360"/>
        <w:jc w:val="left"/>
        <w:tblLayout w:type="fixed"/>
        <w:tblLook w:firstColumn="1" w:firstRow="1" w:lastColumn="0" w:lastRow="0" w:noHBand="0" w:noVBand="1" w:val="04A0"/>
        <w:tblInd w:w="0" w:type="dxa"/>
        <w:tblBorders>
          <w:top w:val="single" w:sz="5" w:space="0" w:color="B7C4D4"/>
          <w:left w:val="single" w:sz="5" w:space="0" w:color="B7C4D4"/>
          <w:bottom w:val="single" w:sz="5" w:space="0" w:color="B7C4D4"/>
          <w:right w:val="single" w:sz="5" w:space="0" w:color="B7C4D4"/>
          <w:insideH w:val="single" w:sz="5" w:space="0" w:color="B7C4D4"/>
          <w:insideV w:val="single" w:sz="5" w:space="0" w:color="B7C4D4"/>
        </w:tblBorders>
      </w:tblPr>
      <w:tblGrid>
        <w:gridCol w:w="2700"/>
        <w:gridCol w:w="6660"/>
      </w:tblGrid>
      <w:tr>
        <w:trPr>
          <w:cantSplit/>
          <w:tblHeader w:val="true"/>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Decision</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 Approved as written   ☐ Approved with corrections   ☐ Return for revision</w:t>
            </w:r>
          </w:p>
        </w:tc>
      </w:tr>
      <w:tr>
        <w:trPr>
          <w:trHeight w:val="648"/>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Approved by</w:t>
            </w:r>
          </w:p>
        </w:tc>
        <w:tc>
          <w:tcPr>
            <w:tcW w:type="dxa" w:w="6660"/>
            <w:tcMar>
              <w:top w:w="100" w:type="dxa"/>
              <w:start w:w="120" w:type="dxa"/>
              <w:bottom w:w="100" w:type="dxa"/>
              <w:end w:w="120" w:type="dxa"/>
            </w:tcMar>
            <w:vAlign w:val="top"/>
          </w:tcPr>
          <w:p>
            <w:r>
              <w:t>Candice Fuimaono / CTA</w:t>
            </w:r>
          </w:p>
        </w:tc>
      </w:tr>
      <w:tr>
        <w:trPr>
          <w:trHeight w:val="648"/>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Approval date</w:t>
            </w:r>
          </w:p>
        </w:tc>
        <w:tc>
          <w:tcPr>
            <w:tcW w:type="dxa" w:w="6660"/>
            <w:tcMar>
              <w:top w:w="100" w:type="dxa"/>
              <w:start w:w="120" w:type="dxa"/>
              <w:bottom w:w="100" w:type="dxa"/>
              <w:end w:w="120" w:type="dxa"/>
            </w:tcMar>
            <w:vAlign w:val="top"/>
          </w:tcPr>
          <w:p>
            <w:r>
              <w:t>August 3, 2026</w:t>
            </w:r>
          </w:p>
        </w:tc>
      </w:tr>
      <w:tr>
        <w:trPr>
          <w:trHeight w:val="648"/>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Approved version</w:t>
            </w:r>
          </w:p>
        </w:tc>
        <w:tc>
          <w:tcPr>
            <w:tcW w:type="dxa" w:w="6660"/>
            <w:tcMar>
              <w:top w:w="100" w:type="dxa"/>
              <w:start w:w="120" w:type="dxa"/>
              <w:bottom w:w="100" w:type="dxa"/>
              <w:end w:w="120" w:type="dxa"/>
            </w:tcMar>
            <w:vAlign w:val="top"/>
          </w:tcPr>
          <w:p>
            <w:r>
              <w:t>v1.1</w:t>
            </w:r>
          </w:p>
        </w:tc>
      </w:tr>
      <w:tr>
        <w:trPr>
          <w:trHeight w:val="1152"/>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Required corrections</w:t>
            </w:r>
          </w:p>
        </w:tc>
        <w:tc>
          <w:tcPr>
            <w:tcW w:type="dxa" w:w="6660"/>
            <w:tcMar>
              <w:top w:w="100" w:type="dxa"/>
              <w:start w:w="120" w:type="dxa"/>
              <w:bottom w:w="100" w:type="dxa"/>
              <w:end w:w="120" w:type="dxa"/>
            </w:tcMar>
            <w:vAlign w:val="top"/>
          </w:tcPr>
          <w:p>
            <w:r>
              <w:t>None</w:t>
            </w:r>
          </w:p>
        </w:tc>
      </w:tr>
      <w:tr>
        <w:trPr>
          <w:cantSplit/>
        </w:trPr>
        <w:tc>
          <w:tcPr>
            <w:tcW w:type="dxa" w:w="2700"/>
            <w:tcMar>
              <w:top w:w="100" w:type="dxa"/>
              <w:start w:w="120" w:type="dxa"/>
              <w:bottom w:w="100" w:type="dxa"/>
              <w:end w:w="120" w:type="dxa"/>
            </w:tcMar>
            <w:vAlign w:val="top"/>
            <w:shd w:fill="E8EEF5"/>
          </w:tcPr>
          <w:p>
            <w:pPr>
              <w:keepNext w:val="0"/>
              <w:spacing w:before="0" w:after="60" w:line="259" w:lineRule="auto"/>
            </w:pPr>
            <w:r>
              <w:rPr>
                <w:rFonts w:ascii="Aptos" w:hAnsi="Aptos"/>
                <w:b/>
                <w:i w:val="0"/>
                <w:color w:val="0B2545"/>
                <w:sz w:val="18"/>
              </w:rPr>
              <w:t>Next controlled build</w:t>
            </w:r>
          </w:p>
        </w:tc>
        <w:tc>
          <w:tcPr>
            <w:tcW w:type="dxa" w:w="6660"/>
            <w:tcMar>
              <w:top w:w="100" w:type="dxa"/>
              <w:start w:w="120" w:type="dxa"/>
              <w:bottom w:w="100" w:type="dxa"/>
              <w:end w:w="120" w:type="dxa"/>
            </w:tcMar>
            <w:vAlign w:val="top"/>
          </w:tcPr>
          <w:p>
            <w:pPr>
              <w:keepNext w:val="0"/>
              <w:spacing w:before="0" w:after="60" w:line="259" w:lineRule="auto"/>
            </w:pPr>
            <w:r>
              <w:rPr>
                <w:rFonts w:ascii="Aptos" w:hAnsi="Aptos"/>
                <w:b w:val="0"/>
                <w:i w:val="0"/>
                <w:color w:val="0B2545"/>
                <w:sz w:val="18"/>
              </w:rPr>
              <w:t>Final internal LMFT Practice Act module and synchronized 25-question candidate and controlled assessment package</w:t>
            </w:r>
          </w:p>
        </w:tc>
      </w:tr>
    </w:tbl>
    <w:p>
      <w:pPr>
        <w:keepNext w:val="0"/>
        <w:spacing w:before="320" w:after="0" w:line="276" w:lineRule="auto"/>
        <w:jc w:val="center"/>
        <w:widowControl w:val="1"/>
      </w:pPr>
      <w:r>
        <w:rPr>
          <w:rFonts w:ascii="Aptos" w:hAnsi="Aptos"/>
          <w:b/>
          <w:i w:val="0"/>
          <w:color w:val="0B2545"/>
          <w:sz w:val="20"/>
        </w:rPr>
        <w:t>Clinical Training and Supervision Academy</w:t>
      </w:r>
    </w:p>
    <w:p>
      <w:pPr>
        <w:keepNext w:val="0"/>
        <w:spacing w:before="0" w:after="0" w:line="276" w:lineRule="auto"/>
        <w:jc w:val="center"/>
        <w:widowControl w:val="1"/>
      </w:pPr>
      <w:r>
        <w:rPr>
          <w:rFonts w:ascii="Aptos" w:hAnsi="Aptos"/>
          <w:b w:val="0"/>
          <w:i w:val="0"/>
          <w:color w:val="087F78"/>
          <w:sz w:val="19"/>
        </w:rPr>
        <w:t>Teaching Clinicians How to Think.™</w:t>
      </w:r>
    </w:p>
    <w:sectPr w:rsidR="00FC693F" w:rsidRPr="0006063C" w:rsidSect="00034616">
      <w:headerReference w:type="default" r:id="rId9"/>
      <w:footerReference w:type="default" r:id="rId10"/>
      <w:headerReference w:type="first" r:id="rId18"/>
      <w:headerReference w:type="even" r:id="rId19"/>
      <w:footerReference w:type="first" r:id="rId20"/>
      <w:footerReference w:type="even" r:id="rId21"/>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gridCol w:w="2160"/>
    </w:tblGrid>
    <w:tr>
      <w:trPr>
        <w:tblHeader w:val="true"/>
      </w:trPr>
      <w:tc>
        <w:tcPr>
          <w:tcW w:type="dxa" w:w="7200"/>
          <w:tcMar>
            <w:top w:w="100" w:type="dxa"/>
            <w:start w:w="120" w:type="dxa"/>
            <w:bottom w:w="100" w:type="dxa"/>
            <w:end w:w="120" w:type="dxa"/>
          </w:tcMar>
          <w:vAlign w:val="top"/>
        </w:tcPr>
        <w:p>
          <w:pPr>
            <w:keepNext w:val="0"/>
            <w:spacing w:before="0" w:after="0" w:line="276" w:lineRule="auto"/>
          </w:pPr>
          <w:r>
            <w:rPr>
              <w:rFonts w:ascii="Aptos" w:hAnsi="Aptos"/>
              <w:b w:val="0"/>
              <w:i w:val="0"/>
              <w:color w:val="404B5A"/>
              <w:sz w:val="16"/>
            </w:rPr>
            <w:t>Master Content Map v1.1  |  Source review: August 2, 2026</w:t>
          </w:r>
        </w:p>
      </w:tc>
      <w:tc>
        <w:tcPr>
          <w:tcW w:type="dxa" w:w="2160"/>
          <w:tcMar>
            <w:top w:w="100" w:type="dxa"/>
            <w:start w:w="120" w:type="dxa"/>
            <w:bottom w:w="100" w:type="dxa"/>
            <w:end w:w="120" w:type="dxa"/>
          </w:tcMar>
          <w:vAlign w:val="top"/>
        </w:tcPr>
        <w:p>
          <w:pPr>
            <w:jc w:val="right"/>
          </w:pPr>
          <w:r>
            <w:rPr>
              <w:rFonts w:ascii="Aptos" w:hAnsi="Aptos"/>
              <w:b w:val="0"/>
              <w:i w:val="0"/>
              <w:color w:val="404B5A"/>
              <w:sz w:val="18"/>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B2545"/>
        <w:sz w:val="17"/>
      </w:rPr>
      <w:t>CTA-EP-001  |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540"/>
        </w:tabs>
        <w:ind w:left="540" w:hanging="270"/>
      </w:pPr>
      <w:rPr>
        <w:color w:val="0B2545"/>
      </w:rPr>
    </w:lvl>
  </w:abstractNum>
  <w:num w:numId="90">
    <w:abstractNumId w:val="90"/>
  </w:num>
  <w:abstractNum w:abstractNumId="91">
    <w:multiLevelType w:val="singleLevel"/>
    <w:lvl w:ilvl="0">
      <w:start w:val="1"/>
      <w:numFmt w:val="bullet"/>
      <w:lvlText w:val="–"/>
      <w:lvlJc w:val="left"/>
      <w:pPr>
        <w:tabs>
          <w:tab w:val="num" w:pos="900"/>
        </w:tabs>
        <w:ind w:left="900" w:hanging="270"/>
      </w:pPr>
      <w:rPr>
        <w:color w:val="0B2545"/>
      </w:rPr>
    </w:lvl>
  </w:abstractNum>
  <w:num w:numId="91">
    <w:abstractNumId w:val="91"/>
  </w:num>
  <w:abstractNum w:abstractNumId="92">
    <w:multiLevelType w:val="singleLevel"/>
    <w:lvl w:ilvl="0">
      <w:start w:val="1"/>
      <w:numFmt w:val="decimal"/>
      <w:lvlText w:val="%1."/>
      <w:lvlJc w:val="left"/>
      <w:pPr>
        <w:tabs>
          <w:tab w:val="num" w:pos="540"/>
        </w:tabs>
        <w:ind w:left="540" w:hanging="270"/>
      </w:pPr>
      <w:rPr>
        <w:color w:val="0B2545"/>
      </w:r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F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87F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color w:val="0B2545"/>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color w:val="0B2545"/>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color w:val="0B25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Bullet">
    <w:name w:val="CTA Bullet"/>
    <w:basedOn w:val="Normal"/>
    <w:pPr>
      <w:spacing w:after="80" w:line="276" w:lineRule="auto"/>
      <w:numPr>
        <w:ilvl w:val="0"/>
        <w:numId w:val="90"/>
      </w:numPr>
    </w:pPr>
  </w:style>
  <w:style w:type="paragraph" w:customStyle="1" w:styleId="CTABullet2">
    <w:name w:val="CTA Bullet 2"/>
    <w:basedOn w:val="Normal"/>
    <w:pPr>
      <w:spacing w:after="80" w:line="276" w:lineRule="auto"/>
      <w:numPr>
        <w:ilvl w:val="0"/>
        <w:numId w:val="91"/>
      </w:numPr>
    </w:pPr>
  </w:style>
  <w:style w:type="paragraph" w:customStyle="1" w:styleId="CTANumber">
    <w:name w:val="CTA Number"/>
    <w:basedOn w:val="Normal"/>
    <w:pPr>
      <w:spacing w:after="80" w:line="276" w:lineRule="auto"/>
      <w:numPr>
        <w:ilvl w:val="0"/>
        <w:numId w:val="92"/>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bbs.ca.gov/pdf/publications/lawsregs.pdf" TargetMode="External"/><Relationship Id="rId13" Type="http://schemas.openxmlformats.org/officeDocument/2006/relationships/hyperlink" Target="https://www.bbs.ca.gov/exams/calaw_ethics.html" TargetMode="External"/><Relationship Id="rId14" Type="http://schemas.openxmlformats.org/officeDocument/2006/relationships/hyperlink" Target="https://www.bbs.ca.gov/applicants/lmft.html" TargetMode="External"/><Relationship Id="rId15" Type="http://schemas.openxmlformats.org/officeDocument/2006/relationships/hyperlink" Target="https://www.bbs.ca.gov/pdf/publications/law_ethics_faq.pdf" TargetMode="External"/><Relationship Id="rId16" Type="http://schemas.openxmlformats.org/officeDocument/2006/relationships/hyperlink" Target="https://www.bbs.ca.gov/exams/lmft.html" TargetMode="External"/><Relationship Id="rId17" Type="http://schemas.openxmlformats.org/officeDocument/2006/relationships/hyperlink" Target="https://www.bbs.ca.gov/pdf/agen_notice/2026/20260507_item25.pdf" TargetMode="Externa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Practice Act, AMFT Professional Identity &amp; California Examination Distinctions — Master Content Map and Learning Objectives</dc:title>
  <dc:subject>CTA-EP-001 license-specific module development control</dc:subject>
  <dc:creator>Clinical Training and Supervision Academy</dc:creator>
  <cp:keywords>LMFT, AMFT, California Law and Ethics, exam preparation, master content map</cp:keywords>
  <dc:description>Final internal source-of-truth map approved August 3, 2026. Public release remains subject to private staging and separate final approval.</dc:description>
  <cp:lastModifiedBy/>
  <cp:revision>1</cp:revision>
  <dcterms:created xsi:type="dcterms:W3CDTF">2013-12-23T23:15:00Z</dcterms:created>
  <dcterms:modified xsi:type="dcterms:W3CDTF">2013-12-23T23:15:00Z</dcterms:modified>
  <cp:category/>
</cp:coreProperties>
</file>