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line="240" w:lineRule="auto"/>
        <w:jc w:val="center"/>
      </w:pPr>
      <w:r>
        <w:drawing>
          <wp:inline xmlns:a="http://schemas.openxmlformats.org/drawingml/2006/main" xmlns:pic="http://schemas.openxmlformats.org/drawingml/2006/picture">
            <wp:extent cx="4434840" cy="3050419"/>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434840" cy="3050419"/>
                    </a:xfrm>
                    <a:prstGeom prst="rect"/>
                  </pic:spPr>
                </pic:pic>
              </a:graphicData>
            </a:graphic>
          </wp:inline>
        </w:drawing>
      </w:r>
    </w:p>
    <w:p>
      <w:pPr>
        <w:spacing w:before="0" w:after="160" w:line="240" w:lineRule="auto"/>
        <w:jc w:val="center"/>
      </w:pPr>
      <w:r>
        <w:rPr>
          <w:rFonts w:ascii="Arial" w:hAnsi="Arial" w:eastAsia="Arial"/>
          <w:b/>
          <w:i w:val="0"/>
          <w:color w:val="159A9C"/>
          <w:sz w:val="32"/>
        </w:rPr>
        <w:t>LMFT CALIFORNIA LAW &amp; ETHICS EXAM</w:t>
      </w:r>
    </w:p>
    <w:p>
      <w:pPr>
        <w:spacing w:before="0" w:after="200" w:line="240" w:lineRule="auto"/>
        <w:jc w:val="center"/>
      </w:pPr>
      <w:r>
        <w:rPr>
          <w:rFonts w:ascii="Arial" w:hAnsi="Arial" w:eastAsia="Arial"/>
          <w:b/>
          <w:i w:val="0"/>
          <w:color w:val="17325C"/>
          <w:sz w:val="50"/>
        </w:rPr>
        <w:t>45-CHAPTER EXAM TRAPS</w:t>
        <w:br/>
        <w:t>&amp; CORRECTION RULES TOOLKIT</w:t>
      </w:r>
    </w:p>
    <w:p>
      <w:pPr>
        <w:spacing w:before="0" w:after="360" w:line="240" w:lineRule="auto"/>
        <w:jc w:val="center"/>
      </w:pPr>
      <w:r>
        <w:rPr>
          <w:rFonts w:ascii="Arial" w:hAnsi="Arial" w:eastAsia="Arial"/>
          <w:b w:val="0"/>
          <w:i w:val="0"/>
          <w:color w:val="657487"/>
          <w:sz w:val="24"/>
        </w:rPr>
        <w:t>One high-yield trap, distinction, or first-step rule from every core chapter</w:t>
      </w:r>
    </w:p>
    <w:p>
      <w:pPr>
        <w:spacing w:before="0" w:after="120" w:line="240" w:lineRule="auto"/>
        <w:jc w:val="center"/>
      </w:pPr>
      <w:r>
        <w:rPr>
          <w:rFonts w:ascii="Arial" w:hAnsi="Arial" w:eastAsia="Arial"/>
          <w:b/>
          <w:i w:val="0"/>
          <w:color w:val="17325C"/>
          <w:sz w:val="20"/>
        </w:rPr>
        <w:t>Printable Learner Resource  |  Version 1.1  |  August 2026</w:t>
      </w:r>
    </w:p>
    <w:p>
      <w:pPr>
        <w:spacing w:before="0" w:after="440" w:line="240" w:lineRule="auto"/>
        <w:jc w:val="center"/>
      </w:pPr>
      <w:r>
        <w:rPr>
          <w:rFonts w:ascii="Arial" w:hAnsi="Arial" w:eastAsia="Arial"/>
          <w:b w:val="0"/>
          <w:i w:val="0"/>
          <w:color w:val="657487"/>
          <w:sz w:val="19"/>
        </w:rPr>
        <w:t>CTA California Law &amp; Ethics Exam Preparation Program  |  CTA-EP-001</w:t>
      </w:r>
    </w:p>
    <w:p>
      <w:pPr>
        <w:spacing w:before="0" w:after="280" w:line="240" w:lineRule="auto"/>
        <w:jc w:val="center"/>
      </w:pPr>
      <w:r>
        <w:rPr>
          <w:rFonts w:ascii="Arial" w:hAnsi="Arial" w:eastAsia="Arial"/>
          <w:b/>
          <w:i w:val="0"/>
          <w:color w:val="A23B3B"/>
          <w:sz w:val="20"/>
        </w:rPr>
        <w:t>EXAM PREPARATION ONLY — NO CE CREDIT OR CE CERTIFICATE</w:t>
      </w:r>
    </w:p>
    <w:p>
      <w:pPr>
        <w:spacing w:before="0" w:after="80" w:line="240" w:lineRule="auto"/>
        <w:jc w:val="center"/>
      </w:pPr>
      <w:r>
        <w:rPr>
          <w:rFonts w:ascii="Arial" w:hAnsi="Arial" w:eastAsia="Arial"/>
          <w:b/>
          <w:i w:val="0"/>
          <w:color w:val="159A9C"/>
          <w:sz w:val="24"/>
        </w:rPr>
        <w:t>Teaching Clinicians How to Think.</w:t>
      </w:r>
    </w:p>
    <w:p>
      <w:pPr>
        <w:spacing w:before="0" w:after="0" w:line="240" w:lineRule="auto"/>
        <w:jc w:val="center"/>
      </w:pPr>
      <w:r>
        <w:rPr>
          <w:rFonts w:ascii="Arial" w:hAnsi="Arial" w:eastAsia="Arial"/>
          <w:b w:val="0"/>
          <w:i w:val="0"/>
          <w:color w:val="657487"/>
          <w:sz w:val="20"/>
        </w:rPr>
        <w:t>Educating Clinicians. Strengthening Practice.</w:t>
      </w:r>
    </w:p>
    <w:p>
      <w:r>
        <w:br/>
      </w:r>
    </w:p>
    <w:p>
      <w:r>
        <w:br w:type="page"/>
      </w:r>
    </w:p>
    <w:p>
      <w:pPr>
        <w:spacing w:before="0" w:after="60" w:line="240" w:lineRule="auto"/>
        <w:pBdr>
          <w:bottom w:val="single" w:sz="12" w:space="3" w:color="159A9C"/>
        </w:pBdr>
      </w:pPr>
      <w:r>
        <w:rPr>
          <w:rFonts w:ascii="Arial" w:hAnsi="Arial" w:eastAsia="Arial"/>
          <w:b/>
          <w:i w:val="0"/>
          <w:color w:val="17325C"/>
          <w:sz w:val="36"/>
        </w:rPr>
        <w:t>How to Use This Toolkit</w:t>
      </w:r>
    </w:p>
    <w:p>
      <w:pPr>
        <w:spacing w:before="0" w:after="140" w:line="240" w:lineRule="auto"/>
      </w:pPr>
      <w:r>
        <w:rPr>
          <w:rFonts w:ascii="Arial" w:hAnsi="Arial" w:eastAsia="Arial"/>
          <w:b w:val="0"/>
          <w:i/>
          <w:color w:val="657487"/>
          <w:sz w:val="20"/>
        </w:rPr>
        <w:t>A rapid-review companion to the nine workbooks, flashcard library, and practice examinations</w:t>
      </w:r>
    </w:p>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CORE METHOD</w:t>
            </w:r>
          </w:p>
          <w:p>
            <w:pPr>
              <w:spacing w:before="0" w:after="0" w:line="254" w:lineRule="auto"/>
            </w:pPr>
            <w:r>
              <w:rPr>
                <w:rFonts w:ascii="Arial" w:hAnsi="Arial" w:eastAsia="Arial"/>
                <w:b w:val="0"/>
                <w:i w:val="0"/>
                <w:color w:val="243447"/>
                <w:sz w:val="20"/>
              </w:rPr>
              <w:t>For each chapter, read the trap or distinction first. Cover the Correction Rule column and retrieve the answer aloud. Then compare your reasoning with the Why It Matters column and mark the item Green, Yellow, or Red.</w:t>
            </w:r>
          </w:p>
        </w:tc>
        <w:trPr>
          <w:tblHeader/>
        </w:trPr>
      </w:tr>
    </w:tbl>
    <w:p>
      <w:pPr>
        <w:spacing w:after="20"/>
      </w:pPr>
    </w:p>
    <w:p>
      <w:pPr>
        <w:pStyle w:val="ListBullet"/>
        <w:spacing w:before="0" w:after="40" w:line="250" w:lineRule="auto"/>
      </w:pPr>
      <w:r>
        <w:rPr>
          <w:rFonts w:ascii="Arial" w:hAnsi="Arial" w:eastAsia="Arial"/>
          <w:b w:val="0"/>
          <w:i w:val="0"/>
          <w:color w:val="243447"/>
          <w:sz w:val="20"/>
        </w:rPr>
        <w:t>Green: I can explain the rule and apply it to a new scenario without looking.</w:t>
      </w:r>
    </w:p>
    <w:p>
      <w:pPr>
        <w:pStyle w:val="ListBullet"/>
        <w:spacing w:before="0" w:after="40" w:line="250" w:lineRule="auto"/>
      </w:pPr>
      <w:r>
        <w:rPr>
          <w:rFonts w:ascii="Arial" w:hAnsi="Arial" w:eastAsia="Arial"/>
          <w:b w:val="0"/>
          <w:i w:val="0"/>
          <w:color w:val="243447"/>
          <w:sz w:val="20"/>
        </w:rPr>
        <w:t>Yellow: I recognize the rule but still confuse timing, authority, role, or exceptions.</w:t>
      </w:r>
    </w:p>
    <w:p>
      <w:pPr>
        <w:pStyle w:val="ListBullet"/>
        <w:spacing w:before="0" w:after="40" w:line="250" w:lineRule="auto"/>
      </w:pPr>
      <w:r>
        <w:rPr>
          <w:rFonts w:ascii="Arial" w:hAnsi="Arial" w:eastAsia="Arial"/>
          <w:b w:val="0"/>
          <w:i w:val="0"/>
          <w:color w:val="243447"/>
          <w:sz w:val="20"/>
        </w:rPr>
        <w:t>Red: I guessed, relied on an absolute rule, or cannot explain why the weaker response is weaker.</w:t>
      </w:r>
    </w:p>
    <w:p>
      <w:pPr>
        <w:pStyle w:val="ListBullet"/>
        <w:spacing w:before="0" w:after="40" w:line="250" w:lineRule="auto"/>
      </w:pPr>
      <w:r>
        <w:rPr>
          <w:rFonts w:ascii="Arial" w:hAnsi="Arial" w:eastAsia="Arial"/>
          <w:b w:val="0"/>
          <w:i w:val="0"/>
          <w:color w:val="243447"/>
          <w:sz w:val="20"/>
        </w:rPr>
        <w:t>Return to the listed workbook and chapter for any Yellow or Red item; do not memorize the wording of the card.</w:t>
      </w:r>
    </w:p>
    <w:p>
      <w:pPr>
        <w:pStyle w:val="ListBullet"/>
        <w:spacing w:before="0" w:after="40" w:line="250" w:lineRule="auto"/>
      </w:pPr>
      <w:r>
        <w:rPr>
          <w:rFonts w:ascii="Arial" w:hAnsi="Arial" w:eastAsia="Arial"/>
          <w:b w:val="0"/>
          <w:i w:val="0"/>
          <w:color w:val="243447"/>
          <w:sz w:val="20"/>
        </w:rPr>
        <w:t>Use the final pages to track recurring distractor patterns and build a targeted last-week review list.</w:t>
      </w:r>
    </w:p>
    <w:p>
      <w:pPr>
        <w:spacing w:before="120" w:after="60" w:line="240" w:lineRule="auto"/>
      </w:pPr>
      <w:r>
        <w:rPr>
          <w:rFonts w:ascii="Arial" w:hAnsi="Arial" w:eastAsia="Arial"/>
          <w:b/>
          <w:i w:val="0"/>
          <w:color w:val="159A9C"/>
          <w:sz w:val="26"/>
        </w:rPr>
        <w:t>Source and Security Basis</w:t>
      </w:r>
    </w:p>
    <w:tbl>
      <w:tblPr>
        <w:tblW w:type="dxa" w:w="10080"/>
        <w:jc w:val="center"/>
        <w:tblLayout w:type="fixed"/>
        <w:tblLook w:firstColumn="1" w:firstRow="1" w:lastColumn="0" w:lastRow="0" w:noHBand="0" w:noVBand="1" w:val="04A0"/>
        <w:tblInd w:type="dxa" w:w="0"/>
      </w:tblPr>
      <w:tblGrid>
        <w:gridCol w:w="3287"/>
        <w:gridCol w:w="6793"/>
      </w:tblGrid>
      <w:tr>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Resource</w:t>
            </w:r>
          </w:p>
        </w:tc>
        <w:tc>
          <w:tcPr>
            <w:tcW w:type="dxa" w:w="6793"/>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How It Is Used</w:t>
            </w:r>
          </w:p>
        </w:tc>
        <w:trPr>
          <w:tblHeader/>
        </w:trPr>
      </w:tr>
      <w:tr>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Master Flashcard Library v1.0</w:t>
            </w:r>
          </w:p>
        </w:tc>
        <w:tc>
          <w:tcPr>
            <w:tcW w:type="dxa" w:w="679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Provides the 45 chapter-level concepts, correction rules, memory cues, and source metadata.</w:t>
            </w:r>
          </w:p>
        </w:tc>
      </w:tr>
      <w:tr>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Law &amp; Ethics Curriculum Standards v3.1</w:t>
            </w:r>
          </w:p>
        </w:tc>
        <w:tc>
          <w:tcPr>
            <w:tcW w:type="dxa" w:w="679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Requires rapid-review resources focused on common exam traps, high-yield distinctions, trigger phrases, first-step reasoning, and memory aids.</w:t>
            </w:r>
          </w:p>
        </w:tc>
      </w:tr>
      <w:tr>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Official LMFT Law &amp; Ethics Examination Outline</w:t>
            </w:r>
          </w:p>
        </w:tc>
        <w:tc>
          <w:tcPr>
            <w:tcW w:type="dxa" w:w="679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Provides the profession-specific Law (44%) and Ethics (56%) framework used to organize the learner’s review.</w:t>
            </w:r>
          </w:p>
        </w:tc>
      </w:tr>
      <w:tr>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Protected assessments</w:t>
            </w:r>
          </w:p>
        </w:tc>
        <w:tc>
          <w:tcPr>
            <w:tcW w:type="dxa" w:w="679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Not reproduced. This toolkit contains no learner examination answers, item IDs, distractors, or controlled form content.</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PERSONAL USE NOTICE</w:t>
            </w:r>
          </w:p>
          <w:p>
            <w:pPr>
              <w:spacing w:before="0" w:after="0" w:line="254" w:lineRule="auto"/>
            </w:pPr>
            <w:r>
              <w:rPr>
                <w:rFonts w:ascii="Arial" w:hAnsi="Arial" w:eastAsia="Arial"/>
                <w:b w:val="0"/>
                <w:i w:val="0"/>
                <w:color w:val="243447"/>
                <w:sz w:val="20"/>
              </w:rPr>
              <w:t>Printing and personal study are permitted for the enrolled purchaser. Redistribution, resale, public posting, or commercial reproduction is prohibited.</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Universal Distractor Patterns</w:t>
      </w:r>
    </w:p>
    <w:p>
      <w:pPr>
        <w:spacing w:before="0" w:after="140" w:line="240" w:lineRule="auto"/>
      </w:pPr>
      <w:r>
        <w:rPr>
          <w:rFonts w:ascii="Arial" w:hAnsi="Arial" w:eastAsia="Arial"/>
          <w:b w:val="0"/>
          <w:i/>
          <w:color w:val="657487"/>
          <w:sz w:val="20"/>
        </w:rPr>
        <w:t>Recognize the reasoning error before the answer choice persuades you</w:t>
      </w:r>
    </w:p>
    <w:tbl>
      <w:tblPr>
        <w:tblW w:type="dxa" w:w="10080"/>
        <w:jc w:val="center"/>
        <w:tblLayout w:type="fixed"/>
        <w:tblLook w:firstColumn="1" w:firstRow="1" w:lastColumn="0" w:lastRow="0" w:noHBand="0" w:noVBand="1" w:val="04A0"/>
        <w:tblInd w:type="dxa" w:w="0"/>
      </w:tblPr>
      <w:tblGrid>
        <w:gridCol w:w="2118"/>
        <w:gridCol w:w="3871"/>
        <w:gridCol w:w="4091"/>
      </w:tblGrid>
      <w:tr>
        <w:tc>
          <w:tcPr>
            <w:tcW w:type="dxa" w:w="2118"/>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Pattern</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What the Distractor Does</w:t>
            </w:r>
          </w:p>
        </w:tc>
        <w:tc>
          <w:tcPr>
            <w:tcW w:type="dxa" w:w="409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rPr>
          <w:tblHeader/>
        </w:trPr>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Automatic-action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acts before clarifying authority, role, consent, privilege, urgency, jurisdiction, or the treatment unit.</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Pause and identify the controlling authority and missing fact unless delay would create immediate danger.</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Paperwork-equals-process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 signature, release, policy, or checklist is treated as proof that understanding, competence, or ethical judgment occurred.</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Separate documentation of a process from the process itself.</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All-or-nothing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choice assumes every overlap, mistake, breach concern, cultural error, or impairment sign requires the most extreme response.</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Classify severity, pattern, immediacy, and manageability before escalating.</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Consultation-transfers-responsibility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treats a supervisor, colleague, attorney, or consultant as the final decision-maker.</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Consultation informs judgment; the clinician still applies the rule and documents the decision.</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Payer-equals-client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person who pays, requests, refers, or receives a report is assumed to be the client or privilege holder.</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Clarify client, evaluee, payer, authorization source, privilege holder, and report recipient separately.</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Safety-delay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continues gathering routine information despite a credible immediate danger.</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Protect first when danger is immediate; gather additional information when urgency permits.</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Outcome-equals-wrongdoing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 bad result is treated as automatic proof of negligence, misconduct, or unethical care.</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Evaluate the governing rule, assessment, process, monitoring, and response to new information.</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Exhaustive-documentation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longest or most detailed note is assumed to be the best note.</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Document sufficiently, accurately, and usefully; complete does not mean exhaustive.</w:t>
            </w:r>
          </w:p>
        </w:tc>
      </w:tr>
      <w:tr>
        <w:tc>
          <w:tcPr>
            <w:tcW w:type="dxa" w:w="211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HIPAA-is-everything trap</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treats HIPAA as the only source of confidentiality or assumes no HIPAA means no privacy duty.</w:t>
            </w:r>
          </w:p>
        </w:tc>
        <w:tc>
          <w:tcPr>
            <w:tcW w:type="dxa" w:w="409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Identify applicable federal law, California law, ethics, contracts, and the most protective controlling rule.</w:t>
            </w:r>
          </w:p>
        </w:tc>
      </w:tr>
      <w:tr>
        <w:tc>
          <w:tcPr>
            <w:tcW w:type="dxa" w:w="211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Termination-resets-boundaries trap</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option assumes ending treatment immediately removes the power imbalance or former-client restrictions.</w:t>
            </w:r>
          </w:p>
        </w:tc>
        <w:tc>
          <w:tcPr>
            <w:tcW w:type="dxa" w:w="409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Termination does not erase confidential knowledge, influence, vulnerability, or applicable former-client rules.</w:t>
            </w:r>
          </w:p>
        </w:tc>
      </w:tr>
    </w:tbl>
    <w:p>
      <w:r>
        <w:br w:type="page"/>
      </w:r>
    </w:p>
    <w:p>
      <w:pPr>
        <w:spacing w:before="0" w:after="60" w:line="240" w:lineRule="auto"/>
        <w:pBdr>
          <w:bottom w:val="single" w:sz="12" w:space="3" w:color="159A9C"/>
        </w:pBdr>
      </w:pPr>
      <w:r>
        <w:rPr>
          <w:rFonts w:ascii="Arial" w:hAnsi="Arial" w:eastAsia="Arial"/>
          <w:b/>
          <w:i w:val="0"/>
          <w:color w:val="17325C"/>
          <w:sz w:val="36"/>
        </w:rPr>
        <w:t>Workbook 1: Informed Consent, Minors &amp; Family Involvement</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Foundations of Informed Consent</w:t>
              <w:br/>
              <w:t>External Pressure and Voluntariness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first response to external pressure is usually explore—not automatically validate or invalidate consent.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External pressure is relevant, but the therapist should assess the client’s own goals and choice before deciding whether participation is voluntary.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Information Required for Informed Decision-Making</w:t>
              <w:br/>
              <w:t>Material Risks vs. Every Conceivable Risk</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Avoid both extremes: no meaningful risk information and every imaginable remote risk.</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goal is accurate, proportionate, decision-relevant information.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Ongoing Informed Consent</w:t>
              <w:br/>
              <w:t>Routine Adjustment vs. Material Change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Ask whether the change meaningfully alters what the client agreed to—not whether anything changed at all.</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Ongoing consent is responsive to material changes, not every small clinical judgment.</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Required Disclosures</w:t>
              <w:br/>
              <w:t>Notice Timing</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the statute’s timing language; avoid both extremes.</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statute expressly permits delivery as soon as practicably possible afterward when advance delivery is not feasible.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1: Informed Consent, Minors &amp; Family Involvement</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General Consent Requirements for Minors</w:t>
              <w:br/>
              <w:t>Emergency Safety Action vs. Routine Consent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Separate: Immediate crisis protectionfromauthorization for ongoing nonemergency treatment Emergency action does not erase future consent responsibilities.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therapist should act within the therapist’s professional role and local authorization, arrange the appropriate emergency response, and document the risk assessment, consultation, actions, notifications, and disposition.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Minor Consent Exceptions</w:t>
              <w:br/>
              <w:t>Determining That Involvement Is Inappropriate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When the minor raises a safety or treatment-access concern, choose: Consult → assess → determine → document Do not contact the parent automatically before completing the required analysis.</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therapist should not make an unlimited promise before assessing the circumstances, applicable confidentiality limits, and future developments. C. The statute calls for a professional determination. It does not require the minor to prove future harm beyond all doubt.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7 — Working with Parents and Families</w:t>
              <w:br/>
              <w:t>Noncustodial Parent Access to Records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assume: Noncustodial parent = no access Also do not assume: Parent = automatic access to everything Verify authority and then apply the record-specific exceptions.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Parental status does not create an unconditional right to every clinical note or record. Statutory exceptions must still be evaluated. D. The child may express concerns, but the child does not determine the father’s legal parental status.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2: Telehealth Law &amp; Ethics</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Telehealth Foundations</w:t>
              <w:br/>
              <w:t>Technology Failure and Continued Appropriateness</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best answer is usually assessment plus a reasonable backup response, not automatic continuation or automatic termination.</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therapist should use clinical judgment, consider privacy and effectiveness, and implement the planned alternative when appropriate.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Telehealth Informed Consent</w:t>
              <w:br/>
              <w:t>Consent vs. Each-Session Duties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Identify whether the question tests initiation duties or each-session duties; they are related but not interchangeable.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California separates initiation consent from the recurring full-name and present-address requirement.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Telehealth Privacy and Security</w:t>
              <w:br/>
              <w:t>Business Associate Agreement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choose an absolute. Analyze covered-entity status, vendor function, contract, and safeguards.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BAA is generally required for a covered entity’s business associate, but it is only one part of compliance.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2: Telehealth Law &amp; Ethics</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Technology, Electronic Communication, and Professional Responsibilities</w:t>
              <w:br/>
              <w:t>Unread Crisis Message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not seeing a message from seeing it and choosing not to act.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policy helps define monitoring expectations, but once the therapist becomes aware of a suicidal communication, the therapist should assess and respond appropriately.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Social Media, Boundaries, and Digital Ethics</w:t>
              <w:br/>
              <w:t>Former Client Boundary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Former does not mean ordinary. Confidentiality survives termination.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timing, former treatment, client vulnerability, potential future care, and public association may remain relevant.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Technology Risk Management and Compliance</w:t>
              <w:br/>
              <w:t>Incident vs. Breach</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confuse “respond immediately” with “automatically report to every authority.”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An incident triggers prompt containment and investigation; notification depends on the applicable legal definition and the facts.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3: Professional Competence</w:t>
      </w:r>
    </w:p>
    <w:p>
      <w:pPr>
        <w:spacing w:before="0" w:after="140" w:line="240" w:lineRule="auto"/>
      </w:pPr>
      <w:r>
        <w:rPr>
          <w:rFonts w:ascii="Arial" w:hAnsi="Arial" w:eastAsia="Arial"/>
          <w:b w:val="0"/>
          <w:i/>
          <w:color w:val="657487"/>
          <w:sz w:val="20"/>
        </w:rPr>
        <w:t>Core chapter traps and correction rules — Part 1</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Professional Competence Foundations</w:t>
              <w:br/>
              <w:t>Knowledge Exposure vs. Practical Skill</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learning about a treatment from being prepared to deliver it competently.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Evaluate whether the intervention requires additional knowledge, practical training, supervised experience, or other preparation before use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Scope of Practice vs. Scope of Competence</w:t>
              <w:br/>
              <w:t>Proportionate Response and Continuity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exam often favors the least disruptive safe response—not denial, inaction, or automatic termination.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Assess whether the limitation can be addressed safely through appropriate preparation and support while preserving continuity, with referral if it cannot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Maintaining Professional Competence</w:t>
              <w:br/>
              <w:t>CE Compliance vs. Competence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Separate CE compliance from whether the education actually addresses current practice.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therapist may be meeting a renewal requirement without addressing actual competence needs.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3: Professional Competence</w:t>
      </w:r>
    </w:p>
    <w:p>
      <w:pPr>
        <w:spacing w:before="0" w:after="140" w:line="240" w:lineRule="auto"/>
      </w:pPr>
      <w:r>
        <w:rPr>
          <w:rFonts w:ascii="Arial" w:hAnsi="Arial" w:eastAsia="Arial"/>
          <w:b w:val="0"/>
          <w:i/>
          <w:color w:val="657487"/>
          <w:sz w:val="20"/>
        </w:rPr>
        <w:t>Core chapter traps and correction rules — Part 2</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Consultation and Seeking Professional Assistance</w:t>
              <w:br/>
              <w:t>Legal Consultation and Records Request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When a legal document is ambiguous, do not choose automatic disclosure or automatic refusal; preserve and verify.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therapist should protect the information, assess validity and jurisdiction, and obtain issue-specific legal guidance. A friend’s clinical license does not make the friend legal counsel.</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5 — Clinical Supervision, Feedback, and Accountability</w:t>
              <w:br/>
              <w:t>Refusal to Sign Future Hours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This is a precise notice rule. Do not replace it with broad assumptions about supervisor discretion or automatic loss of hours.</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current BBS Supervision Agreement requires at least one week of prior written notice before the supervisor refuses further hours and protects good-faith hours when notice was not given.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6 — Professional Roles and Role Clarification</w:t>
              <w:br/>
              <w:t>Retaining Party vs. Client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equate payer, requester, client, evaluee, privilege holder, and report recipient. Clarify each role.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Payment alone does not answer client status, confidentiality, authorization, report scope, or legal rights.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4: Professional Impairment</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Recognizing Professional Impairment</w:t>
              <w:br/>
              <w:t>Impairment vs. Incompetence</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Identify whether the question is asking about the cause of decline or the clinician’s actual ability to perform.</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Impairment is one possible source of reduced ability, not the only source.</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Substance Use and Professional Impairment</w:t>
              <w:br/>
              <w:t>Legal Status vs. Safe Practice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 not confuse lawful possession or use with professional fitness for a specific duty.</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Safe professional functioning remains the controlling issue.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Mental Health, Burnout, and Compassion Fatigue</w:t>
              <w:br/>
              <w:t>Single Sign vs. Pattern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Avoid converting one difficult moment into an impairment finding.</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Pattern, persistence, severity, and professional effect matter more than one isolated nonspecific observation.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Physical Conditions, Fatigue, and Professional Functioning</w:t>
              <w:br/>
              <w:t>Driving, Fatigue, and Client Safety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High-risk transportation and crisis duties require present fitness, not merely availability.</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Immediate operational safety and continuity require another qualified response.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Responding Ethically to Professional Impairment</w:t>
              <w:br/>
              <w:t>Reporting Precision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Never invent a reporting duty. Identify the exact law, role, and facts before choosing a regulatory report.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analysis must be based on functioning, risk, role, and a specific reporting authority.</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5: Client Welfare &amp; Harm Prevention</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The Principle of Nonmaleficence</w:t>
              <w:br/>
              <w:t>Adverse Outcome vs. Wrongdoing</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Separate outcome from process: review care and response without assuming either fault or immunity.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Outcomes matter, but wrongdoing depends on the governing rule and the reasonableness of care, monitoring, and response to new information.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Avoiding and Preventing Client Harm</w:t>
              <w:br/>
              <w:t>Pattern of Warning Signs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For a recurring pattern, address current client impact while investigating context and cause.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Clarify the facts, assess affected clients and urgency, address immediate gaps, and evaluate the pattern and contributing conditions This protects clients, evaluates context and pattern, and supports proportionate supervisory and system correction.</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Beneficence and Promoting Client Welfare</w:t>
              <w:br/>
              <w:t>Vulnerability Without Paternalism</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Vulnerability calls for tailored support and safeguards, not automatic loss of rights.</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Use accessible communication and supported decision-making, then respect the client’s informed choice This adds the support needed for meaningful participation without unnecessarily removing autonomy.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Professional Responsibility and Accountability</w:t>
              <w:br/>
              <w:t>First Priority After Error</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When harm may be continuing, protect first; analyze blame and prevention afterward.</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first task is to determine and reduce any continuing client impact.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Professional Judgment and Ethical Decision-Making</w:t>
              <w:br/>
              <w:t>Legal Priority</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Apply the legal rule first; exercise discretion only where the rule permits it.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Professional judgment begins with the controlling authority and then addresses implementation.</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6: Professional Boundaries</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1 — Professional Boundaries</w:t>
              <w:br/>
              <w:t>Ethical Boundary Concern vs. Prohibited Conduct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First determine what kind of question you are answering: Contextual concern: Analyze purpose, benefit, risk, power, and safeguards. Emerging boundary erosion: Clarify, correct, consult, and monitor.</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Not every departure from ordinary practice is automatically illegal, unethical, or disciplinary.</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2 — Boundary Crossings and Boundary Violations</w:t>
              <w:br/>
              <w:t>Crossing, Erosion, and Violation Analysis</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Do not evaluate only the first action or the therapist’s original intention.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therapist should stop the inappropriate personal conduct, assess client harm, restore professional roles, seek consultation or supervision, document accurately, protect continuity of care, and consider referral if objectivity cannot be restored.</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3 — Multiple and Dual Relationships</w:t>
              <w:br/>
              <w:t>Multiple-Relationship Decision-Making</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For unavoidable multiple relationships, remember: Unavoidable does not mean harmless—but it also does not automatically require referral. Use: Assess → Discuss → Safeguard → Document → Monitor → Refer if unmanageable</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The overlap is difficult to avoid and declining treatment could significantly limit the client’s access to care. The therapist should therefore determine whether the risks can be responsibly managed.</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4 — Gifts, Bartering, and Financial Relationships</w:t>
              <w:br/>
              <w:t>Legitimate Services vs. Referral Compensation</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Ask: What service was actually provided in exchange for the payment? No legitimate service + payment tied to a client referral = direct concern.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Payment for legitimate professional services actually provided—such as documented consultation—is analytically different from compensation tied solely to referring a client. The substance of the arrangement controls.</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Ch. 5 — Sexual Misconduct and Client Exploitation</w:t>
              <w:br/>
              <w:t>Termination Does Not Immediately Remove the Boundary</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When the therapist terminates treatment so that dating or sexual conduct can begin, recognize the trap: Termination is not an immediate reset.</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California identifies sexual relations with a former client within two years after termination as unprofessional conduct. Ending therapy immediately before beginning the relationship does not avoid the restriction.</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7: Cultural Humility</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Cultural Humility and Culturally Responsive Practice</w:t>
              <w:br/>
              <w:t>Cultural Mistake vs. Statutory Misconduct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between: Mistake recognized and repaired Repeated disregard or harmful incompetence Do not automatically classify every cultural error as illegal—but do not minimize conduct that causes serious harm.</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California does not classify every cultural misunderstanding or incorrect assumption as a separate statutory violation. Many mistakes can be addressed through acknowledgment, correction, education, consultation, and repair.</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Bias, Assumptions, and Ethical Decision-Making</w:t>
              <w:br/>
              <w:t>Information Gathering vs. Immediate Safety</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this priority rule: Immediate danger → Protect firstNo immediate danger → Gather information before concluding</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Clinicians should ordinarily gather information and avoid unsupported conclusions. However, the workbook emphasizes that more information is not always required before acting when an immediate safety concern is present.</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Working With Diverse Populations</w:t>
              <w:br/>
              <w:t>Diversity-Related Error vs. Professional Misconduct</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Distinguish between: Error recognized and repaired Need repeatedly ignored despite risk or harm</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California does not treat every diversity-related misunderstanding or access error as an automatic statutory violation. A correctable mistake may be addressed through acknowledgment, reassessment, qualified assistance, repair, and improved procedures.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8: Confidentiality, Privacy &amp; Information Sharing</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Confidentiality in Individual, Couple, Family, and Group Treatment</w:t>
              <w:br/>
              <w:t>Client Status vs. Participation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assume: Present in the room = client First identify whether the person is a: Client Joint client Participant Collateral contact Personal representative Third party</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person may attend a session, provide information, or support treatment without becoming a client. The therapist must determine what role was established and explained during informed consent.</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Authorizations, Releases of Information, and Limits on Disclosure</w:t>
              <w:br/>
              <w:t>Authorization vs. Informed Consent</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 not confuse: Consent to treatmentwithPermission to disclose information</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Informed consent explains the nature of treatment, relevant risks and benefits, policies, fees, confidentiality limits, and client choices. It supports the client’s decision to participate in services. An authorization serves a different purpose.</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Privacy, Protected Health Information, and HIPAA</w:t>
              <w:br/>
              <w:t>Privacy vs. Confidentiality vs. Security</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Use the three-question formula: Privacy: Who should have access? Confidentiality: What may the therapist reveal? Security: How is the information protected?</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Privacy concerns the client’s interest in controlling access to personal information. Confidentiality concerns the therapist’s duty to protect information learned through the professional relationship.</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Client Access to Records and Responding to Record Requests</w:t>
              <w:br/>
              <w:t>Client Access vs. Third-Party Disclosure</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First sort the request: Client asks for own information = AccessSomeone else asks for client information = Disclosure Do not apply ordinary release-of-information reasoning automatically to a client’s own access request.</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An adult client requesting their own treatment record is exercising a potential right of access.</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Workbook 9: Clinical Documentation &amp; Record Management</w:t>
      </w:r>
    </w:p>
    <w:p>
      <w:pPr>
        <w:spacing w:before="0" w:after="140" w:line="240" w:lineRule="auto"/>
      </w:pPr>
      <w:r>
        <w:rPr>
          <w:rFonts w:ascii="Arial" w:hAnsi="Arial" w:eastAsia="Arial"/>
          <w:b w:val="0"/>
          <w:i/>
          <w:color w:val="657487"/>
          <w:sz w:val="20"/>
        </w:rPr>
        <w:t>Core chapter traps and correction rules</w:t>
      </w:r>
    </w:p>
    <w:tbl>
      <w:tblPr>
        <w:tblW w:type="dxa" w:w="10080"/>
        <w:jc w:val="center"/>
        <w:tblLayout w:type="fixed"/>
        <w:tblLook w:firstColumn="1" w:firstRow="1" w:lastColumn="0" w:lastRow="0" w:noHBand="0" w:noVBand="1" w:val="04A0"/>
        <w:tblInd w:type="dxa" w:w="0"/>
      </w:tblPr>
      <w:tblGrid>
        <w:gridCol w:w="2922"/>
        <w:gridCol w:w="3287"/>
        <w:gridCol w:w="3871"/>
      </w:tblGrid>
      <w:tr>
        <w:tc>
          <w:tcPr>
            <w:tcW w:type="dxa" w:w="292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Chapter / Trap or Distinction</w:t>
            </w:r>
          </w:p>
        </w:tc>
        <w:tc>
          <w:tcPr>
            <w:tcW w:type="dxa" w:w="328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Rule</w:t>
            </w:r>
          </w:p>
        </w:tc>
        <w:tc>
          <w:tcPr>
            <w:tcW w:type="dxa" w:w="387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Why It Matters</w:t>
            </w:r>
          </w:p>
        </w:tc>
        <w:trPr>
          <w:tblHeader/>
        </w:trPr>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1 — Clinical Documentation Standards</w:t>
              <w:br/>
              <w:t>Complete vs. Excessive Documentation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Remember: Complete does not mean exhaustive. The strongest note makes important information easy to find.</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Good documentation should be sufficiently complete to explain treatment without becoming excessive. Large amounts of irrelevant material can make it difficult for another professional to identify the clinical concern, intervention, response, and treatment plan.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2 — Documentation Errors, Risk Management, and High-Risk Situations</w:t>
              <w:br/>
              <w:t>Outdated Template Information</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With templates and copied text: Review every field before signing. Automatic does not mean accurate.</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current record must accurately reflect the client’s current circumstances. The therapist should review all copied or automatically populated text, correct outdated information, and document clinically relevant changes.</w:t>
            </w:r>
          </w:p>
        </w:tc>
      </w:tr>
      <w:tr>
        <w:tc>
          <w:tcPr>
            <w:tcW w:type="dxa" w:w="292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3 — Record Retention Requirements</w:t>
              <w:br/>
              <w:t>Retention vs. Destruction</w:t>
            </w:r>
          </w:p>
        </w:tc>
        <w:tc>
          <w:tcPr>
            <w:tcW w:type="dxa" w:w="328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Remember: Retain first. Destroy securely later. Treatment termination does not automatically trigger destruction.</w:t>
            </w:r>
          </w:p>
        </w:tc>
        <w:tc>
          <w:tcPr>
            <w:tcW w:type="dxa" w:w="387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Record retention means preserving clinical records throughout the applicable retention period. Once those responsibilities have been satisfied—and no investigation, legal hold, or other reason requires continued preservation—the record may become eligible for secure destruction.</w:t>
            </w:r>
          </w:p>
        </w:tc>
      </w:tr>
      <w:tr>
        <w:tc>
          <w:tcPr>
            <w:tcW w:type="dxa" w:w="292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Ch. 4 — Record Security, Storage, and Record Destruction</w:t>
              <w:br/>
              <w:t>Destruction During an Investigation or Legal Hold</w:t>
            </w:r>
          </w:p>
        </w:tc>
        <w:tc>
          <w:tcPr>
            <w:tcW w:type="dxa" w:w="328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Before destroying records, always ask: Is any complaint, investigation, audit, litigation, or legal hold pending?</w:t>
            </w:r>
          </w:p>
        </w:tc>
        <w:tc>
          <w:tcPr>
            <w:tcW w:type="dxa" w:w="387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 routine destruction schedule does not override a pending investigation, legal hold, complaint, audit, or other preservation obligation.</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RETRIEVAL PROMPT</w:t>
            </w:r>
          </w:p>
          <w:p>
            <w:pPr>
              <w:spacing w:before="0" w:after="0" w:line="254" w:lineRule="auto"/>
            </w:pPr>
            <w:r>
              <w:rPr>
                <w:rFonts w:ascii="Arial" w:hAnsi="Arial" w:eastAsia="Arial"/>
                <w:b w:val="0"/>
                <w:i w:val="0"/>
                <w:color w:val="243447"/>
                <w:sz w:val="20"/>
              </w:rPr>
              <w:t>Before turning the page, choose one row and explain how the same trap could appear in a different vignette. Name the fact that would change your answer.</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Trigger Words and the Question They Should Activate</w:t>
      </w:r>
    </w:p>
    <w:p>
      <w:pPr>
        <w:spacing w:before="0" w:after="140" w:line="240" w:lineRule="auto"/>
      </w:pPr>
      <w:r>
        <w:rPr>
          <w:rFonts w:ascii="Arial" w:hAnsi="Arial" w:eastAsia="Arial"/>
          <w:b w:val="0"/>
          <w:i/>
          <w:color w:val="657487"/>
          <w:sz w:val="20"/>
        </w:rPr>
        <w:t>A trigger word is not the answer; it tells you what to analyze</w:t>
      </w:r>
    </w:p>
    <w:tbl>
      <w:tblPr>
        <w:tblW w:type="dxa" w:w="10080"/>
        <w:jc w:val="center"/>
        <w:tblLayout w:type="fixed"/>
        <w:tblLook w:firstColumn="1" w:firstRow="1" w:lastColumn="0" w:lastRow="0" w:noHBand="0" w:noVBand="1" w:val="04A0"/>
        <w:tblInd w:type="dxa" w:w="0"/>
      </w:tblPr>
      <w:tblGrid>
        <w:gridCol w:w="2995"/>
        <w:gridCol w:w="7085"/>
      </w:tblGrid>
      <w:tr>
        <w:tc>
          <w:tcPr>
            <w:tcW w:type="dxa" w:w="2995"/>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Trigger</w:t>
            </w:r>
          </w:p>
        </w:tc>
        <w:tc>
          <w:tcPr>
            <w:tcW w:type="dxa" w:w="7085"/>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Question to Activate</w:t>
            </w:r>
          </w:p>
        </w:tc>
        <w:trPr>
          <w:tblHeader/>
        </w:trPr>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Signed form / release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Was there meaningful understanding, voluntariness, scope, and valid authority?</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Minor / parent / guardian</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may consent, who should be involved, who may access information, and who holds privilege?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Couple / family / group</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is the client or treatment unit, and what confidentiality expectations were established?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Subpoena / attorney request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holds privilege, what authority supports disclosure, and what response is required without automatic release?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Court order</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does the order require, what is its scope, and how can unnecessary disclosure be minimized?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Across state lines / traveling client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Where is the client, may the clinician practice there, and can safe care continue?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Text / portal / crisis message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Was the channel monitored, what emergency instructions existed, and what immediate safety follow-up is needed?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Gift / barter / referral payment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there exploitation, impaired judgment, financial conflict, or payment without a legitimate service?</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Current or former client</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boundary rules, power imbalance, vulnerability, and former-client restrictions remain?</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One mistake / one symptom</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this an isolated correctable error or a persistent pattern affecting competence or safety?</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Impaired / fatigued / under the influence</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the clinician presently fit for the specific duty, and what protects clients now?</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Immediate / credible / imminent danger</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protective action cannot safely wait?</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Authorization</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disclosure is permitted—and is the clinician qualified and ethically positioned to provide what was requested?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Record request</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Who is requesting, what material is involved, what access or disclosure rule applies, and what may be limited?</w:t>
            </w:r>
          </w:p>
        </w:tc>
      </w:tr>
      <w:tr>
        <w:tc>
          <w:tcPr>
            <w:tcW w:type="dxa" w:w="299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Template / copied-forward text</w:t>
            </w:r>
          </w:p>
        </w:tc>
        <w:tc>
          <w:tcPr>
            <w:tcW w:type="dxa" w:w="7085"/>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Is every field current and accurate before the note is signed?</w:t>
            </w:r>
          </w:p>
        </w:tc>
      </w:tr>
      <w:tr>
        <w:tc>
          <w:tcPr>
            <w:tcW w:type="dxa" w:w="299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Retention / destruction / legal hold</w:t>
            </w:r>
          </w:p>
        </w:tc>
        <w:tc>
          <w:tcPr>
            <w:tcW w:type="dxa" w:w="7085"/>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Must the record be preserved, and if destruction is allowed, is the process secure and verifiable?</w:t>
            </w:r>
          </w:p>
        </w:tc>
      </w:tr>
    </w:tbl>
    <w:p>
      <w:r>
        <w:br w:type="page"/>
      </w:r>
    </w:p>
    <w:p>
      <w:pPr>
        <w:spacing w:before="0" w:after="60" w:line="240" w:lineRule="auto"/>
        <w:pBdr>
          <w:bottom w:val="single" w:sz="12" w:space="3" w:color="159A9C"/>
        </w:pBdr>
      </w:pPr>
      <w:r>
        <w:rPr>
          <w:rFonts w:ascii="Arial" w:hAnsi="Arial" w:eastAsia="Arial"/>
          <w:b/>
          <w:i w:val="0"/>
          <w:color w:val="17325C"/>
          <w:sz w:val="36"/>
        </w:rPr>
        <w:t>Qualifier and Sequence Repair Sheet</w:t>
      </w:r>
    </w:p>
    <w:p>
      <w:pPr>
        <w:spacing w:before="0" w:after="140" w:line="240" w:lineRule="auto"/>
      </w:pPr>
      <w:r>
        <w:rPr>
          <w:rFonts w:ascii="Arial" w:hAnsi="Arial" w:eastAsia="Arial"/>
          <w:b w:val="0"/>
          <w:i/>
          <w:color w:val="657487"/>
          <w:sz w:val="20"/>
        </w:rPr>
        <w:t>FIRST, NEXT, BEST, MOST, INITIAL, and PRIMARY change the task</w:t>
      </w:r>
    </w:p>
    <w:tbl>
      <w:tblPr>
        <w:tblW w:type="dxa" w:w="10080"/>
        <w:jc w:val="center"/>
        <w:tblLayout w:type="fixed"/>
        <w:tblLook w:firstColumn="1" w:firstRow="1" w:lastColumn="0" w:lastRow="0" w:noHBand="0" w:noVBand="1" w:val="04A0"/>
        <w:tblInd w:type="dxa" w:w="0"/>
      </w:tblPr>
      <w:tblGrid>
        <w:gridCol w:w="2483"/>
        <w:gridCol w:w="7597"/>
      </w:tblGrid>
      <w:tr>
        <w:tc>
          <w:tcPr>
            <w:tcW w:type="dxa" w:w="2483"/>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Qualifier</w:t>
            </w:r>
          </w:p>
        </w:tc>
        <w:tc>
          <w:tcPr>
            <w:tcW w:type="dxa" w:w="7597"/>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What It Usually Asks</w:t>
            </w:r>
          </w:p>
        </w:tc>
        <w:trPr>
          <w:tblHeader/>
        </w:trPr>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FIRST / INITIAL</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earliest necessary action: immediate safety, mandatory duty, role clarification, or focused fact gathering.</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NEXT</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step that follows what has already occurred; do not repeat the completed step or jump to closure.</w:t>
            </w:r>
          </w:p>
        </w:tc>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BEST / MOST APPROPRIATE</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response that integrates law, ethics, client welfare, timing, role, and proportionality.</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PRIMARY</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controlling issue or highest-priority concern—not every issue present in the vignette.</w:t>
            </w:r>
          </w:p>
        </w:tc>
      </w:tr>
      <w:tr>
        <w:tc>
          <w:tcPr>
            <w:tcW w:type="dxa" w:w="2483"/>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MOST ETHICAL</w:t>
            </w:r>
          </w:p>
        </w:tc>
        <w:tc>
          <w:tcPr>
            <w:tcW w:type="dxa" w:w="7597"/>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The professionally preferable action, which may exceed the legal minimum while remaining lawful.</w:t>
            </w:r>
          </w:p>
        </w:tc>
      </w:tr>
      <w:tr>
        <w:tc>
          <w:tcPr>
            <w:tcW w:type="dxa" w:w="2483"/>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LEGAL REQUIREMENT</w:t>
            </w:r>
          </w:p>
        </w:tc>
        <w:tc>
          <w:tcPr>
            <w:tcW w:type="dxa" w:w="7597"/>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What the governing authority requires; do not substitute a risk-management preference for a mandate.</w:t>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8F6F6"/>
            <w:tcBorders>
              <w:top w:val="single" w:sz="10" w:color="159A9C"/>
              <w:left w:val="single" w:sz="10" w:color="159A9C"/>
              <w:bottom w:val="single" w:sz="10" w:color="159A9C"/>
              <w:right w:val="single" w:sz="10" w:color="159A9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SIX-STEP SEQUENCE</w:t>
            </w:r>
          </w:p>
          <w:p>
            <w:pPr>
              <w:spacing w:before="0" w:after="0" w:line="254" w:lineRule="auto"/>
            </w:pPr>
            <w:r>
              <w:rPr>
                <w:rFonts w:ascii="Arial" w:hAnsi="Arial" w:eastAsia="Arial"/>
                <w:b w:val="0"/>
                <w:i w:val="0"/>
                <w:color w:val="243447"/>
                <w:sz w:val="20"/>
              </w:rPr>
              <w:t>1. Protect against immediate danger or complete a nondeferrable duty.  2. Clarify authority, role, consent, privilege, location, or treatment-unit expectations.  3. Gather the missing facts that can safely be gathered.  4. Consult when useful without transferring responsibility.  5. Take the least intrusive effective action.  6. Communicate, document, and follow up.</w:t>
            </w:r>
          </w:p>
        </w:tc>
        <w:trPr>
          <w:tblHeader/>
        </w:trPr>
      </w:tr>
    </w:tbl>
    <w:p>
      <w:pPr>
        <w:spacing w:after="20"/>
      </w:pPr>
    </w:p>
    <w:p>
      <w:pPr>
        <w:spacing w:before="120" w:after="60" w:line="240" w:lineRule="auto"/>
      </w:pPr>
      <w:r>
        <w:rPr>
          <w:rFonts w:ascii="Arial" w:hAnsi="Arial" w:eastAsia="Arial"/>
          <w:b/>
          <w:i w:val="0"/>
          <w:color w:val="159A9C"/>
          <w:sz w:val="26"/>
        </w:rPr>
        <w:t>My Three Most Common Sequence Errors</w:t>
      </w:r>
    </w:p>
    <w:p>
      <w:pPr>
        <w:spacing w:before="40" w:after="120" w:line="240" w:lineRule="auto"/>
      </w:pPr>
      <w:r>
        <w:rPr>
          <w:rFonts w:ascii="Arial" w:hAnsi="Arial" w:eastAsia="Arial"/>
          <w:b w:val="0"/>
          <w:i w:val="0"/>
          <w:color w:val="243447"/>
          <w:sz w:val="20"/>
        </w:rPr>
        <w:t>1.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pPr>
        <w:spacing w:before="40" w:after="120" w:line="240" w:lineRule="auto"/>
      </w:pPr>
      <w:r>
        <w:rPr>
          <w:rFonts w:ascii="Arial" w:hAnsi="Arial" w:eastAsia="Arial"/>
          <w:b w:val="0"/>
          <w:i w:val="0"/>
          <w:color w:val="243447"/>
          <w:sz w:val="20"/>
        </w:rPr>
        <w:t>2.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pPr>
        <w:spacing w:before="40" w:after="120" w:line="240" w:lineRule="auto"/>
      </w:pPr>
      <w:r>
        <w:rPr>
          <w:rFonts w:ascii="Arial" w:hAnsi="Arial" w:eastAsia="Arial"/>
          <w:b w:val="0"/>
          <w:i w:val="0"/>
          <w:color w:val="243447"/>
          <w:sz w:val="20"/>
        </w:rPr>
        <w:t>3. ____________________________________________________________________________________</w:t>
      </w:r>
    </w:p>
    <w:p>
      <w:pPr>
        <w:spacing w:before="0" w:after="100" w:line="240" w:lineRule="auto"/>
      </w:pPr>
      <w:r>
        <w:rPr>
          <w:rFonts w:ascii="Arial" w:hAnsi="Arial" w:eastAsia="Arial"/>
          <w:b w:val="0"/>
          <w:i w:val="0"/>
          <w:color w:val="657487"/>
          <w:sz w:val="19"/>
        </w:rPr>
        <w:t>Correction rule: ______________________________________________________________________</w:t>
      </w:r>
    </w:p>
    <w:p>
      <w:r>
        <w:br w:type="page"/>
      </w:r>
    </w:p>
    <w:p>
      <w:pPr>
        <w:spacing w:before="0" w:after="60" w:line="240" w:lineRule="auto"/>
        <w:pBdr>
          <w:bottom w:val="single" w:sz="12" w:space="3" w:color="159A9C"/>
        </w:pBdr>
      </w:pPr>
      <w:r>
        <w:rPr>
          <w:rFonts w:ascii="Arial" w:hAnsi="Arial" w:eastAsia="Arial"/>
          <w:b/>
          <w:i w:val="0"/>
          <w:color w:val="17325C"/>
          <w:sz w:val="36"/>
        </w:rPr>
        <w:t>Personal Trap Tracker</w:t>
      </w:r>
    </w:p>
    <w:p>
      <w:pPr>
        <w:spacing w:before="0" w:after="140" w:line="240" w:lineRule="auto"/>
      </w:pPr>
      <w:r>
        <w:rPr>
          <w:rFonts w:ascii="Arial" w:hAnsi="Arial" w:eastAsia="Arial"/>
          <w:b w:val="0"/>
          <w:i/>
          <w:color w:val="657487"/>
          <w:sz w:val="20"/>
        </w:rPr>
        <w:t>Use evidence from practice—not confidence alone</w:t>
      </w:r>
    </w:p>
    <w:tbl>
      <w:tblPr>
        <w:tblW w:type="dxa" w:w="10080"/>
        <w:jc w:val="center"/>
        <w:tblLayout w:type="fixed"/>
        <w:tblLook w:firstColumn="1" w:firstRow="1" w:lastColumn="0" w:lastRow="0" w:noHBand="0" w:noVBand="1" w:val="04A0"/>
        <w:tblInd w:type="dxa" w:w="0"/>
      </w:tblPr>
      <w:tblGrid>
        <w:gridCol w:w="511"/>
        <w:gridCol w:w="1972"/>
        <w:gridCol w:w="1972"/>
        <w:gridCol w:w="1826"/>
        <w:gridCol w:w="3799"/>
      </w:tblGrid>
      <w:tr>
        <w:tc>
          <w:tcPr>
            <w:tcW w:type="dxa" w:w="511"/>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t>
            </w:r>
          </w:p>
        </w:tc>
        <w:tc>
          <w:tcPr>
            <w:tcW w:type="dxa" w:w="197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Trap / Concept</w:t>
            </w:r>
          </w:p>
        </w:tc>
        <w:tc>
          <w:tcPr>
            <w:tcW w:type="dxa" w:w="197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Workbook &amp; Chapter</w:t>
            </w:r>
          </w:p>
        </w:tc>
        <w:tc>
          <w:tcPr>
            <w:tcW w:type="dxa" w:w="1826"/>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Status</w:t>
            </w:r>
          </w:p>
        </w:tc>
        <w:tc>
          <w:tcPr>
            <w:tcW w:type="dxa" w:w="3799"/>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Correction in My Own Words</w:t>
            </w:r>
          </w:p>
        </w:tc>
        <w:trPr>
          <w:tblHeader/>
        </w:trPr>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2</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3</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4</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5</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6</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7</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8</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9</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10</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11</w:t>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r>
        <w:tc>
          <w:tcPr>
            <w:tcW w:type="dxa" w:w="511"/>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12</w:t>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97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c>
          <w:tcPr>
            <w:tcW w:type="dxa" w:w="1826"/>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t>☐ Green  ☐ Yellow  ☐ Red</w:t>
            </w:r>
          </w:p>
        </w:tc>
        <w:tc>
          <w:tcPr>
            <w:tcW w:type="dxa" w:w="3799"/>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7"/>
              </w:rPr>
            </w:r>
          </w:p>
        </w:tc>
      </w:tr>
    </w:tbl>
    <w:tbl>
      <w:tblPr>
        <w:tblW w:type="dxa" w:w="10080"/>
        <w:jc w:val="center"/>
        <w:tblLayout w:type="fixed"/>
        <w:tblLook w:firstColumn="1" w:firstRow="1" w:lastColumn="0" w:lastRow="0" w:noHBand="0" w:noVBand="1" w:val="04A0"/>
        <w:tblInd w:type="dxa" w:w="0"/>
      </w:tblPr>
      <w:tblGrid>
        <w:gridCol w:w="10080"/>
      </w:tblGrid>
      <w:tr>
        <w:tc>
          <w:tcPr>
            <w:tcW w:type="dxa" w:w="10080"/>
            <w:shd w:fill="EAF0F6"/>
            <w:tcBorders>
              <w:top w:val="single" w:sz="10" w:color="17325C"/>
              <w:left w:val="single" w:sz="10" w:color="17325C"/>
              <w:bottom w:val="single" w:sz="10" w:color="17325C"/>
              <w:right w:val="single" w:sz="10" w:color="17325C"/>
            </w:tcBorders>
            <w:tcMar>
              <w:top w:w="100" w:type="dxa"/>
              <w:start w:w="130" w:type="dxa"/>
              <w:bottom w:w="100" w:type="dxa"/>
              <w:end w:w="130" w:type="dxa"/>
            </w:tcMar>
          </w:tcPr>
          <w:p>
            <w:pPr>
              <w:spacing w:before="0" w:after="40" w:line="240" w:lineRule="auto"/>
            </w:pPr>
            <w:r>
              <w:rPr>
                <w:rFonts w:ascii="Arial" w:hAnsi="Arial" w:eastAsia="Arial"/>
                <w:b/>
                <w:i w:val="0"/>
                <w:color w:val="17325C"/>
                <w:sz w:val="20"/>
              </w:rPr>
              <w:t>REVIEW RULE</w:t>
            </w:r>
          </w:p>
          <w:p>
            <w:pPr>
              <w:spacing w:before="0" w:after="0" w:line="254" w:lineRule="auto"/>
            </w:pPr>
            <w:r>
              <w:rPr>
                <w:rFonts w:ascii="Arial" w:hAnsi="Arial" w:eastAsia="Arial"/>
                <w:b w:val="0"/>
                <w:i w:val="0"/>
                <w:color w:val="243447"/>
                <w:sz w:val="20"/>
              </w:rPr>
              <w:t>A Red item should be reviewed in the workbook and then tested in a new scenario. A Yellow item should be retrieved again after a delay. A Green item should still be sampled during final review.</w:t>
            </w:r>
          </w:p>
        </w:tc>
        <w:trPr>
          <w:tblHeader/>
        </w:trPr>
      </w:tr>
    </w:tbl>
    <w:p>
      <w:pPr>
        <w:spacing w:after="20"/>
      </w:pPr>
    </w:p>
    <w:p>
      <w:r>
        <w:br w:type="page"/>
      </w:r>
    </w:p>
    <w:p>
      <w:pPr>
        <w:spacing w:before="0" w:after="60" w:line="240" w:lineRule="auto"/>
        <w:pBdr>
          <w:bottom w:val="single" w:sz="12" w:space="3" w:color="159A9C"/>
        </w:pBdr>
      </w:pPr>
      <w:r>
        <w:rPr>
          <w:rFonts w:ascii="Arial" w:hAnsi="Arial" w:eastAsia="Arial"/>
          <w:b/>
          <w:i w:val="0"/>
          <w:color w:val="17325C"/>
          <w:sz w:val="36"/>
        </w:rPr>
        <w:t>Final Review Checklist and Document Control</w:t>
      </w:r>
    </w:p>
    <w:p>
      <w:pPr>
        <w:spacing w:before="0" w:after="140" w:line="240" w:lineRule="auto"/>
      </w:pPr>
      <w:r>
        <w:rPr>
          <w:rFonts w:ascii="Arial" w:hAnsi="Arial" w:eastAsia="Arial"/>
          <w:b w:val="0"/>
          <w:i/>
          <w:color w:val="657487"/>
          <w:sz w:val="20"/>
        </w:rPr>
        <w:t>A last look before Practice A, Practice B, or the Comprehensive Final Examination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can identify whether a question is primarily legal, ethical, clinical, or mixed.</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underline the qualifier before evaluating answer choices.</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do not treat signatures, releases, or policies as substitutes for professional judgment.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clarify client, payer, requester, privilege holder, and report recipient rather than assuming they are the same person.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protect immediate safety without using urgency to justify unnecessary disclosure or punitive action.</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distinguish an isolated mistake from a pattern, impairment, violation, or prohibited act.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use consultation to inform—not replace—my judgment.</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choose the least intrusive effective action consistent with law, ethics, and client welfare.</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separate a poor outcome from proof of wrongdoing.</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know that termination does not automatically erase former-client boundaries.</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document accurately and sufficiently without creating an exhaustive or copied-forward record.</w:t>
      </w:r>
    </w:p>
    <w:p>
      <w:pPr>
        <w:spacing w:before="0" w:after="60" w:line="247" w:lineRule="auto"/>
      </w:pPr>
      <w:r>
        <w:rPr>
          <w:rFonts w:ascii="Arial" w:hAnsi="Arial" w:eastAsia="Arial"/>
          <w:b/>
          <w:i w:val="0"/>
          <w:color w:val="159A9C"/>
          <w:sz w:val="22"/>
        </w:rPr>
        <w:t xml:space="preserve">☐ </w:t>
      </w:r>
      <w:r>
        <w:rPr>
          <w:rFonts w:ascii="Arial" w:hAnsi="Arial" w:eastAsia="Arial"/>
          <w:b w:val="0"/>
          <w:i w:val="0"/>
          <w:color w:val="243447"/>
          <w:sz w:val="19"/>
        </w:rPr>
        <w:t>I can explain why the best answer is stronger and why each distractor is weaker.</w:t>
      </w:r>
    </w:p>
    <w:p>
      <w:pPr>
        <w:spacing w:before="140" w:after="60" w:line="240" w:lineRule="auto"/>
      </w:pPr>
      <w:r>
        <w:rPr>
          <w:rFonts w:ascii="Arial" w:hAnsi="Arial" w:eastAsia="Arial"/>
          <w:b/>
          <w:i w:val="0"/>
          <w:color w:val="159A9C"/>
          <w:sz w:val="26"/>
        </w:rPr>
        <w:t>Source Basis</w:t>
      </w:r>
    </w:p>
    <w:p>
      <w:pPr>
        <w:pStyle w:val="ListBullet"/>
        <w:spacing w:before="0" w:after="40" w:line="250" w:lineRule="auto"/>
      </w:pPr>
      <w:r>
        <w:rPr>
          <w:rFonts w:ascii="Arial" w:hAnsi="Arial" w:eastAsia="Arial"/>
          <w:b w:val="0"/>
          <w:i w:val="0"/>
          <w:color w:val="243447"/>
          <w:sz w:val="18"/>
        </w:rPr>
        <w:t>CTA Master Flashcard Library v1.0 — 807 cards, 747 consolidated concepts, source accuracy July 2026.</w:t>
      </w:r>
    </w:p>
    <w:p>
      <w:pPr>
        <w:pStyle w:val="ListBullet"/>
        <w:spacing w:before="0" w:after="40" w:line="250" w:lineRule="auto"/>
      </w:pPr>
      <w:r>
        <w:rPr>
          <w:rFonts w:ascii="Arial" w:hAnsi="Arial" w:eastAsia="Arial"/>
          <w:b w:val="0"/>
          <w:i w:val="0"/>
          <w:color w:val="243447"/>
          <w:sz w:val="18"/>
        </w:rPr>
        <w:t>CTA Master Flashcard Library Development Standard v1.1 — unified, concept-focused, legally careful, and independent from scored examinations.</w:t>
      </w:r>
    </w:p>
    <w:p>
      <w:pPr>
        <w:pStyle w:val="ListBullet"/>
        <w:spacing w:before="0" w:after="40" w:line="250" w:lineRule="auto"/>
      </w:pPr>
      <w:r>
        <w:rPr>
          <w:rFonts w:ascii="Arial" w:hAnsi="Arial" w:eastAsia="Arial"/>
          <w:b w:val="0"/>
          <w:i w:val="0"/>
          <w:color w:val="243447"/>
          <w:sz w:val="18"/>
        </w:rPr>
        <w:t>CTA Law &amp; Ethics Curriculum Standards v3.1 — rapid review, common exam traps, top concepts, memory aids, and quick-review charts.</w:t>
      </w:r>
    </w:p>
    <w:p>
      <w:pPr>
        <w:pStyle w:val="ListBullet"/>
        <w:spacing w:before="0" w:after="40" w:line="250" w:lineRule="auto"/>
      </w:pPr>
      <w:r>
        <w:rPr>
          <w:rFonts w:ascii="Arial" w:hAnsi="Arial" w:eastAsia="Arial"/>
          <w:b w:val="0"/>
          <w:i w:val="0"/>
          <w:color w:val="243447"/>
          <w:sz w:val="18"/>
        </w:rPr>
        <w:t>Licensed Marriage and Family Therapist Law and Ethics Examination Outline, effective January 2024 — Law 44% and Ethics 56%.</w:t>
      </w:r>
    </w:p>
    <w:p>
      <w:pPr>
        <w:pStyle w:val="ListBullet"/>
        <w:spacing w:before="0" w:after="40" w:line="250" w:lineRule="auto"/>
      </w:pPr>
      <w:r>
        <w:rPr>
          <w:rFonts w:ascii="Arial" w:hAnsi="Arial" w:eastAsia="Arial"/>
          <w:b w:val="0"/>
          <w:i w:val="0"/>
          <w:color w:val="243447"/>
          <w:sz w:val="18"/>
        </w:rPr>
        <w:t>CTA California Law &amp; Ethics Exam Preparation Program workbooks and approved review architecture.</w:t>
      </w:r>
    </w:p>
    <w:tbl>
      <w:tblPr>
        <w:tblW w:type="dxa" w:w="10080"/>
        <w:jc w:val="center"/>
        <w:tblLayout w:type="fixed"/>
        <w:tblLook w:firstColumn="1" w:firstRow="1" w:lastColumn="0" w:lastRow="0" w:noHBand="0" w:noVBand="1" w:val="04A0"/>
        <w:tblInd w:type="dxa" w:w="0"/>
      </w:tblPr>
      <w:tblGrid>
        <w:gridCol w:w="3068"/>
        <w:gridCol w:w="7012"/>
      </w:tblGrid>
      <w:tr>
        <w:tc>
          <w:tcPr>
            <w:tcW w:type="dxa" w:w="3068"/>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Field</w:t>
            </w:r>
          </w:p>
        </w:tc>
        <w:tc>
          <w:tcPr>
            <w:tcW w:type="dxa" w:w="7012"/>
            <w:shd w:fill="17325C"/>
            <w:tcBorders>
              <w:top w:val="single" w:sz="6" w:color="17325C"/>
              <w:left w:val="single" w:sz="6" w:color="17325C"/>
              <w:bottom w:val="single" w:sz="6" w:color="17325C"/>
              <w:right w:val="single" w:sz="6" w:color="17325C"/>
            </w:tcBorders>
            <w:tcMar>
              <w:top w:w="75" w:type="dxa"/>
              <w:start w:w="85" w:type="dxa"/>
              <w:bottom w:w="75" w:type="dxa"/>
              <w:end w:w="85" w:type="dxa"/>
            </w:tcMar>
            <w:vAlign w:val="center"/>
          </w:tcPr>
          <w:p>
            <w:pPr>
              <w:spacing w:before="0" w:after="0" w:line="240" w:lineRule="auto"/>
              <w:jc w:val="center"/>
            </w:pPr>
            <w:r>
              <w:rPr>
                <w:rFonts w:ascii="Arial" w:hAnsi="Arial" w:eastAsia="Arial"/>
                <w:b/>
                <w:i w:val="0"/>
                <w:color w:val="FFFFFF"/>
                <w:sz w:val="18"/>
              </w:rPr>
              <w:t>Entry</w:t>
            </w:r>
          </w:p>
        </w:tc>
        <w:trPr>
          <w:tblHeader/>
        </w:trPr>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Document title</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 LE LMFT 45-Chapter Exam Traps and Correction Rules Toolkit</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Program code</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CTA-EP-001</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Version</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1.1</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Release month</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August 2026</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Source accuracy</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Flashcard library July 2026; official outline effective January 2024</w:t>
            </w:r>
          </w:p>
        </w:tc>
      </w:tr>
      <w:tr>
        <w:tc>
          <w:tcPr>
            <w:tcW w:type="dxa" w:w="3068"/>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Classification</w:t>
            </w:r>
          </w:p>
        </w:tc>
        <w:tc>
          <w:tcPr>
            <w:tcW w:type="dxa" w:w="7012"/>
            <w:shd w:fill="F3F5F7"/>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Learner-facing printable bonus resource; exam preparation only; no CE credit</w:t>
            </w:r>
          </w:p>
        </w:tc>
      </w:tr>
      <w:tr>
        <w:tc>
          <w:tcPr>
            <w:tcW w:type="dxa" w:w="3068"/>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Next review</w:t>
            </w:r>
          </w:p>
        </w:tc>
        <w:tc>
          <w:tcPr>
            <w:tcW w:type="dxa" w:w="7012"/>
            <w:shd w:fill="FFFFFF"/>
            <w:tcBorders>
              <w:top w:val="single" w:sz="4" w:color="C9D2DC"/>
              <w:left w:val="single" w:sz="4" w:color="C9D2DC"/>
              <w:bottom w:val="single" w:sz="4" w:color="C9D2DC"/>
              <w:right w:val="single" w:sz="4" w:color="C9D2DC"/>
            </w:tcBorders>
            <w:tcMar>
              <w:top w:w="75" w:type="dxa"/>
              <w:start w:w="85" w:type="dxa"/>
              <w:bottom w:w="75" w:type="dxa"/>
              <w:end w:w="85" w:type="dxa"/>
            </w:tcMar>
            <w:vAlign w:val="top"/>
          </w:tcPr>
          <w:p>
            <w:pPr>
              <w:spacing w:before="0" w:after="0" w:line="245" w:lineRule="auto"/>
            </w:pPr>
            <w:r>
              <w:rPr>
                <w:rFonts w:ascii="Arial" w:hAnsi="Arial" w:eastAsia="Arial"/>
                <w:b w:val="0"/>
                <w:i w:val="0"/>
                <w:color w:val="243447"/>
                <w:sz w:val="18"/>
              </w:rPr>
              <w:t>At program legal/regulatory update, flashcard revision, blueprint change, or annual review</w:t>
            </w:r>
          </w:p>
        </w:tc>
      </w:tr>
    </w:tbl>
    <w:sectPr w:rsidR="00FC693F" w:rsidRPr="0006063C" w:rsidSect="00034616">
      <w:headerReference w:type="default" r:id="rId9"/>
      <w:footerReference w:type="default" r:id="rId10"/>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57487"/>
        <w:sz w:val="16"/>
      </w:rPr>
      <w:t xml:space="preserve">CTA California Law &amp; Ethics Exam Preparation Program  |  Exam Traps &amp; Correction Rules  |  Version 1.1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2" w:color="159A9C"/>
      </w:pBdr>
    </w:pPr>
    <w:r>
      <w:drawing>
        <wp:inline xmlns:a="http://schemas.openxmlformats.org/drawingml/2006/main" xmlns:pic="http://schemas.openxmlformats.org/drawingml/2006/picture">
          <wp:extent cx="1965960" cy="1352248"/>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965960" cy="13522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LE LMFT 45-Chapter Exam Traps and Correction Rules Toolkit v1.1</dc:title>
  <dc:subject>Corrected ruler-width table layout; content unchanged</dc:subject>
  <dc:creator>Clinical Training and Supervision Academy</dc:creator>
  <cp:keywords>LMFT, California Law and Ethics, BBS exam, exam traps, rapid review, remediation</cp:keywords>
  <dc:description>Version 1.1 supersedes Version 1.0. Tables corrected to fit within the Word ruler/text area.</dc:description>
  <cp:lastModifiedBy/>
  <cp:revision>1</cp:revision>
  <dcterms:created xsi:type="dcterms:W3CDTF">2013-12-23T23:15:00Z</dcterms:created>
  <dcterms:modified xsi:type="dcterms:W3CDTF">2013-12-23T23:15:00Z</dcterms:modified>
  <cp:category/>
</cp:coreProperties>
</file>