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drawing>
          <wp:inline xmlns:a="http://schemas.openxmlformats.org/drawingml/2006/main" xmlns:pic="http://schemas.openxmlformats.org/drawingml/2006/picture">
            <wp:extent cx="4206240" cy="2893181"/>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4206240" cy="2893181"/>
                    </a:xfrm>
                    <a:prstGeom prst="rect"/>
                  </pic:spPr>
                </pic:pic>
              </a:graphicData>
            </a:graphic>
          </wp:inline>
        </w:drawing>
      </w:r>
    </w:p>
    <w:p>
      <w:pPr>
        <w:spacing w:before="560"/>
        <w:jc w:val="center"/>
      </w:pPr>
      <w:r>
        <w:rPr>
          <w:rFonts w:ascii="Arial" w:hAnsi="Arial"/>
          <w:b/>
          <w:color w:val="17365D"/>
          <w:sz w:val="34"/>
        </w:rPr>
        <w:t>LMFT CALIFORNIA LAW &amp; ETHICS EXAM</w:t>
      </w:r>
    </w:p>
    <w:p>
      <w:pPr>
        <w:jc w:val="center"/>
      </w:pPr>
      <w:r>
        <w:rPr>
          <w:rFonts w:ascii="Arial" w:hAnsi="Arial"/>
          <w:b/>
          <w:color w:val="1F9E9C"/>
          <w:sz w:val="40"/>
        </w:rPr>
        <w:t>EXAM STRATEGY &amp; STUDY PLANNING TOOLKIT</w:t>
      </w:r>
    </w:p>
    <w:p>
      <w:pPr>
        <w:spacing w:before="160"/>
        <w:jc w:val="center"/>
      </w:pPr>
      <w:r>
        <w:rPr>
          <w:rFonts w:ascii="Arial" w:hAnsi="Arial"/>
          <w:color w:val="243447"/>
          <w:sz w:val="24"/>
        </w:rPr>
        <w:t>Printable Learner Resource | Version 1.1 | August 2026</w:t>
      </w:r>
    </w:p>
    <w:tbl>
      <w:tblPr>
        <w:tblW w:type="dxa" w:w="10080"/>
        <w:tblLayout w:type="fixed"/>
        <w:tblLook w:firstColumn="1" w:firstRow="1" w:lastColumn="0" w:lastRow="0" w:noHBand="0" w:noVBand="1" w:val="04A0"/>
        <w:jc w:val="left"/>
        <w:tblInd w:w="0" w:type="dxa"/>
      </w:tblPr>
      <w:tblGrid>
        <w:gridCol w:w="10080"/>
      </w:tblGrid>
      <w:tr>
        <w:tc>
          <w:tcPr>
            <w:tcW w:type="dxa" w:w="10080"/>
            <w:shd w:fill="E8F6F6"/>
            <w:tcMar>
              <w:top w:w="120" w:type="dxa"/>
              <w:start w:w="110" w:type="dxa"/>
              <w:bottom w:w="120" w:type="dxa"/>
              <w:end w:w="110" w:type="dxa"/>
            </w:tcMar>
          </w:tcPr>
          <w:p>
            <w:pPr>
              <w:spacing w:after="60"/>
            </w:pPr>
            <w:r>
              <w:rPr>
                <w:rFonts w:ascii="Arial" w:hAnsi="Arial"/>
                <w:b/>
                <w:color w:val="17365D"/>
                <w:sz w:val="21"/>
              </w:rPr>
              <w:t>Purpose</w:t>
            </w:r>
          </w:p>
          <w:p>
            <w:pPr>
              <w:spacing w:after="0"/>
            </w:pPr>
            <w:r>
              <w:rPr>
                <w:rFonts w:ascii="Arial" w:hAnsi="Arial"/>
                <w:color w:val="243447"/>
                <w:sz w:val="20"/>
              </w:rPr>
              <w:t>Use this toolkit to organize study time, analyze exam questions, identify recurring error patterns, and convert practice-test results into a targeted review plan. It supports preparation for the LMFT California Law and Ethics Examination and does not provide continuing education credit.</w:t>
            </w:r>
          </w:p>
        </w:tc>
        <w:trPr>
          <w:tblHeader/>
        </w:trPr>
      </w:tr>
    </w:tbl>
    <w:p>
      <w:pPr>
        <w:spacing w:after="0"/>
      </w:pPr>
    </w:p>
    <w:p>
      <w:pPr>
        <w:spacing w:before="160"/>
        <w:jc w:val="center"/>
      </w:pPr>
      <w:r>
        <w:rPr>
          <w:rFonts w:ascii="Arial" w:hAnsi="Arial"/>
          <w:b/>
          <w:i/>
          <w:color w:val="17365D"/>
          <w:sz w:val="24"/>
        </w:rPr>
        <w:t>Teaching Clinicians How to Think.</w:t>
      </w:r>
    </w:p>
    <w:p>
      <w:pPr>
        <w:jc w:val="center"/>
      </w:pPr>
      <w:r>
        <w:rPr>
          <w:rFonts w:ascii="Arial" w:hAnsi="Arial"/>
          <w:color w:val="1F9E9C"/>
          <w:sz w:val="20"/>
        </w:rPr>
        <w:t>Educating Clinicians. Strengthening Practice.</w:t>
      </w:r>
    </w:p>
    <w:p>
      <w:r>
        <w:br w:type="page"/>
      </w:r>
    </w:p>
    <w:p>
      <w:pPr>
        <w:pStyle w:val="Heading1"/>
        <w:keepNext/>
        <w:spacing w:before="160" w:after="100"/>
      </w:pPr>
      <w:r>
        <w:rPr>
          <w:rFonts w:ascii="Arial" w:hAnsi="Arial"/>
          <w:b/>
          <w:color w:val="17365D"/>
        </w:rPr>
        <w:t>How to Use This Toolkit</w:t>
      </w:r>
    </w:p>
    <w:p>
      <w:pPr>
        <w:spacing w:after="80" w:line="252" w:lineRule="auto"/>
      </w:pPr>
      <w:r>
        <w:rPr>
          <w:rFonts w:ascii="Arial" w:hAnsi="Arial"/>
          <w:i w:val="0"/>
          <w:sz w:val="21"/>
        </w:rPr>
        <w:t>This toolkit is designed to be printed and written on. Complete the blueprint and baseline pages before beginning a major study cycle. Use the question-analysis pages during practice, and update the error tracker after every chapter test, practice examination, or comprehensive final examination.</w:t>
      </w:r>
    </w:p>
    <w:p>
      <w:pPr>
        <w:pStyle w:val="ListBullet"/>
        <w:spacing w:after="40"/>
        <w:ind w:left="360" w:hanging="216"/>
      </w:pPr>
      <w:r>
        <w:rPr>
          <w:rFonts w:ascii="Arial" w:hAnsi="Arial"/>
          <w:sz w:val="20"/>
        </w:rPr>
        <w:t>Use the exam blueprint to distribute study time according to the official LMFT examination content outline.</w:t>
      </w:r>
    </w:p>
    <w:p>
      <w:pPr>
        <w:pStyle w:val="ListBullet"/>
        <w:spacing w:after="40"/>
        <w:ind w:left="360" w:hanging="216"/>
      </w:pPr>
      <w:r>
        <w:rPr>
          <w:rFonts w:ascii="Arial" w:hAnsi="Arial"/>
          <w:sz w:val="20"/>
        </w:rPr>
        <w:t>Use the qualifier and sequence tools before choosing an answer.</w:t>
      </w:r>
    </w:p>
    <w:p>
      <w:pPr>
        <w:pStyle w:val="ListBullet"/>
        <w:spacing w:after="40"/>
        <w:ind w:left="360" w:hanging="216"/>
      </w:pPr>
      <w:r>
        <w:rPr>
          <w:rFonts w:ascii="Arial" w:hAnsi="Arial"/>
          <w:sz w:val="20"/>
        </w:rPr>
        <w:t>Record why a missed answer was weaker rather than merely writing down the correct letter.</w:t>
      </w:r>
    </w:p>
    <w:p>
      <w:pPr>
        <w:pStyle w:val="ListBullet"/>
        <w:spacing w:after="40"/>
        <w:ind w:left="360" w:hanging="216"/>
      </w:pPr>
      <w:r>
        <w:rPr>
          <w:rFonts w:ascii="Arial" w:hAnsi="Arial"/>
          <w:sz w:val="20"/>
        </w:rPr>
        <w:t>Return to the exact CTA workbook and chapter identified in your rationale or remediation guide.</w:t>
      </w:r>
    </w:p>
    <w:p>
      <w:pPr>
        <w:pStyle w:val="ListBullet"/>
        <w:spacing w:after="40"/>
        <w:ind w:left="360" w:hanging="216"/>
      </w:pPr>
      <w:r>
        <w:rPr>
          <w:rFonts w:ascii="Arial" w:hAnsi="Arial"/>
          <w:sz w:val="20"/>
        </w:rPr>
        <w:t>Repeat difficult concepts in a new scenario so that you learn the rule rather than memorize the original question.</w:t>
      </w:r>
    </w:p>
    <w:tbl>
      <w:tblPr>
        <w:tblW w:type="dxa" w:w="10080"/>
        <w:tblLayout w:type="fixed"/>
        <w:tblLook w:firstColumn="1" w:firstRow="1" w:lastColumn="0" w:lastRow="0" w:noHBand="0" w:noVBand="1" w:val="04A0"/>
        <w:jc w:val="left"/>
        <w:tblInd w:w="0" w:type="dxa"/>
      </w:tblPr>
      <w:tblGrid>
        <w:gridCol w:w="10080"/>
      </w:tblGrid>
      <w:tr>
        <w:tc>
          <w:tcPr>
            <w:tcW w:type="dxa" w:w="10080"/>
            <w:shd w:fill="EEF3F8"/>
            <w:tcMar>
              <w:top w:w="120" w:type="dxa"/>
              <w:start w:w="110" w:type="dxa"/>
              <w:bottom w:w="120" w:type="dxa"/>
              <w:end w:w="110" w:type="dxa"/>
            </w:tcMar>
          </w:tcPr>
          <w:p>
            <w:pPr>
              <w:spacing w:after="60"/>
            </w:pPr>
            <w:r>
              <w:rPr>
                <w:rFonts w:ascii="Arial" w:hAnsi="Arial"/>
                <w:b/>
                <w:color w:val="17365D"/>
                <w:sz w:val="21"/>
              </w:rPr>
              <w:t>Important Notice</w:t>
            </w:r>
          </w:p>
          <w:p>
            <w:pPr>
              <w:spacing w:after="0"/>
            </w:pPr>
            <w:r>
              <w:rPr>
                <w:rFonts w:ascii="Arial" w:hAnsi="Arial"/>
                <w:color w:val="243447"/>
                <w:sz w:val="20"/>
              </w:rPr>
              <w:t>This is an independent CTA educational resource. It is not an official BBS or Pearson VUE examination, does not guarantee passage, and does not determine examination eligibility. Official requirements and examination materials may change; candidates should review the current official BBS and Pearson VUE resources before testing.</w:t>
            </w:r>
          </w:p>
        </w:tc>
        <w:trPr>
          <w:tblHeader/>
        </w:trPr>
      </w:tr>
    </w:tbl>
    <w:p>
      <w:pPr>
        <w:spacing w:after="0"/>
      </w:pPr>
    </w:p>
    <w:p>
      <w:pPr>
        <w:pStyle w:val="Heading2"/>
        <w:keepNext/>
        <w:spacing w:before="100" w:after="100"/>
      </w:pPr>
      <w:r>
        <w:rPr>
          <w:rFonts w:ascii="Arial" w:hAnsi="Arial"/>
          <w:b/>
          <w:color w:val="1F9E9C"/>
        </w:rPr>
        <w:t>Toolkit Contents</w:t>
      </w:r>
    </w:p>
    <w:tbl>
      <w:tblPr>
        <w:tblStyle w:val="TableGrid"/>
        <w:tblW w:type="dxa" w:w="10080"/>
        <w:tblLook w:firstColumn="1" w:firstRow="1" w:lastColumn="0" w:lastRow="0" w:noHBand="0" w:noVBand="1" w:val="04A0"/>
        <w:jc w:val="left"/>
        <w:tblInd w:w="0" w:type="dxa"/>
        <w:tblLayout w:type="fixed"/>
      </w:tblPr>
      <w:tblGrid>
        <w:gridCol w:w="5040"/>
        <w:gridCol w:w="5040"/>
      </w:tblGrid>
      <w:tr>
        <w:trPr>
          <w:tblHeader w:val="true"/>
        </w:trPr>
        <w:tc>
          <w:tcPr>
            <w:tcW w:type="dxa" w:w="5040"/>
            <w:tcMar>
              <w:top w:w="80" w:type="dxa"/>
              <w:start w:w="40" w:type="dxa"/>
              <w:bottom w:w="80" w:type="dxa"/>
              <w:end w:w="40" w:type="dxa"/>
            </w:tcMar>
            <w:vAlign w:val="center"/>
            <w:shd w:fill="17365D"/>
          </w:tcPr>
          <w:p>
            <w:pPr>
              <w:spacing w:after="0"/>
              <w:jc w:val="center"/>
            </w:pPr>
            <w:r>
              <w:rPr>
                <w:rFonts w:ascii="Arial" w:hAnsi="Arial"/>
                <w:b/>
                <w:color w:val="FFFFFF"/>
                <w:sz w:val="19"/>
              </w:rPr>
            </w:r>
            <w:r>
              <w:rPr>
                <w:rFonts w:ascii="Arial" w:hAnsi="Arial"/>
                <w:b/>
                <w:color w:val="FFFFFF"/>
                <w:sz w:val="19"/>
              </w:rPr>
              <w:t>Resource</w:t>
            </w:r>
          </w:p>
        </w:tc>
        <w:tc>
          <w:tcPr>
            <w:tcW w:type="dxa" w:w="5040"/>
            <w:tcMar>
              <w:top w:w="80" w:type="dxa"/>
              <w:start w:w="40" w:type="dxa"/>
              <w:bottom w:w="80" w:type="dxa"/>
              <w:end w:w="40" w:type="dxa"/>
            </w:tcMar>
            <w:vAlign w:val="center"/>
            <w:shd w:fill="17365D"/>
          </w:tcPr>
          <w:p>
            <w:pPr>
              <w:spacing w:after="0"/>
              <w:jc w:val="left"/>
            </w:pPr>
            <w:r>
              <w:rPr>
                <w:rFonts w:ascii="Arial" w:hAnsi="Arial"/>
                <w:b/>
                <w:color w:val="FFFFFF"/>
                <w:sz w:val="19"/>
              </w:rPr>
            </w:r>
            <w:r>
              <w:rPr>
                <w:rFonts w:ascii="Arial" w:hAnsi="Arial"/>
                <w:b/>
                <w:color w:val="FFFFFF"/>
                <w:sz w:val="19"/>
              </w:rPr>
              <w:t>Purpose</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1</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Official Blueprint and Weighted Study Planner</w:t>
            </w:r>
          </w:p>
        </w:tc>
      </w:tr>
      <w:tr>
        <w:tc>
          <w:tcPr>
            <w:tcW w:type="dxa" w:w="5040"/>
            <w:tcMar>
              <w:top w:w="80" w:type="dxa"/>
              <w:start w:w="40" w:type="dxa"/>
              <w:bottom w:w="80" w:type="dxa"/>
              <w:end w:w="40" w:type="dxa"/>
            </w:tcMar>
            <w:vAlign w:val="center"/>
            <w:shd w:fill="F2F4F7"/>
          </w:tcPr>
          <w:p>
            <w:pPr>
              <w:spacing w:after="0"/>
              <w:jc w:val="center"/>
            </w:pPr>
            <w:r>
              <w:rPr>
                <w:rFonts w:ascii="Arial" w:hAnsi="Arial"/>
                <w:color w:val="243447"/>
                <w:sz w:val="19"/>
              </w:rPr>
            </w:r>
            <w:r>
              <w:rPr>
                <w:rFonts w:ascii="Arial" w:hAnsi="Arial"/>
                <w:b/>
                <w:color w:val="243447"/>
                <w:sz w:val="19"/>
              </w:rPr>
              <w:t>2</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9"/>
              </w:rPr>
            </w:r>
            <w:r>
              <w:rPr>
                <w:rFonts w:ascii="Arial" w:hAnsi="Arial"/>
                <w:b w:val="0"/>
                <w:color w:val="243447"/>
                <w:sz w:val="19"/>
              </w:rPr>
              <w:t>Four-Lens Question Analysis Framework</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3</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Qualifier and Sequence Guide</w:t>
            </w:r>
          </w:p>
        </w:tc>
      </w:tr>
      <w:tr>
        <w:tc>
          <w:tcPr>
            <w:tcW w:type="dxa" w:w="5040"/>
            <w:tcMar>
              <w:top w:w="80" w:type="dxa"/>
              <w:start w:w="40" w:type="dxa"/>
              <w:bottom w:w="80" w:type="dxa"/>
              <w:end w:w="40" w:type="dxa"/>
            </w:tcMar>
            <w:vAlign w:val="center"/>
            <w:shd w:fill="F2F4F7"/>
          </w:tcPr>
          <w:p>
            <w:pPr>
              <w:spacing w:after="0"/>
              <w:jc w:val="center"/>
            </w:pPr>
            <w:r>
              <w:rPr>
                <w:rFonts w:ascii="Arial" w:hAnsi="Arial"/>
                <w:color w:val="243447"/>
                <w:sz w:val="19"/>
              </w:rPr>
            </w:r>
            <w:r>
              <w:rPr>
                <w:rFonts w:ascii="Arial" w:hAnsi="Arial"/>
                <w:b/>
                <w:color w:val="243447"/>
                <w:sz w:val="19"/>
              </w:rPr>
              <w:t>4</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9"/>
              </w:rPr>
            </w:r>
            <w:r>
              <w:rPr>
                <w:rFonts w:ascii="Arial" w:hAnsi="Arial"/>
                <w:b w:val="0"/>
                <w:color w:val="243447"/>
                <w:sz w:val="19"/>
              </w:rPr>
              <w:t>Distractor Elimination Checklist</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5</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Practice-Question Debrief Worksheet</w:t>
            </w:r>
          </w:p>
        </w:tc>
      </w:tr>
      <w:tr>
        <w:tc>
          <w:tcPr>
            <w:tcW w:type="dxa" w:w="5040"/>
            <w:tcMar>
              <w:top w:w="80" w:type="dxa"/>
              <w:start w:w="40" w:type="dxa"/>
              <w:bottom w:w="80" w:type="dxa"/>
              <w:end w:w="40" w:type="dxa"/>
            </w:tcMar>
            <w:vAlign w:val="center"/>
            <w:shd w:fill="F2F4F7"/>
          </w:tcPr>
          <w:p>
            <w:pPr>
              <w:spacing w:after="0"/>
              <w:jc w:val="center"/>
            </w:pPr>
            <w:r>
              <w:rPr>
                <w:rFonts w:ascii="Arial" w:hAnsi="Arial"/>
                <w:color w:val="243447"/>
                <w:sz w:val="19"/>
              </w:rPr>
            </w:r>
            <w:r>
              <w:rPr>
                <w:rFonts w:ascii="Arial" w:hAnsi="Arial"/>
                <w:b/>
                <w:color w:val="243447"/>
                <w:sz w:val="19"/>
              </w:rPr>
              <w:t>6</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9"/>
              </w:rPr>
            </w:r>
            <w:r>
              <w:rPr>
                <w:rFonts w:ascii="Arial" w:hAnsi="Arial"/>
                <w:b w:val="0"/>
                <w:color w:val="243447"/>
                <w:sz w:val="19"/>
              </w:rPr>
              <w:t>Error Pattern Tracker and Remediation Codes</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7</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Fourteen-Day Weighted Study Plan</w:t>
            </w:r>
          </w:p>
        </w:tc>
      </w:tr>
      <w:tr>
        <w:tc>
          <w:tcPr>
            <w:tcW w:type="dxa" w:w="5040"/>
            <w:tcMar>
              <w:top w:w="80" w:type="dxa"/>
              <w:start w:w="40" w:type="dxa"/>
              <w:bottom w:w="80" w:type="dxa"/>
              <w:end w:w="40" w:type="dxa"/>
            </w:tcMar>
            <w:vAlign w:val="center"/>
            <w:shd w:fill="F2F4F7"/>
          </w:tcPr>
          <w:p>
            <w:pPr>
              <w:spacing w:after="0"/>
              <w:jc w:val="center"/>
            </w:pPr>
            <w:r>
              <w:rPr>
                <w:rFonts w:ascii="Arial" w:hAnsi="Arial"/>
                <w:color w:val="243447"/>
                <w:sz w:val="19"/>
              </w:rPr>
            </w:r>
            <w:r>
              <w:rPr>
                <w:rFonts w:ascii="Arial" w:hAnsi="Arial"/>
                <w:b/>
                <w:color w:val="243447"/>
                <w:sz w:val="19"/>
              </w:rPr>
              <w:t>8</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9"/>
              </w:rPr>
            </w:r>
            <w:r>
              <w:rPr>
                <w:rFonts w:ascii="Arial" w:hAnsi="Arial"/>
                <w:b w:val="0"/>
                <w:color w:val="243447"/>
                <w:sz w:val="19"/>
              </w:rPr>
              <w:t>Seven-Day Final Review Plan</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9</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Readiness Dashboard and Exam-Day Plan</w:t>
            </w:r>
          </w:p>
        </w:tc>
      </w:tr>
    </w:tbl>
    <w:p>
      <w:r>
        <w:br w:type="page"/>
      </w:r>
    </w:p>
    <w:p>
      <w:pPr>
        <w:pStyle w:val="Heading1"/>
        <w:keepNext/>
        <w:spacing w:before="160" w:after="100"/>
      </w:pPr>
      <w:r>
        <w:rPr>
          <w:rFonts w:ascii="Arial" w:hAnsi="Arial"/>
          <w:b/>
          <w:color w:val="17365D"/>
        </w:rPr>
        <w:t>1. Official Blueprint and Weighted Study Planner</w:t>
      </w:r>
    </w:p>
    <w:p>
      <w:pPr>
        <w:spacing w:after="80" w:line="252" w:lineRule="auto"/>
      </w:pPr>
      <w:r>
        <w:rPr>
          <w:rFonts w:ascii="Arial" w:hAnsi="Arial"/>
          <w:i w:val="0"/>
          <w:sz w:val="21"/>
        </w:rPr>
        <w:t>The official LMFT California Law and Ethics Examination outline assigns 44% of the examination to Law and 56% to Ethics. The six content sections below total 100%. Use the same proportions when planning study time, while giving additional attention to areas identified by your own performance data.</w:t>
      </w:r>
    </w:p>
    <w:tbl>
      <w:tblPr>
        <w:tblStyle w:val="TableGrid"/>
        <w:tblW w:type="dxa" w:w="10080"/>
        <w:tblLook w:firstColumn="1" w:firstRow="1" w:lastColumn="0" w:lastRow="0" w:noHBand="0" w:noVBand="1" w:val="04A0"/>
        <w:jc w:val="left"/>
        <w:tblInd w:w="0" w:type="dxa"/>
        <w:tblLayout w:type="fixed"/>
      </w:tblPr>
      <w:tblGrid>
        <w:gridCol w:w="2520"/>
        <w:gridCol w:w="2520"/>
        <w:gridCol w:w="2520"/>
        <w:gridCol w:w="2520"/>
      </w:tblGrid>
      <w:tr>
        <w:trPr>
          <w:tblHeader w:val="true"/>
        </w:trPr>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Domain</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Official Section</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Weight</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High-Level Coverage</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LAW</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1A. Consent, Confidentiality, and Privilege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Informed consent; minors; confidentiality; privilege; records; subpoenas/court orders; telehealth; HIPAA</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LAW</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1B. Limits to Confidentiality and Mandated Reporting</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Child, elder, and dependent-adult reporting; danger to self/others; grave disability; privilege exceptions</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LAW</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1C. Legal Standards for Professional Practice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12%</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Scope; conduct; sexual behavior; records; advertising; fees; referrals; third-party payors</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ETHICS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2A. Professional Competence and Integrity</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Competence; cultural humility; conflicts; boundaries; personal values; impairment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ETHICS</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2B. Responsibility to Clients and Counseling Relationships</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24%</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Consent; autonomy; client welfare; confidentiality; crisis; advocacy; collaboration; referral; continuity; termination</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ETHICS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2C. Practice Policies and Professional Responsibilities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Technology; financial policies; gifts; advertising; records; roles; evaluation/research; colleague conduct; supervision</w:t>
            </w:r>
          </w:p>
        </w:tc>
      </w:tr>
    </w:tbl>
    <w:p>
      <w:pPr>
        <w:pStyle w:val="Heading2"/>
        <w:keepNext/>
        <w:spacing w:before="100" w:after="100"/>
      </w:pPr>
      <w:r>
        <w:rPr>
          <w:rFonts w:ascii="Arial" w:hAnsi="Arial"/>
          <w:b/>
          <w:color w:val="1F9E9C"/>
        </w:rPr>
        <w:t>Weighted Study-Time Conversion</w:t>
      </w:r>
    </w:p>
    <w:p>
      <w:pPr>
        <w:spacing w:after="80" w:line="252" w:lineRule="auto"/>
      </w:pPr>
      <w:r>
        <w:rPr>
          <w:rFonts w:ascii="Arial" w:hAnsi="Arial"/>
          <w:i w:val="0"/>
          <w:sz w:val="21"/>
        </w:rPr>
        <w:t>Multiply your total planned study time by each section weight. Example: a 10-hour review cycle becomes 1.6 hours, 1.6 hours, 1.2 hours, 1.6 hours, 2.4 hours, and 1.6 hours across the six sections.</w:t>
      </w:r>
    </w:p>
    <w:tbl>
      <w:tblPr>
        <w:tblStyle w:val="TableGrid"/>
        <w:tblW w:type="dxa" w:w="10080"/>
        <w:tblLook w:firstColumn="1" w:firstRow="1" w:lastColumn="0" w:lastRow="0" w:noHBand="0" w:noVBand="1" w:val="04A0"/>
        <w:jc w:val="left"/>
        <w:tblInd w:w="0" w:type="dxa"/>
        <w:tblLayout w:type="fixed"/>
      </w:tblPr>
      <w:tblGrid>
        <w:gridCol w:w="2520"/>
        <w:gridCol w:w="2520"/>
        <w:gridCol w:w="2520"/>
        <w:gridCol w:w="2520"/>
      </w:tblGrid>
      <w:tr>
        <w:trPr>
          <w:tblHeader w:val="true"/>
        </w:trPr>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Section</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Official Weight</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My Planned Minutes</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My Priority Adjustment</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1A. Consent, Confidentiality, and Privilege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1B. Limits to Confidentiality and Mandated Reporting</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1C. Legal Standards for Professional Practice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12%</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2A. Professional Competence and Integrity</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2B. Responsibility to Clients and Counseling Relationships</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24%</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2C. Practice Policies and Professional Responsibilities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Low / Medium / High</w:t>
            </w:r>
          </w:p>
        </w:tc>
      </w:tr>
    </w:tbl>
    <w:p>
      <w:pPr>
        <w:pStyle w:val="Heading2"/>
        <w:keepNext/>
        <w:spacing w:before="100" w:after="100"/>
      </w:pPr>
      <w:r>
        <w:rPr>
          <w:rFonts w:ascii="Arial" w:hAnsi="Arial"/>
          <w:b/>
          <w:color w:val="1F9E9C"/>
        </w:rPr>
        <w:t>Baseline Priorities</w:t>
      </w:r>
    </w:p>
    <w:p>
      <w:pPr>
        <w:spacing w:after="80" w:line="252" w:lineRule="auto"/>
      </w:pPr>
      <w:r>
        <w:rPr>
          <w:rFonts w:ascii="Arial" w:hAnsi="Arial"/>
          <w:i w:val="0"/>
          <w:sz w:val="21"/>
        </w:rPr>
        <w:t>My three strongest sections:</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i w:val="0"/>
          <w:sz w:val="21"/>
        </w:rPr>
        <w:t>My three highest-priority sections:</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i w:val="0"/>
          <w:sz w:val="21"/>
        </w:rPr>
        <w:t>The evidence supporting these priorities is:</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r>
        <w:br w:type="page"/>
      </w:r>
    </w:p>
    <w:p>
      <w:pPr>
        <w:pStyle w:val="Heading1"/>
        <w:keepNext/>
        <w:spacing w:before="160" w:after="100"/>
      </w:pPr>
      <w:r>
        <w:rPr>
          <w:rFonts w:ascii="Arial" w:hAnsi="Arial"/>
          <w:b/>
          <w:color w:val="17365D"/>
        </w:rPr>
        <w:t>2. Four-Lens Question Analysis Framework</w:t>
      </w:r>
    </w:p>
    <w:p>
      <w:pPr>
        <w:spacing w:after="80" w:line="252" w:lineRule="auto"/>
      </w:pPr>
      <w:r>
        <w:rPr>
          <w:rFonts w:ascii="Arial" w:hAnsi="Arial"/>
          <w:i w:val="0"/>
          <w:sz w:val="21"/>
        </w:rPr>
        <w:t>Before comparing answer choices, identify what the question is actually testing. Use the four lenses below in order. The strongest answer usually addresses the controlling issue without adding unnecessary disclosure, punishment, delay, or role confusion.</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Lens</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Question to Ask</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How It Changes the Answer</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1. AUTHORITY</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What governs?</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Law, regulation, ethical standard, client right, role, court authority, or organizational rule. Do not let a workplace policy override a controlling legal or ethical duty.</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2. CLIENT WELFARE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Who or what needs protection?</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Safety, autonomy, privacy, dignity, continuity, informed choice, access to care, or avoidance of exploitation.</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3. TIMING</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What must happen first or next?</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Assess before acting when facts are incomplete; act promptly when a reporting or safety threshold is met; do not jump to a later step.</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4. SCOPE &amp; ROLE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What is the clinician actually authorized and competent to do?</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Therapist versus investigator, reporter, evaluator, supervisor, advocate, or witness. Select an action consistent with the role.</w:t>
            </w:r>
          </w:p>
        </w:tc>
      </w:tr>
    </w:tbl>
    <w:p>
      <w:pPr>
        <w:pStyle w:val="Heading2"/>
        <w:keepNext/>
        <w:spacing w:before="100" w:after="100"/>
      </w:pPr>
      <w:r>
        <w:rPr>
          <w:rFonts w:ascii="Arial" w:hAnsi="Arial"/>
          <w:b/>
          <w:color w:val="1F9E9C"/>
        </w:rPr>
        <w:t>Rapid Analysis Box</w:t>
      </w:r>
    </w:p>
    <w:p>
      <w:pPr>
        <w:spacing w:after="80" w:line="252" w:lineRule="auto"/>
      </w:pPr>
      <w:r>
        <w:rPr>
          <w:rFonts w:ascii="Arial" w:hAnsi="Arial"/>
          <w:b/>
          <w:sz w:val="21"/>
        </w:rPr>
        <w:t>Controlling authority or principle: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Primary client-welfare concern:</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Required timing or sequence: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Clinician role and limit:</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Best answer after applying all four lenses:</w:t>
      </w:r>
      <w:r>
        <w:rPr>
          <w:rFonts w:ascii="Arial" w:hAnsi="Arial"/>
          <w:i w:val="0"/>
          <w:sz w:val="21"/>
        </w:rPr>
      </w:r>
    </w:p>
    <w:p>
      <w:pPr>
        <w:spacing w:after="20"/>
      </w:pPr>
      <w:r>
        <w:rPr>
          <w:rFonts w:ascii="Arial" w:hAnsi="Arial"/>
          <w:color w:val="8A97A6"/>
          <w:sz w:val="18"/>
        </w:rPr>
        <w:t>________________________________________________________________________________</w:t>
      </w:r>
    </w:p>
    <w:tbl>
      <w:tblPr>
        <w:tblW w:type="dxa" w:w="10080"/>
        <w:tblLayout w:type="fixed"/>
        <w:tblLook w:firstColumn="1" w:firstRow="1" w:lastColumn="0" w:lastRow="0" w:noHBand="0" w:noVBand="1" w:val="04A0"/>
        <w:jc w:val="left"/>
        <w:tblInd w:w="0" w:type="dxa"/>
      </w:tblPr>
      <w:tblGrid>
        <w:gridCol w:w="10080"/>
      </w:tblGrid>
      <w:tr>
        <w:tc>
          <w:tcPr>
            <w:tcW w:type="dxa" w:w="10080"/>
            <w:shd w:fill="E8F6F6"/>
            <w:tcMar>
              <w:top w:w="120" w:type="dxa"/>
              <w:start w:w="110" w:type="dxa"/>
              <w:bottom w:w="120" w:type="dxa"/>
              <w:end w:w="110" w:type="dxa"/>
            </w:tcMar>
          </w:tcPr>
          <w:p>
            <w:pPr>
              <w:spacing w:after="60"/>
            </w:pPr>
            <w:r>
              <w:rPr>
                <w:rFonts w:ascii="Arial" w:hAnsi="Arial"/>
                <w:b/>
                <w:color w:val="17365D"/>
                <w:sz w:val="21"/>
              </w:rPr>
              <w:t>CTA Exam Strategy</w:t>
            </w:r>
          </w:p>
          <w:p>
            <w:pPr>
              <w:spacing w:after="0"/>
            </w:pPr>
            <w:r>
              <w:rPr>
                <w:rFonts w:ascii="Arial" w:hAnsi="Arial"/>
                <w:color w:val="243447"/>
                <w:sz w:val="20"/>
              </w:rPr>
              <w:t>Do not begin by asking which option sounds nicest. Begin by identifying the task, the governing rule or ethical principle, and the correct sequence. Then compare the options.</w:t>
            </w:r>
          </w:p>
        </w:tc>
        <w:trPr>
          <w:tblHeader/>
        </w:trPr>
      </w:tr>
    </w:tbl>
    <w:p>
      <w:pPr>
        <w:spacing w:after="0"/>
      </w:pPr>
    </w:p>
    <w:p>
      <w:r>
        <w:br w:type="page"/>
      </w:r>
    </w:p>
    <w:p>
      <w:pPr>
        <w:pStyle w:val="Heading1"/>
        <w:keepNext/>
        <w:spacing w:before="160" w:after="100"/>
      </w:pPr>
      <w:r>
        <w:rPr>
          <w:rFonts w:ascii="Arial" w:hAnsi="Arial"/>
          <w:b/>
          <w:color w:val="17365D"/>
        </w:rPr>
        <w:t>3. Qualifier and Sequence Guide</w:t>
      </w:r>
    </w:p>
    <w:p>
      <w:pPr>
        <w:spacing w:after="80" w:line="252" w:lineRule="auto"/>
      </w:pPr>
      <w:r>
        <w:rPr>
          <w:rFonts w:ascii="Arial" w:hAnsi="Arial"/>
          <w:i w:val="0"/>
          <w:sz w:val="21"/>
        </w:rPr>
        <w:t>Qualifiers change what counts as the best answer. Circle or underline the qualifier before reading the choices.</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Qualifier</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Meaning</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Common Best-Answer Pattern</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FIRST / INITIAL</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The earliest necessary step before later action.</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Assess, clarify, verify, determine authority, identify risk, or review the request.</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NEXT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The step that follows information already provided in the stem.</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Do not repeat an assessment the question says is complete.</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BEST / MOST APPROPRIATE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The strongest overall response after balancing law, ethics, welfare, role, and timing.</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Several choices may be reasonable; select the most complete and proportionate.</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PRIMARY</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The central issue or highest-priority obligation.</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Choose the issue that controls the decision, not a secondary documentation or administrative task.</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MOST LIKELY</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The conclusion best supported by the facts.</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Avoid speculation and choose the option requiring the fewest unsupported assumptions.</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LEAST / EXCEPT / NOT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The reversed or excluded option.</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Mark the negative word and re-check before submitting.</w:t>
            </w:r>
          </w:p>
        </w:tc>
      </w:tr>
    </w:tbl>
    <w:p>
      <w:pPr>
        <w:pStyle w:val="Heading2"/>
        <w:keepNext/>
        <w:spacing w:before="100" w:after="100"/>
      </w:pPr>
      <w:r>
        <w:rPr>
          <w:rFonts w:ascii="Arial" w:hAnsi="Arial"/>
          <w:b/>
          <w:color w:val="1F9E9C"/>
        </w:rPr>
        <w:t>Sequence Ladder</w:t>
      </w:r>
    </w:p>
    <w:p>
      <w:pPr>
        <w:pStyle w:val="ListBullet"/>
        <w:spacing w:after="40"/>
        <w:ind w:left="360" w:hanging="216"/>
      </w:pPr>
      <w:r>
        <w:rPr>
          <w:rFonts w:ascii="Arial" w:hAnsi="Arial"/>
          <w:sz w:val="20"/>
        </w:rPr>
        <w:t>1. Identify immediate danger, mandatory-reporting triggers, court authority, or another nondeferrable duty.</w:t>
      </w:r>
    </w:p>
    <w:p>
      <w:pPr>
        <w:pStyle w:val="ListBullet"/>
        <w:spacing w:after="40"/>
        <w:ind w:left="360" w:hanging="216"/>
      </w:pPr>
      <w:r>
        <w:rPr>
          <w:rFonts w:ascii="Arial" w:hAnsi="Arial"/>
          <w:sz w:val="20"/>
        </w:rPr>
        <w:t>2. Clarify missing facts, authority, role, consent, privilege, location, or treatment-unit expectations.</w:t>
      </w:r>
    </w:p>
    <w:p>
      <w:pPr>
        <w:pStyle w:val="ListBullet"/>
        <w:spacing w:after="40"/>
        <w:ind w:left="360" w:hanging="216"/>
      </w:pPr>
      <w:r>
        <w:rPr>
          <w:rFonts w:ascii="Arial" w:hAnsi="Arial"/>
          <w:sz w:val="20"/>
        </w:rPr>
        <w:t>3. Consult or obtain legal/clinical support when the issue is complex and consultation does not create unsafe delay.</w:t>
      </w:r>
    </w:p>
    <w:p>
      <w:pPr>
        <w:pStyle w:val="ListBullet"/>
        <w:spacing w:after="40"/>
        <w:ind w:left="360" w:hanging="216"/>
      </w:pPr>
      <w:r>
        <w:rPr>
          <w:rFonts w:ascii="Arial" w:hAnsi="Arial"/>
          <w:sz w:val="20"/>
        </w:rPr>
        <w:t>4. Take the least intrusive effective action consistent with law, ethics, and client welfare.</w:t>
      </w:r>
    </w:p>
    <w:p>
      <w:pPr>
        <w:pStyle w:val="ListBullet"/>
        <w:spacing w:after="40"/>
        <w:ind w:left="360" w:hanging="216"/>
      </w:pPr>
      <w:r>
        <w:rPr>
          <w:rFonts w:ascii="Arial" w:hAnsi="Arial"/>
          <w:sz w:val="20"/>
        </w:rPr>
        <w:t>5. Communicate with the client when appropriate, preserve dignity and autonomy, and minimize unnecessary disclosure.</w:t>
      </w:r>
    </w:p>
    <w:p>
      <w:pPr>
        <w:pStyle w:val="ListBullet"/>
        <w:spacing w:after="40"/>
        <w:ind w:left="360" w:hanging="216"/>
      </w:pPr>
      <w:r>
        <w:rPr>
          <w:rFonts w:ascii="Arial" w:hAnsi="Arial"/>
          <w:sz w:val="20"/>
        </w:rPr>
        <w:t>6. Document the facts, reasoning, actions, consultation, and follow-up.</w:t>
      </w:r>
    </w:p>
    <w:p>
      <w:pPr>
        <w:pStyle w:val="Heading2"/>
        <w:keepNext/>
        <w:spacing w:before="100" w:after="100"/>
      </w:pPr>
      <w:r>
        <w:rPr>
          <w:rFonts w:ascii="Arial" w:hAnsi="Arial"/>
          <w:b/>
          <w:color w:val="1F9E9C"/>
        </w:rPr>
        <w:t>Qualifier Practice</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Question Qualifier</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What It Requires</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My Reminder</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________________________________</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________________________________</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r>
    </w:tbl>
    <w:p>
      <w:r>
        <w:br w:type="page"/>
      </w:r>
    </w:p>
    <w:p>
      <w:pPr>
        <w:pStyle w:val="Heading1"/>
        <w:keepNext/>
        <w:spacing w:before="160" w:after="100"/>
      </w:pPr>
      <w:r>
        <w:rPr>
          <w:rFonts w:ascii="Arial" w:hAnsi="Arial"/>
          <w:b/>
          <w:color w:val="17365D"/>
        </w:rPr>
        <w:t>4. Distractor Elimination Checklist</w:t>
      </w:r>
    </w:p>
    <w:p>
      <w:pPr>
        <w:spacing w:after="80" w:line="252" w:lineRule="auto"/>
      </w:pPr>
      <w:r>
        <w:rPr>
          <w:rFonts w:ascii="Arial" w:hAnsi="Arial"/>
          <w:i w:val="0"/>
          <w:sz w:val="21"/>
        </w:rPr>
        <w:t>Use this checklist when two or more choices appear plausible. A distractor may contain a generally true idea but apply it at the wrong time, in the wrong role, or with excessive certainty.</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7"/>
              </w:rPr>
            </w:r>
            <w:r>
              <w:rPr>
                <w:rFonts w:ascii="Arial" w:hAnsi="Arial"/>
                <w:b/>
                <w:color w:val="FFFFFF"/>
                <w:sz w:val="17"/>
              </w:rPr>
              <w:t>Check</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7"/>
              </w:rPr>
            </w:r>
            <w:r>
              <w:rPr>
                <w:rFonts w:ascii="Arial" w:hAnsi="Arial"/>
                <w:b/>
                <w:color w:val="FFFFFF"/>
                <w:sz w:val="17"/>
              </w:rPr>
              <w:t>Distractor Pattern</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7"/>
              </w:rPr>
            </w:r>
            <w:r>
              <w:rPr>
                <w:rFonts w:ascii="Arial" w:hAnsi="Arial"/>
                <w:b/>
                <w:color w:val="FFFFFF"/>
                <w:sz w:val="17"/>
              </w:rPr>
              <w:t>Question to Ask</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Absolute language</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Always, never, immediately, automatically, under all circumstances - when the governing rule is contextual.</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Premature action</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Acts before assessing missing risk, authority, consent, privilege, or the client’s wishes.</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Delayed required action</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Adds consultation, permission, or investigation when the law requires prompt reporting or safety action.</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Over-disclosure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Releases more information than authorized or necessary.</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Role confusion</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Turns the therapist into an investigator, judge, attorney, police officer, or decision-maker for a competent client.</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Punitive or shaming response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Prioritizes blame, confrontation, or discipline over client welfare and professional process.</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Administrative-first response</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Focuses on billing, paperwork, or scheduling when safety, rights, or a legal duty is primary.</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Client autonomy ignored</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Treats the therapist’s preference as controlling when the client has a meaningful choice.</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False reassurance or guarantee</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Promises confidentiality, outcomes, or legal certainty beyond what the facts support.</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Consultation as avoidance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Uses consultation to postpone an action that the clinician already has enough information and authority to take.</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Documentation-only response</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Documents a problem without addressing the actual risk, rights issue, or required action.</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Technically true but incomplete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Mentions one valid step while omitting the controlling first step or required protective action.</w:t>
            </w:r>
          </w:p>
        </w:tc>
      </w:tr>
    </w:tbl>
    <w:tbl>
      <w:tblPr>
        <w:tblW w:type="dxa" w:w="10080"/>
        <w:tblLayout w:type="fixed"/>
        <w:tblLook w:firstColumn="1" w:firstRow="1" w:lastColumn="0" w:lastRow="0" w:noHBand="0" w:noVBand="1" w:val="04A0"/>
        <w:jc w:val="left"/>
        <w:tblInd w:w="0" w:type="dxa"/>
      </w:tblPr>
      <w:tblGrid>
        <w:gridCol w:w="10080"/>
      </w:tblGrid>
      <w:tr>
        <w:tc>
          <w:tcPr>
            <w:tcW w:type="dxa" w:w="10080"/>
            <w:shd w:fill="EEF3F8"/>
            <w:tcMar>
              <w:top w:w="120" w:type="dxa"/>
              <w:start w:w="110" w:type="dxa"/>
              <w:bottom w:w="120" w:type="dxa"/>
              <w:end w:w="110" w:type="dxa"/>
            </w:tcMar>
          </w:tcPr>
          <w:p>
            <w:pPr>
              <w:spacing w:after="60"/>
            </w:pPr>
            <w:r>
              <w:rPr>
                <w:rFonts w:ascii="Arial" w:hAnsi="Arial"/>
                <w:b/>
                <w:color w:val="17365D"/>
                <w:sz w:val="21"/>
              </w:rPr>
              <w:t>Two-Choice Tie-Breaker</w:t>
            </w:r>
          </w:p>
          <w:p>
            <w:pPr>
              <w:spacing w:after="0"/>
            </w:pPr>
            <w:r>
              <w:rPr>
                <w:rFonts w:ascii="Arial" w:hAnsi="Arial"/>
                <w:color w:val="243447"/>
                <w:sz w:val="20"/>
              </w:rPr>
              <w:t>When two options remain, choose the response that best matches the qualifier, preserves client welfare and rights, stays within the clinician’s role, and uses the correct sequence with no unnecessary action.</w:t>
            </w:r>
          </w:p>
        </w:tc>
        <w:trPr>
          <w:tblHeader/>
        </w:trPr>
      </w:tr>
    </w:tbl>
    <w:p>
      <w:pPr>
        <w:spacing w:after="0"/>
      </w:pPr>
    </w:p>
    <w:p>
      <w:r>
        <w:br w:type="page"/>
      </w:r>
    </w:p>
    <w:p>
      <w:pPr>
        <w:pStyle w:val="Heading1"/>
        <w:keepNext/>
        <w:spacing w:before="160" w:after="100"/>
      </w:pPr>
      <w:r>
        <w:rPr>
          <w:rFonts w:ascii="Arial" w:hAnsi="Arial"/>
          <w:b/>
          <w:color w:val="17365D"/>
        </w:rPr>
        <w:t>5. Practice-Question Debrief Worksheet</w:t>
      </w:r>
    </w:p>
    <w:p>
      <w:pPr>
        <w:spacing w:after="80" w:line="252" w:lineRule="auto"/>
      </w:pPr>
      <w:r>
        <w:rPr>
          <w:rFonts w:ascii="Arial" w:hAnsi="Arial"/>
          <w:i w:val="0"/>
          <w:sz w:val="21"/>
        </w:rPr>
        <w:t>Complete this worksheet for missed questions and for correct answers that were guesses. The goal is to identify a transferable reasoning rule.</w:t>
      </w:r>
    </w:p>
    <w:p>
      <w:pPr>
        <w:spacing w:after="80" w:line="252" w:lineRule="auto"/>
      </w:pPr>
      <w:r>
        <w:rPr>
          <w:rFonts w:ascii="Arial" w:hAnsi="Arial"/>
          <w:b/>
          <w:sz w:val="21"/>
        </w:rPr>
        <w:t>Source / examination / question number: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Workbook and chapter: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selected answer: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Correct answer: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Qualifier in the stem:</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Controlling legal, ethical, or professional issue: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What facts made the best answer strongest?</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Why was my answer weaker?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Which distractor pattern did I fall for?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Transferable correction rule: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A new scenario in which the same rule applies:</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review action and completion date:</w:t>
      </w:r>
      <w:r>
        <w:rPr>
          <w:rFonts w:ascii="Arial" w:hAnsi="Arial"/>
          <w:i w:val="0"/>
          <w:sz w:val="21"/>
        </w:rPr>
      </w:r>
    </w:p>
    <w:p>
      <w:pPr>
        <w:spacing w:after="20"/>
      </w:pPr>
      <w:r>
        <w:rPr>
          <w:rFonts w:ascii="Arial" w:hAnsi="Arial"/>
          <w:color w:val="8A97A6"/>
          <w:sz w:val="18"/>
        </w:rPr>
        <w:t>________________________________________________________________________________</w:t>
      </w:r>
    </w:p>
    <w:tbl>
      <w:tblPr>
        <w:tblW w:type="dxa" w:w="10080"/>
        <w:tblLayout w:type="fixed"/>
        <w:tblLook w:firstColumn="1" w:firstRow="1" w:lastColumn="0" w:lastRow="0" w:noHBand="0" w:noVBand="1" w:val="04A0"/>
        <w:jc w:val="left"/>
        <w:tblInd w:w="0" w:type="dxa"/>
      </w:tblPr>
      <w:tblGrid>
        <w:gridCol w:w="10080"/>
      </w:tblGrid>
      <w:tr>
        <w:tc>
          <w:tcPr>
            <w:tcW w:type="dxa" w:w="10080"/>
            <w:shd w:fill="E8F6F6"/>
            <w:tcMar>
              <w:top w:w="120" w:type="dxa"/>
              <w:start w:w="110" w:type="dxa"/>
              <w:bottom w:w="120" w:type="dxa"/>
              <w:end w:w="110" w:type="dxa"/>
            </w:tcMar>
          </w:tcPr>
          <w:p>
            <w:pPr>
              <w:spacing w:after="60"/>
            </w:pPr>
            <w:r>
              <w:rPr>
                <w:rFonts w:ascii="Arial" w:hAnsi="Arial"/>
                <w:b/>
                <w:color w:val="17365D"/>
                <w:sz w:val="21"/>
              </w:rPr>
              <w:t>Do Not Write Only</w:t>
            </w:r>
          </w:p>
          <w:p>
            <w:pPr>
              <w:spacing w:after="0"/>
            </w:pPr>
            <w:r>
              <w:rPr>
                <w:rFonts w:ascii="Arial" w:hAnsi="Arial"/>
                <w:color w:val="243447"/>
                <w:sz w:val="20"/>
              </w:rPr>
              <w:t>“I need to read more carefully.” Replace that statement with the exact missed qualifier, controlling rule, sequencing error, or distractor pattern.</w:t>
            </w:r>
          </w:p>
        </w:tc>
        <w:trPr>
          <w:tblHeader/>
        </w:trPr>
      </w:tr>
    </w:tbl>
    <w:p>
      <w:pPr>
        <w:spacing w:after="0"/>
      </w:pPr>
    </w:p>
    <w:p>
      <w:r>
        <w:br w:type="page"/>
      </w:r>
    </w:p>
    <w:p>
      <w:pPr>
        <w:pStyle w:val="Heading1"/>
        <w:keepNext/>
        <w:spacing w:before="160" w:after="100"/>
      </w:pPr>
      <w:r>
        <w:rPr>
          <w:rFonts w:ascii="Arial" w:hAnsi="Arial"/>
          <w:b/>
          <w:color w:val="17365D"/>
        </w:rPr>
        <w:t>6. Error Pattern Tracker and Remediation Codes</w:t>
      </w:r>
    </w:p>
    <w:p>
      <w:pPr>
        <w:spacing w:after="80" w:line="252" w:lineRule="auto"/>
      </w:pPr>
      <w:r>
        <w:rPr>
          <w:rFonts w:ascii="Arial" w:hAnsi="Arial"/>
          <w:i w:val="0"/>
          <w:sz w:val="21"/>
        </w:rPr>
        <w:t>Assign one primary error code to each missed or guessed item. Use the total counts to decide what to study next.</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Code</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Pattern</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Meaning</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Q</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Qualifier</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Missed FIRST, NEXT, BEST, MOST, PRIMARY, EXCEPT, or another task word.</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A</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Authority</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Applied the wrong source of authority or allowed policy to override law/ethics.</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S</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Sequence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Selected a later step before the required first step.</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R</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Role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Chose an action outside the therapist’s role, competence, or authority.</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D</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Disclosure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Released too much, too soon, or without appropriate authority.</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Threshold</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Misread a reporting, safety, hospitalization, or privilege threshold.</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C</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Client rights</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Underweighted autonomy, consent, privacy, dignity, or access.</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W</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Welfare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Failed to prioritize safety, best interest, continuity, or harm prevention.</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X</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Distractor pattern</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Selected an absolute, punitive, administrative, or incomplete answer.</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K</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Knowledge gap</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Did not know the underlying rule, distinction, definition, or timeline.</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P</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Pacing</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Rushed, overthought, changed an answer without evidence, or ran out of time.</w:t>
            </w:r>
          </w:p>
        </w:tc>
      </w:tr>
    </w:tbl>
    <w:p>
      <w:pPr>
        <w:pStyle w:val="Heading2"/>
        <w:keepNext/>
        <w:spacing w:before="100" w:after="100"/>
      </w:pPr>
      <w:r>
        <w:rPr>
          <w:rFonts w:ascii="Arial" w:hAnsi="Arial"/>
          <w:b/>
          <w:color w:val="1F9E9C"/>
        </w:rPr>
        <w:t>Error Log</w:t>
      </w:r>
    </w:p>
    <w:tbl>
      <w:tblPr>
        <w:tblStyle w:val="TableGrid"/>
        <w:tblW w:type="dxa" w:w="10080"/>
        <w:tblLook w:firstColumn="1" w:firstRow="1" w:lastColumn="0" w:lastRow="0" w:noHBand="0" w:noVBand="1" w:val="04A0"/>
        <w:jc w:val="left"/>
        <w:tblInd w:w="0" w:type="dxa"/>
        <w:tblLayout w:type="fixed"/>
      </w:tblPr>
      <w:tblGrid>
        <w:gridCol w:w="1680"/>
        <w:gridCol w:w="1680"/>
        <w:gridCol w:w="1680"/>
        <w:gridCol w:w="1680"/>
        <w:gridCol w:w="1680"/>
        <w:gridCol w:w="1680"/>
      </w:tblGrid>
      <w:tr>
        <w:trPr>
          <w:tblHeader w:val="true"/>
        </w:trPr>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Date</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Source / Q#</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Code</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Topic / Chapter</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Correction Rule</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Retest Result</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bl>
    <w:p>
      <w:pPr>
        <w:spacing w:after="80" w:line="252" w:lineRule="auto"/>
      </w:pPr>
      <w:r>
        <w:rPr>
          <w:rFonts w:ascii="Arial" w:hAnsi="Arial"/>
          <w:i w:val="0"/>
          <w:sz w:val="21"/>
        </w:rPr>
        <w:t>My most frequent error code: __________________  My remediation priority: ______________________________</w:t>
      </w:r>
    </w:p>
    <w:p>
      <w:r>
        <w:br w:type="page"/>
      </w:r>
    </w:p>
    <w:p>
      <w:pPr>
        <w:pStyle w:val="Heading1"/>
        <w:keepNext/>
        <w:spacing w:before="160" w:after="100"/>
      </w:pPr>
      <w:r>
        <w:rPr>
          <w:rFonts w:ascii="Arial" w:hAnsi="Arial"/>
          <w:b/>
          <w:color w:val="17365D"/>
        </w:rPr>
        <w:t>7. Fourteen-Day Weighted Study Plan</w:t>
      </w:r>
    </w:p>
    <w:p>
      <w:pPr>
        <w:spacing w:after="80" w:line="252" w:lineRule="auto"/>
      </w:pPr>
      <w:r>
        <w:rPr>
          <w:rFonts w:ascii="Arial" w:hAnsi="Arial"/>
          <w:i w:val="0"/>
          <w:sz w:val="21"/>
        </w:rPr>
        <w:t>This plan follows the official outline while reserving time for remediation and practice. Adjust the daily workload to your schedule, but preserve the sequence: learn, apply, analyze, repair, and revisit.</w:t>
      </w:r>
    </w:p>
    <w:tbl>
      <w:tblPr>
        <w:tblStyle w:val="TableGrid"/>
        <w:tblW w:type="dxa" w:w="10080"/>
        <w:tblLook w:firstColumn="1" w:firstRow="1" w:lastColumn="0" w:lastRow="0" w:noHBand="0" w:noVBand="1" w:val="04A0"/>
        <w:jc w:val="left"/>
        <w:tblInd w:w="0" w:type="dxa"/>
        <w:tblLayout w:type="fixed"/>
      </w:tblPr>
      <w:tblGrid>
        <w:gridCol w:w="2520"/>
        <w:gridCol w:w="2520"/>
        <w:gridCol w:w="2520"/>
        <w:gridCol w:w="2520"/>
      </w:tblGrid>
      <w:tr>
        <w:trPr>
          <w:tblHeader w:val="true"/>
        </w:trPr>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Day</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Primary Focus</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Study Task</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Completed</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Baseline and plan</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Complete blueprint, baseline, and one untimed diagnostic set. Start error log.</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2</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1A Consent / minors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Review informed consent, minor treatment, confidentiality foundations.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3</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1A Privilege / records / telehealth</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Review privilege, records requests, subpoenas/court orders, telehealth and HIPAA.</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4</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1B Mandated reporting</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Child, elder, and dependent-adult reporting; thresholds and reporter role.</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1B Crisis / privilege exceptions</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Danger, grave disability, involuntary treatment, litigation and evaluation exceptions.</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6</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1C Professional-practice law</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Scope, conduct, sexual behavior, records, advertising, fees, referrals, payors.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7</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Law application day</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Mixed law practice; debrief every miss and guess; repair top two errors.</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8</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2A Competence / culture</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Competence, cultural humility, discrimination, consultation, expanding competence.</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9</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2A Boundaries / impairment</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Conflicts, dual relationships, gifts, personal values, impairment.</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10</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2B Consent / autonomy / welfare</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Client decision-making, treatment relationships, best interest, rights.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11</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2B Confidentiality / safety / continuity</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Consultation, crisis, legal-ethical conflict, referral, interruption, termination.</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12</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2C Practice policies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Technology, finances, advertising, records, roles, testimony, research, colleagues, supervision.</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13</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Full mixed practice</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Complete a timed practice form. Analyze by section and error code.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14</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Targeted repair and readiness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Review weak chapters, repeat missed concepts in new scenarios, complete readiness decision.</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bl>
    <w:p>
      <w:pPr>
        <w:pStyle w:val="Heading2"/>
        <w:keepNext/>
        <w:spacing w:before="100" w:after="100"/>
      </w:pPr>
      <w:r>
        <w:rPr>
          <w:rFonts w:ascii="Arial" w:hAnsi="Arial"/>
          <w:b/>
          <w:color w:val="1F9E9C"/>
        </w:rPr>
        <w:t>Daily Study Block</w:t>
      </w:r>
    </w:p>
    <w:p>
      <w:pPr>
        <w:pStyle w:val="ListBullet"/>
        <w:spacing w:after="40"/>
        <w:ind w:left="360" w:hanging="216"/>
      </w:pPr>
      <w:r>
        <w:rPr>
          <w:rFonts w:ascii="Arial" w:hAnsi="Arial"/>
          <w:sz w:val="20"/>
        </w:rPr>
        <w:t>Preview: 5–10 minutes reviewing objectives and high-yield distinctions.</w:t>
      </w:r>
    </w:p>
    <w:p>
      <w:pPr>
        <w:pStyle w:val="ListBullet"/>
        <w:spacing w:after="40"/>
        <w:ind w:left="360" w:hanging="216"/>
      </w:pPr>
      <w:r>
        <w:rPr>
          <w:rFonts w:ascii="Arial" w:hAnsi="Arial"/>
          <w:sz w:val="20"/>
        </w:rPr>
        <w:t>Learn: 30–45 minutes of workbook or lesson review.</w:t>
      </w:r>
    </w:p>
    <w:p>
      <w:pPr>
        <w:pStyle w:val="ListBullet"/>
        <w:spacing w:after="40"/>
        <w:ind w:left="360" w:hanging="216"/>
      </w:pPr>
      <w:r>
        <w:rPr>
          <w:rFonts w:ascii="Arial" w:hAnsi="Arial"/>
          <w:sz w:val="20"/>
        </w:rPr>
        <w:t>Apply: 20–30 minutes of practice questions or mini-scenarios.</w:t>
      </w:r>
    </w:p>
    <w:p>
      <w:pPr>
        <w:pStyle w:val="ListBullet"/>
        <w:spacing w:after="40"/>
        <w:ind w:left="360" w:hanging="216"/>
      </w:pPr>
      <w:r>
        <w:rPr>
          <w:rFonts w:ascii="Arial" w:hAnsi="Arial"/>
          <w:sz w:val="20"/>
        </w:rPr>
        <w:t>Analyze: 15–20 minutes reviewing rationales and coding errors.</w:t>
      </w:r>
    </w:p>
    <w:p>
      <w:pPr>
        <w:pStyle w:val="ListBullet"/>
        <w:spacing w:after="40"/>
        <w:ind w:left="360" w:hanging="216"/>
      </w:pPr>
      <w:r>
        <w:rPr>
          <w:rFonts w:ascii="Arial" w:hAnsi="Arial"/>
          <w:sz w:val="20"/>
        </w:rPr>
        <w:t>Repair: 10–15 minutes returning to the exact weak concept.</w:t>
      </w:r>
    </w:p>
    <w:p>
      <w:pPr>
        <w:pStyle w:val="ListBullet"/>
        <w:spacing w:after="40"/>
        <w:ind w:left="360" w:hanging="216"/>
      </w:pPr>
      <w:r>
        <w:rPr>
          <w:rFonts w:ascii="Arial" w:hAnsi="Arial"/>
          <w:sz w:val="20"/>
        </w:rPr>
        <w:t>Revisit: 5 minutes of flashcards or retrieval practice.</w:t>
      </w:r>
    </w:p>
    <w:p>
      <w:r>
        <w:br w:type="page"/>
      </w:r>
    </w:p>
    <w:p>
      <w:pPr>
        <w:pStyle w:val="Heading1"/>
        <w:keepNext/>
        <w:spacing w:before="160" w:after="100"/>
      </w:pPr>
      <w:r>
        <w:rPr>
          <w:rFonts w:ascii="Arial" w:hAnsi="Arial"/>
          <w:b/>
          <w:color w:val="17365D"/>
        </w:rPr>
        <w:t>8. Seven-Day Final Review Plan</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Timing</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Primary Task</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Completed</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7 days before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Complete the last full timed practice examination. Do not use the score alone; analyze section performance and error codes.</w:t>
            </w:r>
          </w:p>
        </w:tc>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6 days before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Repair the two weakest law sections. Use workbook chapters, rationales, and flashcards.</w:t>
            </w:r>
          </w:p>
        </w:tc>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5 days before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Repair the two weakest ethics sections. Rework missed scenarios without looking at the answer.</w:t>
            </w:r>
          </w:p>
        </w:tc>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4 days before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Review high-yield distinctions: law vs. ethics, confidentiality vs. privilege, scope vs. competence, subpoena vs. court order, consultation vs. disclosure.</w:t>
            </w:r>
          </w:p>
        </w:tc>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3 days before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Review qualifier words, first-step sequencing, reporting/safety triggers, and recurring distractor patterns.</w:t>
            </w:r>
          </w:p>
        </w:tc>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2 days before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Complete a shorter mixed set under time pressure. Stop adding new material; repair only demonstrated weaknesses.</w:t>
            </w:r>
          </w:p>
        </w:tc>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1 day before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Light review only. Confirm identification, route, appointment, test-center rules, sleep plan, and arrival time.</w:t>
            </w:r>
          </w:p>
        </w:tc>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val="0"/>
                <w:color w:val="243447"/>
                <w:sz w:val="18"/>
              </w:rPr>
              <w:t>☐</w:t>
            </w:r>
          </w:p>
        </w:tc>
      </w:tr>
    </w:tbl>
    <w:p>
      <w:pPr>
        <w:pStyle w:val="Heading2"/>
        <w:keepNext/>
        <w:spacing w:before="100" w:after="100"/>
      </w:pPr>
      <w:r>
        <w:rPr>
          <w:rFonts w:ascii="Arial" w:hAnsi="Arial"/>
          <w:b/>
          <w:color w:val="1F9E9C"/>
        </w:rPr>
        <w:t>Final-Week Rules</w:t>
      </w:r>
    </w:p>
    <w:p>
      <w:pPr>
        <w:pStyle w:val="ListBullet"/>
        <w:spacing w:after="40"/>
        <w:ind w:left="360" w:hanging="216"/>
      </w:pPr>
      <w:r>
        <w:rPr>
          <w:rFonts w:ascii="Arial" w:hAnsi="Arial"/>
          <w:sz w:val="20"/>
        </w:rPr>
        <w:t>Do not memorize answer letters or exact question wording.</w:t>
      </w:r>
    </w:p>
    <w:p>
      <w:pPr>
        <w:pStyle w:val="ListBullet"/>
        <w:spacing w:after="40"/>
        <w:ind w:left="360" w:hanging="216"/>
      </w:pPr>
      <w:r>
        <w:rPr>
          <w:rFonts w:ascii="Arial" w:hAnsi="Arial"/>
          <w:sz w:val="20"/>
        </w:rPr>
        <w:t>Do not treat a single practice score as a guarantee of passing or failing.</w:t>
      </w:r>
    </w:p>
    <w:p>
      <w:pPr>
        <w:pStyle w:val="ListBullet"/>
        <w:spacing w:after="40"/>
        <w:ind w:left="360" w:hanging="216"/>
      </w:pPr>
      <w:r>
        <w:rPr>
          <w:rFonts w:ascii="Arial" w:hAnsi="Arial"/>
          <w:sz w:val="20"/>
        </w:rPr>
        <w:t>Do not continue taking full tests without analyzing the errors.</w:t>
      </w:r>
    </w:p>
    <w:p>
      <w:pPr>
        <w:pStyle w:val="ListBullet"/>
        <w:spacing w:after="40"/>
        <w:ind w:left="360" w:hanging="216"/>
      </w:pPr>
      <w:r>
        <w:rPr>
          <w:rFonts w:ascii="Arial" w:hAnsi="Arial"/>
          <w:sz w:val="20"/>
        </w:rPr>
        <w:t>Do not replace sleep and pacing preparation with last-minute cramming.</w:t>
      </w:r>
    </w:p>
    <w:p>
      <w:pPr>
        <w:pStyle w:val="ListBullet"/>
        <w:spacing w:after="40"/>
        <w:ind w:left="360" w:hanging="216"/>
      </w:pPr>
      <w:r>
        <w:rPr>
          <w:rFonts w:ascii="Arial" w:hAnsi="Arial"/>
          <w:sz w:val="20"/>
        </w:rPr>
        <w:t>Do rehearse the reasoning process you will use when two answers appear plausible.</w:t>
      </w:r>
    </w:p>
    <w:p>
      <w:pPr>
        <w:pStyle w:val="Heading2"/>
        <w:keepNext/>
        <w:spacing w:before="100" w:after="100"/>
      </w:pPr>
      <w:r>
        <w:rPr>
          <w:rFonts w:ascii="Arial" w:hAnsi="Arial"/>
          <w:b/>
          <w:color w:val="1F9E9C"/>
        </w:rPr>
        <w:t>My Final-Week Priorities</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r>
        <w:br w:type="page"/>
      </w:r>
    </w:p>
    <w:p>
      <w:pPr>
        <w:pStyle w:val="Heading1"/>
        <w:keepNext/>
        <w:spacing w:before="160" w:after="100"/>
      </w:pPr>
      <w:r>
        <w:rPr>
          <w:rFonts w:ascii="Arial" w:hAnsi="Arial"/>
          <w:b/>
          <w:color w:val="17365D"/>
        </w:rPr>
        <w:t>9. Readiness Dashboard and Exam-Day Plan</w:t>
      </w:r>
    </w:p>
    <w:p>
      <w:pPr>
        <w:spacing w:after="80" w:line="252" w:lineRule="auto"/>
      </w:pPr>
      <w:r>
        <w:rPr>
          <w:rFonts w:ascii="Arial" w:hAnsi="Arial"/>
          <w:i w:val="0"/>
          <w:sz w:val="21"/>
        </w:rPr>
        <w:t>Rate each area from 1 to 5 using evidence from completed practice, not confidence alone.</w:t>
      </w:r>
    </w:p>
    <w:tbl>
      <w:tblPr>
        <w:tblStyle w:val="TableGrid"/>
        <w:tblW w:type="dxa" w:w="10080"/>
        <w:tblLook w:firstColumn="1" w:firstRow="1" w:lastColumn="0" w:lastRow="0" w:noHBand="0" w:noVBand="1" w:val="04A0"/>
        <w:jc w:val="left"/>
        <w:tblInd w:w="0" w:type="dxa"/>
        <w:tblLayout w:type="fixed"/>
      </w:tblPr>
      <w:tblGrid>
        <w:gridCol w:w="2520"/>
        <w:gridCol w:w="2520"/>
        <w:gridCol w:w="2520"/>
        <w:gridCol w:w="2520"/>
      </w:tblGrid>
      <w:tr>
        <w:trPr>
          <w:tblHeader w:val="true"/>
        </w:trPr>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Area</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Rating 1–5</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Evidence</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Next Action</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1A Consent, Confidentiality, and Privilege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1B Limits to Confidentiality and Mandated Reporting</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1C Legal Standards for Professional Practice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2A Professional Competence and Integrity</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2B Responsibility to Clients and Counseling Relationships</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2C Practice Policies and Professional Responsibilities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Qualifier analysis and answer sequencing</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Pacing and endurance</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Error analysis and targeted remediation</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Confidence under uncertainty</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bl>
    <w:p>
      <w:pPr>
        <w:pStyle w:val="Heading2"/>
        <w:keepNext/>
        <w:spacing w:before="100" w:after="100"/>
      </w:pPr>
      <w:r>
        <w:rPr>
          <w:rFonts w:ascii="Arial" w:hAnsi="Arial"/>
          <w:b/>
          <w:color w:val="1F9E9C"/>
        </w:rPr>
        <w:t>Exam-Day Decision Routine</w:t>
      </w:r>
    </w:p>
    <w:p>
      <w:pPr>
        <w:pStyle w:val="ListBullet"/>
        <w:spacing w:after="40"/>
        <w:ind w:left="360" w:hanging="216"/>
      </w:pPr>
      <w:r>
        <w:rPr>
          <w:rFonts w:ascii="Arial" w:hAnsi="Arial"/>
          <w:sz w:val="20"/>
        </w:rPr>
        <w:t>Read the final sentence first to identify the task and qualifier.</w:t>
      </w:r>
    </w:p>
    <w:p>
      <w:pPr>
        <w:pStyle w:val="ListBullet"/>
        <w:spacing w:after="40"/>
        <w:ind w:left="360" w:hanging="216"/>
      </w:pPr>
      <w:r>
        <w:rPr>
          <w:rFonts w:ascii="Arial" w:hAnsi="Arial"/>
          <w:sz w:val="20"/>
        </w:rPr>
        <w:t>Read the full stem and separate facts from assumptions.</w:t>
      </w:r>
    </w:p>
    <w:p>
      <w:pPr>
        <w:pStyle w:val="ListBullet"/>
        <w:spacing w:after="40"/>
        <w:ind w:left="360" w:hanging="216"/>
      </w:pPr>
      <w:r>
        <w:rPr>
          <w:rFonts w:ascii="Arial" w:hAnsi="Arial"/>
          <w:sz w:val="20"/>
        </w:rPr>
        <w:t>Name the controlling authority or ethical principle.</w:t>
      </w:r>
    </w:p>
    <w:p>
      <w:pPr>
        <w:pStyle w:val="ListBullet"/>
        <w:spacing w:after="40"/>
        <w:ind w:left="360" w:hanging="216"/>
      </w:pPr>
      <w:r>
        <w:rPr>
          <w:rFonts w:ascii="Arial" w:hAnsi="Arial"/>
          <w:sz w:val="20"/>
        </w:rPr>
        <w:t>Identify immediate safety, reporting, privilege, or client-rights concerns.</w:t>
      </w:r>
    </w:p>
    <w:p>
      <w:pPr>
        <w:pStyle w:val="ListBullet"/>
        <w:spacing w:after="40"/>
        <w:ind w:left="360" w:hanging="216"/>
      </w:pPr>
      <w:r>
        <w:rPr>
          <w:rFonts w:ascii="Arial" w:hAnsi="Arial"/>
          <w:sz w:val="20"/>
        </w:rPr>
        <w:t>Eliminate options that are premature, delayed, excessive, punitive, or outside the role.</w:t>
      </w:r>
    </w:p>
    <w:p>
      <w:pPr>
        <w:pStyle w:val="ListBullet"/>
        <w:spacing w:after="40"/>
        <w:ind w:left="360" w:hanging="216"/>
      </w:pPr>
      <w:r>
        <w:rPr>
          <w:rFonts w:ascii="Arial" w:hAnsi="Arial"/>
          <w:sz w:val="20"/>
        </w:rPr>
        <w:t>Choose the best answer and move forward; mark for review only when a specific unresolved issue remains.</w:t>
      </w:r>
    </w:p>
    <w:p>
      <w:pPr>
        <w:pStyle w:val="Heading2"/>
        <w:keepNext/>
        <w:spacing w:before="100" w:after="100"/>
      </w:pPr>
      <w:r>
        <w:rPr>
          <w:rFonts w:ascii="Arial" w:hAnsi="Arial"/>
          <w:b/>
          <w:color w:val="1F9E9C"/>
        </w:rPr>
        <w:t>My Exam-Day Plan</w:t>
      </w:r>
    </w:p>
    <w:p>
      <w:pPr>
        <w:spacing w:after="80" w:line="252" w:lineRule="auto"/>
      </w:pPr>
      <w:r>
        <w:rPr>
          <w:rFonts w:ascii="Arial" w:hAnsi="Arial"/>
          <w:b/>
          <w:sz w:val="21"/>
        </w:rPr>
        <w:t>Appointment date and time: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Test-center address / route: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Required identification:</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Planned arrival time: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pacing checkpoints:</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reset strategy when anxious:</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rule for changing an answer: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final reminder to myself:</w:t>
      </w:r>
      <w:r>
        <w:rPr>
          <w:rFonts w:ascii="Arial" w:hAnsi="Arial"/>
          <w:i w:val="0"/>
          <w:sz w:val="21"/>
        </w:rPr>
      </w:r>
    </w:p>
    <w:p>
      <w:pPr>
        <w:spacing w:after="20"/>
      </w:pPr>
      <w:r>
        <w:rPr>
          <w:rFonts w:ascii="Arial" w:hAnsi="Arial"/>
          <w:color w:val="8A97A6"/>
          <w:sz w:val="18"/>
        </w:rPr>
        <w:t>________________________________________________________________________________</w:t>
      </w:r>
    </w:p>
    <w:tbl>
      <w:tblPr>
        <w:tblW w:type="dxa" w:w="10080"/>
        <w:tblLayout w:type="fixed"/>
        <w:tblLook w:firstColumn="1" w:firstRow="1" w:lastColumn="0" w:lastRow="0" w:noHBand="0" w:noVBand="1" w:val="04A0"/>
        <w:jc w:val="left"/>
        <w:tblInd w:w="0" w:type="dxa"/>
      </w:tblPr>
      <w:tblGrid>
        <w:gridCol w:w="10080"/>
      </w:tblGrid>
      <w:tr>
        <w:tc>
          <w:tcPr>
            <w:tcW w:type="dxa" w:w="10080"/>
            <w:shd w:fill="E8F6F6"/>
            <w:tcMar>
              <w:top w:w="120" w:type="dxa"/>
              <w:start w:w="110" w:type="dxa"/>
              <w:bottom w:w="120" w:type="dxa"/>
              <w:end w:w="110" w:type="dxa"/>
            </w:tcMar>
          </w:tcPr>
          <w:p>
            <w:pPr>
              <w:spacing w:after="60"/>
            </w:pPr>
            <w:r>
              <w:rPr>
                <w:rFonts w:ascii="Arial" w:hAnsi="Arial"/>
                <w:b/>
                <w:color w:val="17365D"/>
                <w:sz w:val="21"/>
              </w:rPr>
              <w:t>Readiness Statement</w:t>
            </w:r>
          </w:p>
          <w:p>
            <w:pPr>
              <w:spacing w:after="0"/>
            </w:pPr>
            <w:r>
              <w:rPr>
                <w:rFonts w:ascii="Arial" w:hAnsi="Arial"/>
                <w:color w:val="243447"/>
                <w:sz w:val="20"/>
              </w:rPr>
              <w:t>I am ready to test when my practice evidence shows that I can identify the controlling issue, apply the correct sequence, explain why distractors are weaker, and repair recurring errors - not merely recognize familiar questions.</w:t>
            </w:r>
          </w:p>
        </w:tc>
        <w:trPr>
          <w:tblHeader/>
        </w:trPr>
      </w:tr>
    </w:tbl>
    <w:p>
      <w:pPr>
        <w:spacing w:after="0"/>
      </w:pPr>
    </w:p>
    <w:p>
      <w:r>
        <w:br w:type="page"/>
      </w:r>
    </w:p>
    <w:p>
      <w:pPr>
        <w:pStyle w:val="Heading1"/>
        <w:keepNext/>
        <w:spacing w:before="160" w:after="100"/>
      </w:pPr>
      <w:r>
        <w:rPr>
          <w:rFonts w:ascii="Arial" w:hAnsi="Arial"/>
          <w:b/>
          <w:color w:val="17365D"/>
        </w:rPr>
        <w:t>Source Basis and Document Control</w:t>
      </w:r>
    </w:p>
    <w:p>
      <w:pPr>
        <w:spacing w:after="80" w:line="252" w:lineRule="auto"/>
      </w:pPr>
      <w:r>
        <w:rPr>
          <w:rFonts w:ascii="Arial" w:hAnsi="Arial"/>
          <w:i w:val="0"/>
          <w:sz w:val="21"/>
        </w:rPr>
        <w:t>Primary exam-outline source: Pearson VUE, Licensed Marriage and Family Therapist Law and Ethics Examination Outline, effective January 1, 2024. The Pearson VUE California Board of Behavioral Sciences program page was last updated June 8, 2026 and continues to provide this outline as the current LMFT Law and Ethics examination outline.</w:t>
      </w:r>
    </w:p>
    <w:p>
      <w:pPr>
        <w:spacing w:after="80" w:line="252" w:lineRule="auto"/>
      </w:pPr>
      <w:r>
        <w:rPr>
          <w:rFonts w:ascii="Arial" w:hAnsi="Arial"/>
          <w:i w:val="0"/>
          <w:sz w:val="21"/>
        </w:rPr>
        <w:t>CTA source basis: CTA Law &amp; Ethics Curriculum Standards Version 3.1; CTA Master Flashcard Library Development Standard Version 1.1; CTA Exam Preparation Program Consistency Checklist Version 1.0; approved CTA California Law &amp; Ethics Exam Preparation Program workbooks, practice forms, rationales, and performance-analysis tools.</w:t>
      </w:r>
    </w:p>
    <w:p>
      <w:pPr>
        <w:pStyle w:val="Heading2"/>
        <w:keepNext/>
        <w:spacing w:before="100" w:after="100"/>
      </w:pPr>
      <w:r>
        <w:rPr>
          <w:rFonts w:ascii="Arial" w:hAnsi="Arial"/>
          <w:b/>
          <w:color w:val="1F9E9C"/>
        </w:rPr>
        <w:t>Version Control</w:t>
      </w:r>
    </w:p>
    <w:tbl>
      <w:tblPr>
        <w:tblStyle w:val="TableGrid"/>
        <w:tblW w:type="dxa" w:w="10080"/>
        <w:tblLook w:firstColumn="1" w:firstRow="1" w:lastColumn="0" w:lastRow="0" w:noHBand="0" w:noVBand="1" w:val="04A0"/>
        <w:jc w:val="left"/>
        <w:tblInd w:w="0" w:type="dxa"/>
        <w:tblLayout w:type="fixed"/>
      </w:tblPr>
      <w:tblGrid>
        <w:gridCol w:w="5040"/>
        <w:gridCol w:w="5040"/>
      </w:tblGrid>
      <w:tr>
        <w:tc>
          <w:tcPr>
            <w:tcW w:type="dxa" w:w="504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Document title</w:t>
            </w:r>
          </w:p>
        </w:tc>
        <w:tc>
          <w:tcPr>
            <w:tcW w:type="dxa" w:w="504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CTA LMFT California Law &amp; Ethics Exam Strategy &amp; Study Planning Toolkit</w:t>
            </w:r>
          </w:p>
        </w:tc>
        <w:trPr>
          <w:tblHeader/>
        </w:trPr>
      </w:tr>
      <w:tr>
        <w:tc>
          <w:tcPr>
            <w:tcW w:type="dxa" w:w="504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Version</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1.1</w:t>
            </w:r>
          </w:p>
        </w:tc>
      </w:tr>
      <w:tr>
        <w:tc>
          <w:tcPr>
            <w:tcW w:type="dxa" w:w="504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Release date</w:t>
            </w:r>
          </w:p>
        </w:tc>
        <w:tc>
          <w:tcPr>
            <w:tcW w:type="dxa" w:w="504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August 2026</w:t>
            </w:r>
          </w:p>
        </w:tc>
      </w:tr>
      <w:tr>
        <w:tc>
          <w:tcPr>
            <w:tcW w:type="dxa" w:w="504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Classification</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Learner-facing printable study resource | Exam preparation only | No CE credit</w:t>
            </w:r>
          </w:p>
        </w:tc>
      </w:tr>
    </w:tbl>
    <w:p>
      <w:pPr>
        <w:spacing w:after="0" w:line="252" w:lineRule="auto"/>
      </w:pPr>
      <w:r>
        <w:rPr>
          <w:rFonts w:ascii="Arial" w:hAnsi="Arial"/>
          <w:i/>
          <w:sz w:val="21"/>
        </w:rPr>
        <w:t>© 2026 Clinical Training &amp; Supervision Academy. Personal educational use only. Redistribution, resale, public posting, and commercial reproduction are prohibited.</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785"/>
        <w:sz w:val="16"/>
      </w:rPr>
      <w:t xml:space="preserve">CTA California Law &amp; Ethics Exam Preparation | LMFT Strategy Toolkit v1.1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0" cy="138369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2011680" cy="138369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9E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9E9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California Law &amp; Ethics Exam Strategy &amp; Study Planning Toolkit v1.1</dc:title>
  <dc:subject>Corrected learner-facing printable exam strategy and study planning toolkit</dc:subject>
  <dc:creator>Clinical Training &amp; Supervision Academy</dc:creator>
  <cp:keywords>CTA, LMFT, California Law and Ethics, Exam Preparation, Study Toolkit</cp:keywords>
  <dc:description>Version 1.1 corrects Word ruler-width table layout only; instructional content remains unchanged.</dc:description>
  <cp:lastModifiedBy/>
  <cp:revision>1</cp:revision>
  <dcterms:created xsi:type="dcterms:W3CDTF">2013-12-23T23:15:00Z</dcterms:created>
  <dcterms:modified xsi:type="dcterms:W3CDTF">2013-12-23T23:15:00Z</dcterms:modified>
  <cp:category/>
</cp:coreProperties>
</file>