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12080" cy="3585029"/>
            <wp:docPr id="1" name="Picture 1" title="Clinical Training and Supervision Academy logo" descr="CTA horizontal logo"/>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5212080" cy="3585029"/>
                    </a:xfrm>
                    <a:prstGeom prst="rect"/>
                  </pic:spPr>
                </pic:pic>
              </a:graphicData>
            </a:graphic>
          </wp:inline>
        </w:drawing>
      </w:r>
    </w:p>
    <w:p>
      <w:pPr>
        <w:spacing w:after="160"/>
      </w:pPr>
    </w:p>
    <w:p>
      <w:pPr>
        <w:jc w:val="center"/>
      </w:pPr>
      <w:r>
        <w:rPr>
          <w:rFonts w:ascii="Arial" w:hAnsi="Arial"/>
          <w:b/>
          <w:color w:val="179C9D"/>
          <w:sz w:val="26"/>
        </w:rPr>
        <w:t>LMFT LAW &amp; ETHICS</w:t>
      </w:r>
    </w:p>
    <w:p>
      <w:pPr>
        <w:spacing w:after="40"/>
        <w:jc w:val="center"/>
      </w:pPr>
      <w:r>
        <w:rPr>
          <w:rFonts w:ascii="Arial" w:hAnsi="Arial"/>
          <w:b/>
          <w:color w:val="112A4A"/>
          <w:sz w:val="48"/>
        </w:rPr>
        <w:t>HIGH-YIELD CALIFORNIA LAW</w:t>
        <w:br/>
        <w:t>DECISION GUIDES TOOLKIT</w:t>
      </w:r>
    </w:p>
    <w:p>
      <w:pPr>
        <w:spacing w:before="40" w:after="160"/>
        <w:pBdr>
          <w:bottom w:val="single" w:sz="20" w:space="1" w:color="179C9D"/>
        </w:pBdr>
      </w:pPr>
    </w:p>
    <w:p>
      <w:pPr>
        <w:jc w:val="center"/>
      </w:pPr>
      <w:r>
        <w:rPr>
          <w:rFonts w:ascii="Arial" w:hAnsi="Arial"/>
          <w:color w:val="243447"/>
          <w:sz w:val="24"/>
        </w:rPr>
        <w:t>Printable decision maps, exam triggers, and applied legal-reasoning tools</w:t>
      </w:r>
    </w:p>
    <w:p>
      <w:pPr>
        <w:spacing w:before="360"/>
        <w:jc w:val="center"/>
      </w:pPr>
      <w:r>
        <w:rPr>
          <w:rFonts w:ascii="Arial" w:hAnsi="Arial"/>
          <w:b/>
          <w:color w:val="179C9D"/>
          <w:sz w:val="21"/>
        </w:rPr>
        <w:t>Version 1.1  |  Source Accuracy: August 2026</w:t>
      </w:r>
    </w:p>
    <w:p>
      <w:pPr>
        <w:jc w:val="center"/>
      </w:pPr>
      <w:r>
        <w:rPr>
          <w:rFonts w:ascii="Arial" w:hAnsi="Arial"/>
          <w:color w:val="112A4A"/>
          <w:sz w:val="19"/>
        </w:rPr>
        <w:t>CTA California Law &amp; Ethics Exam Preparation Program | CTA-EP-001</w:t>
      </w:r>
    </w:p>
    <w:tbl>
      <w:tblPr>
        <w:tblW w:type="dxa" w:w="10080"/>
        <w:jc w:val="center"/>
        <w:tblLayout w:type="fixed"/>
        <w:tblLook w:firstColumn="1" w:firstRow="1" w:lastColumn="0" w:lastRow="0" w:noHBand="0" w:noVBand="1" w:val="04A0"/>
        <w:tblInd w:w="0" w:type="dxa"/>
      </w:tblPr>
      <w:tblGrid>
        <w:gridCol w:w="10080"/>
      </w:tblGrid>
      <w:tr>
        <w:tc>
          <w:tcPr>
            <w:tcW w:type="dxa" w:w="10080"/>
            <w:shd w:fill="F2F4F7"/>
            <w:tcBorders>
              <w:top w:val="single" w:sz="10" w:color="112A4A"/>
              <w:left w:val="single" w:sz="18" w:color="112A4A"/>
              <w:bottom w:val="single" w:sz="10" w:color="112A4A"/>
              <w:right w:val="single" w:sz="10" w:color="112A4A"/>
            </w:tcBorders>
            <w:tcMar>
              <w:top w:w="120" w:type="dxa"/>
              <w:start w:w="170" w:type="dxa"/>
              <w:bottom w:w="120" w:type="dxa"/>
              <w:end w:w="150" w:type="dxa"/>
            </w:tcMar>
          </w:tcPr>
          <w:p>
            <w:pPr>
              <w:spacing w:after="80"/>
            </w:pPr>
            <w:r>
              <w:rPr>
                <w:rFonts w:ascii="Arial" w:hAnsi="Arial"/>
                <w:b/>
                <w:color w:val="112A4A"/>
                <w:sz w:val="21"/>
              </w:rPr>
              <w:t>EDUCATIONAL USE NOTICE</w:t>
            </w:r>
          </w:p>
          <w:p>
            <w:pPr>
              <w:spacing w:after="0"/>
            </w:pPr>
            <w:r>
              <w:rPr>
                <w:rFonts w:ascii="Arial" w:hAnsi="Arial"/>
                <w:color w:val="243447"/>
                <w:sz w:val="19"/>
              </w:rPr>
              <w:t>This toolkit is an exam-preparation aid for the California LMFT Law and Ethics Examination. It does not provide legal advice, determine licensure eligibility, or replace current statutes, regulations, official candidate materials, legal consultation, supervision, or agency policy.</w:t>
            </w:r>
          </w:p>
        </w:tc>
      </w:tr>
    </w:tbl>
    <w:p>
      <w:pPr>
        <w:spacing w:after="0"/>
      </w:pPr>
    </w:p>
    <w:p>
      <w:pPr>
        <w:spacing w:before="280"/>
        <w:jc w:val="center"/>
      </w:pPr>
      <w:r>
        <w:rPr>
          <w:rFonts w:ascii="Arial" w:hAnsi="Arial"/>
          <w:i/>
          <w:color w:val="179C9D"/>
          <w:sz w:val="21"/>
        </w:rPr>
        <w:t>Educating Clinicians. Strengthening Practice.</w:t>
      </w:r>
    </w:p>
    <w:p>
      <w:r>
        <w:br w:type="page"/>
      </w:r>
    </w:p>
    <w:p>
      <w:pPr>
        <w:spacing w:before="0" w:after="40"/>
      </w:pPr>
      <w:r>
        <w:rPr>
          <w:rFonts w:ascii="Arial" w:hAnsi="Arial"/>
          <w:b/>
          <w:color w:val="112A4A"/>
          <w:sz w:val="34"/>
        </w:rPr>
        <w:t>How to Use This Toolkit</w:t>
      </w:r>
    </w:p>
    <w:p>
      <w:pPr>
        <w:spacing w:after="120"/>
      </w:pPr>
      <w:r>
        <w:rPr>
          <w:rFonts w:ascii="Arial" w:hAnsi="Arial"/>
          <w:i/>
          <w:color w:val="179C9D"/>
          <w:sz w:val="20"/>
        </w:rPr>
        <w:t>Use the maps to organize facts before choosing an answer.</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THE CTA DECISION SEQUENCE</w:t>
            </w:r>
          </w:p>
          <w:p>
            <w:pPr>
              <w:spacing w:after="0"/>
            </w:pPr>
            <w:r>
              <w:rPr>
                <w:rFonts w:ascii="Arial" w:hAnsi="Arial"/>
                <w:color w:val="243447"/>
                <w:sz w:val="19"/>
              </w:rPr>
              <w:t>Authority → Trigger → Required action → Timing → Minimum necessary disclosure → Documentation. The examination often rewards the answer that identifies the controlling legal trigger and takes the least excessive action that still satisfies the law.</w:t>
            </w:r>
          </w:p>
        </w:tc>
      </w:tr>
    </w:tbl>
    <w:p>
      <w:pPr>
        <w:spacing w:after="0"/>
      </w:pPr>
    </w:p>
    <w:tbl>
      <w:tblPr>
        <w:tblW w:type="dxa" w:w="10080"/>
        <w:jc w:val="center"/>
        <w:tblLayout w:type="fixed"/>
        <w:tblLook w:firstColumn="1" w:firstRow="1" w:lastColumn="0" w:lastRow="0" w:noHBand="0" w:noVBand="1" w:val="04A0"/>
        <w:tblInd w:w="0" w:type="dxa"/>
      </w:tblPr>
      <w:tblGrid>
        <w:gridCol w:w="2332"/>
        <w:gridCol w:w="3836"/>
        <w:gridCol w:w="3912"/>
      </w:tblGrid>
      <w:tr>
        <w:trPr>
          <w:tblHeader w:val="true"/>
        </w:trPr>
        <w:tc>
          <w:tcPr>
            <w:tcW w:type="dxa" w:w="2332"/>
            <w:shd w:fill="112A4A"/>
            <w:vAlign w:val="center"/>
            <w:tcMar>
              <w:top w:w="100" w:type="dxa"/>
              <w:start w:w="120" w:type="dxa"/>
              <w:bottom w:w="100" w:type="dxa"/>
              <w:end w:w="120" w:type="dxa"/>
            </w:tcMar>
          </w:tcPr>
          <w:p>
            <w:pPr>
              <w:spacing w:after="0"/>
              <w:jc w:val="center"/>
            </w:pPr>
            <w:r/>
            <w:r>
              <w:rPr>
                <w:rFonts w:ascii="Arial" w:hAnsi="Arial"/>
                <w:b/>
                <w:color w:val="FFFFFF"/>
                <w:sz w:val="18"/>
              </w:rPr>
              <w:t>Guide</w:t>
            </w:r>
          </w:p>
        </w:tc>
        <w:tc>
          <w:tcPr>
            <w:tcW w:type="dxa" w:w="3836"/>
            <w:shd w:fill="179C9D"/>
            <w:vAlign w:val="center"/>
            <w:tcMar>
              <w:top w:w="100" w:type="dxa"/>
              <w:start w:w="120" w:type="dxa"/>
              <w:bottom w:w="100" w:type="dxa"/>
              <w:end w:w="120" w:type="dxa"/>
            </w:tcMar>
          </w:tcPr>
          <w:p>
            <w:pPr>
              <w:spacing w:after="0"/>
              <w:jc w:val="center"/>
            </w:pPr>
            <w:r/>
            <w:r>
              <w:rPr>
                <w:rFonts w:ascii="Arial" w:hAnsi="Arial"/>
                <w:b/>
                <w:color w:val="FFFFFF"/>
                <w:sz w:val="18"/>
              </w:rPr>
              <w:t>Use It When You See</w:t>
            </w:r>
          </w:p>
        </w:tc>
        <w:tc>
          <w:tcPr>
            <w:tcW w:type="dxa" w:w="3912"/>
            <w:shd w:fill="179C9D"/>
            <w:vAlign w:val="center"/>
            <w:tcMar>
              <w:top w:w="100" w:type="dxa"/>
              <w:start w:w="120" w:type="dxa"/>
              <w:bottom w:w="100" w:type="dxa"/>
              <w:end w:w="120" w:type="dxa"/>
            </w:tcMar>
          </w:tcPr>
          <w:p>
            <w:pPr>
              <w:spacing w:after="0"/>
              <w:jc w:val="center"/>
            </w:pPr>
            <w:r/>
            <w:r>
              <w:rPr>
                <w:rFonts w:ascii="Arial" w:hAnsi="Arial"/>
                <w:b/>
                <w:color w:val="FFFFFF"/>
                <w:sz w:val="18"/>
              </w:rPr>
              <w:t>Primary Question</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 Universal Legal Decision Map</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Any law-based vignette</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law controls, and what must happen first?</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2. Minor Consent</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Minor requests treatment; parent access or involvement</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Who may consent, participate, pay, or access information?</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3. Confidentiality &amp; Privilege</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Release, records, attorney request, testimony</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this privacy, disclosure, or courtroom privilege?</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4. Subpoenas &amp; Court Orders</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Legal demand for records or testimony</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is the document, who holds privilege, and what response is due?</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5. Child Abuse Reporting</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Known or reasonably suspected child abuse/neglect</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Has the reporting threshold been met?</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6. Elder/Dependent Adult Reporting</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Abuse, neglect, isolation, exploitation</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Which reporting timeline and receiving agency apply?</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7. Duty to Protect</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Serious threat to an identifiable victim</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the statutory duty-to-protect trigger present?</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8. 5150/Crisis Decisions</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Danger to self/others or grave disability</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Does the person meet statutory detention criteria, and who may initiate?</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9. Telehealth</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Remote session, location, privacy, jurisdiction</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must occur at initiation and at each session?</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10. Records</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Access, copies, retention, disclosure</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Who is entitled, what timeline applies, and what must be retained?</w:t>
            </w:r>
          </w:p>
        </w:tc>
      </w:tr>
      <w:tr>
        <w:tc>
          <w:tcPr>
            <w:tcW w:type="dxa" w:w="233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11. Termination</w:t>
            </w:r>
          </w:p>
        </w:tc>
        <w:tc>
          <w:tcPr>
            <w:tcW w:type="dxa" w:w="38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No benefit, interruption, relocation, nonpayment</w:t>
            </w:r>
          </w:p>
        </w:tc>
        <w:tc>
          <w:tcPr>
            <w:tcW w:type="dxa" w:w="3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How can care end without abandonment or unnecessary continuation?</w:t>
            </w:r>
          </w:p>
        </w:tc>
      </w:tr>
      <w:tr>
        <w:tc>
          <w:tcPr>
            <w:tcW w:type="dxa" w:w="233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12. Practice Worksheet</w:t>
            </w:r>
          </w:p>
        </w:tc>
        <w:tc>
          <w:tcPr>
            <w:tcW w:type="dxa" w:w="38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Any missed or difficult item</w:t>
            </w:r>
          </w:p>
        </w:tc>
        <w:tc>
          <w:tcPr>
            <w:tcW w:type="dxa" w:w="3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Can I state the trigger, action, timing, and reason?</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Current LMFT examination blueprint: Pearson VUE, Licensed Marriage and Family Therapist Law and Ethics Examination Outline, effective January 2024; listed as the current LMFT outline on the Pearson VUE BBS resource page reviewed August 2026.</w:t>
      </w:r>
    </w:p>
    <w:p>
      <w:r>
        <w:br w:type="page"/>
      </w:r>
    </w:p>
    <w:p>
      <w:pPr>
        <w:spacing w:before="0" w:after="40"/>
      </w:pPr>
      <w:r>
        <w:rPr>
          <w:rFonts w:ascii="Arial" w:hAnsi="Arial"/>
          <w:b/>
          <w:color w:val="112A4A"/>
          <w:sz w:val="34"/>
        </w:rPr>
        <w:t>1. Universal Legal Decision Map</w:t>
      </w:r>
    </w:p>
    <w:p>
      <w:pPr>
        <w:spacing w:after="120"/>
      </w:pPr>
      <w:r>
        <w:rPr>
          <w:rFonts w:ascii="Arial" w:hAnsi="Arial"/>
          <w:i/>
          <w:color w:val="179C9D"/>
          <w:sz w:val="20"/>
        </w:rPr>
        <w:t>A repeatable method for every law-based vignette</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role and legal authority</w:t>
            </w:r>
          </w:p>
          <w:p>
            <w:pPr>
              <w:spacing w:after="0"/>
            </w:pPr>
            <w:r>
              <w:rPr>
                <w:rFonts w:ascii="Arial" w:hAnsi="Arial"/>
                <w:color w:val="243447"/>
                <w:sz w:val="18"/>
              </w:rPr>
              <w:t>Determine whether the actor is a licensed clinician, associate, trainee, supervisor, mandated reporter, privilege holder, authorized representative, peace officer, or county-designated professional.</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Locate the trigger fact</w:t>
            </w:r>
          </w:p>
          <w:p>
            <w:pPr>
              <w:spacing w:after="0"/>
            </w:pPr>
            <w:r>
              <w:rPr>
                <w:rFonts w:ascii="Arial" w:hAnsi="Arial"/>
                <w:color w:val="243447"/>
                <w:sz w:val="18"/>
              </w:rPr>
              <w:t>Look for the fact that activates the rule: reasonable suspicion, serious threat, signed authorization, minor self-consent, subpoena, court order, present telehealth location, danger, grave disability, or termination of therapy.</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Separate “must,” “may,” and “should”</w:t>
            </w:r>
          </w:p>
          <w:p>
            <w:pPr>
              <w:spacing w:after="0"/>
            </w:pPr>
            <w:r>
              <w:rPr>
                <w:rFonts w:ascii="Arial" w:hAnsi="Arial"/>
                <w:color w:val="243447"/>
                <w:sz w:val="18"/>
              </w:rPr>
              <w:t>A legal mandate requires action. A legal permission allows action. An ethical or risk-management recommendation may guide judgment but should not be converted into a statute.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Choose the minimum sufficient action</w:t>
            </w:r>
          </w:p>
          <w:p>
            <w:pPr>
              <w:spacing w:after="0"/>
            </w:pPr>
            <w:r>
              <w:rPr>
                <w:rFonts w:ascii="Arial" w:hAnsi="Arial"/>
                <w:color w:val="243447"/>
                <w:sz w:val="18"/>
              </w:rPr>
              <w:t>Avoid both under-response and over-response. The best answer usually meets the legal duty while limiting unnecessary disclosure, coercion, investigation, delay, or role confusion.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Check timing and sequence</w:t>
            </w:r>
          </w:p>
          <w:p>
            <w:pPr>
              <w:spacing w:after="0"/>
            </w:pPr>
            <w:r>
              <w:rPr>
                <w:rFonts w:ascii="Arial" w:hAnsi="Arial"/>
                <w:color w:val="243447"/>
                <w:sz w:val="18"/>
              </w:rPr>
              <w:t>Many items turn on order: assess first, report immediately, document consent before telehealth, respond to a legal demand without automatically releasing, or offer voluntary alternatives before detention when appropriate.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Document the legally significant facts</w:t>
            </w:r>
          </w:p>
          <w:p>
            <w:pPr>
              <w:spacing w:after="0"/>
            </w:pPr>
            <w:r>
              <w:rPr>
                <w:rFonts w:ascii="Arial" w:hAnsi="Arial"/>
                <w:color w:val="243447"/>
                <w:sz w:val="18"/>
              </w:rPr>
              <w:t>Document the trigger, assessment, consultation when used, action taken, timing, information disclosed, recipient, and follow-up.</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Common Weak Answer</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Stronger Exam Reasoning</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nothing because confidentiality is absolute.”</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Confidentiality is strong but subject to specific authorizations, mandates, permissions, court processes, and privilege rules.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“Disclose everything to be safe.”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Disclose only what is authorized, compelled, or reasonably necessary for the legal purpose.</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“Investigate until certain.”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Reporting statutes often use reasonable suspicion, not proof. Clinicians report; investigative agencies investigate.</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a fixed number or timeline not stated in law.”</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the actual statutory timing. For ethical transitions, evaluate acuity and continuity rather than inventing a universal number.</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supervisor decides.”</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Many duties are individual. Consultation may support judgment but does not automatically transfer legal responsibility.</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EXAM PEARL</w:t>
            </w:r>
          </w:p>
          <w:p>
            <w:pPr>
              <w:spacing w:after="0"/>
            </w:pPr>
            <w:r>
              <w:rPr>
                <w:rFonts w:ascii="Arial" w:hAnsi="Arial"/>
                <w:color w:val="243447"/>
                <w:sz w:val="19"/>
              </w:rPr>
              <w:t>When two answers both sound protective, prefer the answer that names the correct legal trigger and follows the required sequence without adding an unnecessary extreme.</w:t>
            </w:r>
          </w:p>
        </w:tc>
      </w:tr>
    </w:tbl>
    <w:p>
      <w:pPr>
        <w:spacing w:after="0"/>
      </w:pPr>
    </w:p>
    <w:p>
      <w:r>
        <w:br w:type="page"/>
      </w:r>
    </w:p>
    <w:p>
      <w:pPr>
        <w:spacing w:before="0" w:after="40"/>
      </w:pPr>
      <w:r>
        <w:rPr>
          <w:rFonts w:ascii="Arial" w:hAnsi="Arial"/>
          <w:b/>
          <w:color w:val="112A4A"/>
          <w:sz w:val="34"/>
        </w:rPr>
        <w:t>2. Minor Consent Decision Guide</w:t>
      </w:r>
    </w:p>
    <w:p>
      <w:pPr>
        <w:spacing w:after="120"/>
      </w:pPr>
      <w:r>
        <w:rPr>
          <w:rFonts w:ascii="Arial" w:hAnsi="Arial"/>
          <w:i/>
          <w:color w:val="179C9D"/>
          <w:sz w:val="20"/>
        </w:rPr>
        <w:t>California Family Code § 6924</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the service</w:t>
            </w:r>
          </w:p>
          <w:p>
            <w:pPr>
              <w:spacing w:after="0"/>
            </w:pPr>
            <w:r>
              <w:rPr>
                <w:rFonts w:ascii="Arial" w:hAnsi="Arial"/>
                <w:color w:val="243447"/>
                <w:sz w:val="18"/>
              </w:rPr>
              <w:t>The rule applies to outpatient mental health treatment or counseling by an authorized professional person.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age</w:t>
            </w:r>
          </w:p>
          <w:p>
            <w:pPr>
              <w:spacing w:after="0"/>
            </w:pPr>
            <w:r>
              <w:rPr>
                <w:rFonts w:ascii="Arial" w:hAnsi="Arial"/>
                <w:color w:val="243447"/>
                <w:sz w:val="18"/>
              </w:rPr>
              <w:t>The minor must be 12 years of age or older.</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maturity</w:t>
            </w:r>
          </w:p>
          <w:p>
            <w:pPr>
              <w:spacing w:after="0"/>
            </w:pPr>
            <w:r>
              <w:rPr>
                <w:rFonts w:ascii="Arial" w:hAnsi="Arial"/>
                <w:color w:val="243447"/>
                <w:sz w:val="18"/>
              </w:rPr>
              <w:t>The attending professional must believe the minor is mature enough to participate intelligently in the services.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Address parent or guardian involvement</w:t>
            </w:r>
          </w:p>
          <w:p>
            <w:pPr>
              <w:spacing w:after="0"/>
            </w:pPr>
            <w:r>
              <w:rPr>
                <w:rFonts w:ascii="Arial" w:hAnsi="Arial"/>
                <w:color w:val="243447"/>
                <w:sz w:val="18"/>
              </w:rPr>
              <w:t>Include the parent or guardian unless, after consulting with the minor, the clinician determines involvement would be inappropriate.</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Document the involvement decision</w:t>
            </w:r>
          </w:p>
          <w:p>
            <w:pPr>
              <w:spacing w:after="0"/>
            </w:pPr>
            <w:r>
              <w:rPr>
                <w:rFonts w:ascii="Arial" w:hAnsi="Arial"/>
                <w:color w:val="243447"/>
                <w:sz w:val="18"/>
              </w:rPr>
              <w:t>Record whether and when contact was attempted, whether it succeeded, or why contact would be inappropriate.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Separate consent, payment, and records</w:t>
            </w:r>
          </w:p>
          <w:p>
            <w:pPr>
              <w:spacing w:after="0"/>
            </w:pPr>
            <w:r>
              <w:rPr>
                <w:rFonts w:ascii="Arial" w:hAnsi="Arial"/>
                <w:color w:val="243447"/>
                <w:sz w:val="18"/>
              </w:rPr>
              <w:t>A minor’s authority to consent does not automatically make a parent financially liable. Access and privilege depend on who lawfully consented and other applicable law.</w:t>
            </w:r>
          </w:p>
        </w:tc>
      </w:tr>
    </w:tbl>
    <w:p>
      <w:pPr>
        <w:spacing w:after="0"/>
      </w:pPr>
    </w:p>
    <w:tbl>
      <w:tblPr>
        <w:tblW w:type="dxa" w:w="10080"/>
        <w:jc w:val="center"/>
        <w:tblLayout w:type="fixed"/>
        <w:tblLook w:firstColumn="1" w:firstRow="1" w:lastColumn="0" w:lastRow="0" w:noHBand="0" w:noVBand="1" w:val="04A0"/>
        <w:tblInd w:w="0" w:type="dxa"/>
      </w:tblPr>
      <w:tblGrid>
        <w:gridCol w:w="3009"/>
        <w:gridCol w:w="3536"/>
        <w:gridCol w:w="3535"/>
      </w:tblGrid>
      <w:tr>
        <w:trPr>
          <w:tblHeader w:val="true"/>
        </w:trPr>
        <w:tc>
          <w:tcPr>
            <w:tcW w:type="dxa" w:w="3009"/>
            <w:shd w:fill="112A4A"/>
            <w:vAlign w:val="center"/>
            <w:tcMar>
              <w:top w:w="100" w:type="dxa"/>
              <w:start w:w="120" w:type="dxa"/>
              <w:bottom w:w="100" w:type="dxa"/>
              <w:end w:w="120" w:type="dxa"/>
            </w:tcMar>
          </w:tcPr>
          <w:p>
            <w:pPr>
              <w:spacing w:after="0"/>
              <w:jc w:val="center"/>
            </w:pPr>
            <w:r/>
            <w:r>
              <w:rPr>
                <w:rFonts w:ascii="Arial" w:hAnsi="Arial"/>
                <w:b/>
                <w:color w:val="FFFFFF"/>
                <w:sz w:val="18"/>
              </w:rPr>
              <w:t>Fact Pattern</w:t>
            </w:r>
          </w:p>
        </w:tc>
        <w:tc>
          <w:tcPr>
            <w:tcW w:type="dxa" w:w="3536"/>
            <w:shd w:fill="179C9D"/>
            <w:vAlign w:val="center"/>
            <w:tcMar>
              <w:top w:w="100" w:type="dxa"/>
              <w:start w:w="120" w:type="dxa"/>
              <w:bottom w:w="100" w:type="dxa"/>
              <w:end w:w="120" w:type="dxa"/>
            </w:tcMar>
          </w:tcPr>
          <w:p>
            <w:pPr>
              <w:spacing w:after="0"/>
              <w:jc w:val="center"/>
            </w:pPr>
            <w:r/>
            <w:r>
              <w:rPr>
                <w:rFonts w:ascii="Arial" w:hAnsi="Arial"/>
                <w:b/>
                <w:color w:val="FFFFFF"/>
                <w:sz w:val="18"/>
              </w:rPr>
              <w:t>Controlling Point</w:t>
            </w:r>
          </w:p>
        </w:tc>
        <w:tc>
          <w:tcPr>
            <w:tcW w:type="dxa" w:w="3535"/>
            <w:shd w:fill="179C9D"/>
            <w:vAlign w:val="center"/>
            <w:tcMar>
              <w:top w:w="100" w:type="dxa"/>
              <w:start w:w="120" w:type="dxa"/>
              <w:bottom w:w="100" w:type="dxa"/>
              <w:end w:w="120" w:type="dxa"/>
            </w:tcMar>
          </w:tcPr>
          <w:p>
            <w:pPr>
              <w:spacing w:after="0"/>
              <w:jc w:val="center"/>
            </w:pPr>
            <w:r/>
            <w:r>
              <w:rPr>
                <w:rFonts w:ascii="Arial" w:hAnsi="Arial"/>
                <w:b/>
                <w:color w:val="FFFFFF"/>
                <w:sz w:val="18"/>
              </w:rPr>
              <w:t>Exam Response</w:t>
            </w:r>
          </w:p>
        </w:tc>
      </w:tr>
      <w:tr>
        <w:tc>
          <w:tcPr>
            <w:tcW w:type="dxa" w:w="3009"/>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Age 11</w:t>
            </w:r>
          </w:p>
        </w:tc>
        <w:tc>
          <w:tcPr>
            <w:tcW w:type="dxa" w:w="35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Does not meet § 6924 age threshold</w:t>
            </w:r>
          </w:p>
        </w:tc>
        <w:tc>
          <w:tcPr>
            <w:tcW w:type="dxa" w:w="35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 rely on minor self-consent under this section.</w:t>
            </w:r>
          </w:p>
        </w:tc>
      </w:tr>
      <w:tr>
        <w:tc>
          <w:tcPr>
            <w:tcW w:type="dxa" w:w="3009"/>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Age 13, mature enough</w:t>
            </w:r>
          </w:p>
        </w:tc>
        <w:tc>
          <w:tcPr>
            <w:tcW w:type="dxa" w:w="35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May self-consent to outpatient services</w:t>
            </w:r>
          </w:p>
        </w:tc>
        <w:tc>
          <w:tcPr>
            <w:tcW w:type="dxa" w:w="353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Assess and document maturity; then address parent involvement.</w:t>
            </w:r>
          </w:p>
        </w:tc>
      </w:tr>
      <w:tr>
        <w:tc>
          <w:tcPr>
            <w:tcW w:type="dxa" w:w="3009"/>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involvement could be inappropriate</w:t>
            </w:r>
          </w:p>
        </w:tc>
        <w:tc>
          <w:tcPr>
            <w:tcW w:type="dxa" w:w="35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Clinician may exclude involvement after consultation with minor</w:t>
            </w:r>
          </w:p>
        </w:tc>
        <w:tc>
          <w:tcPr>
            <w:tcW w:type="dxa" w:w="35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Document the reason and ongoing clinical judgment.</w:t>
            </w:r>
          </w:p>
        </w:tc>
      </w:tr>
      <w:tr>
        <w:tc>
          <w:tcPr>
            <w:tcW w:type="dxa" w:w="3009"/>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demands records after minor self-consented</w:t>
            </w:r>
          </w:p>
        </w:tc>
        <w:tc>
          <w:tcPr>
            <w:tcW w:type="dxa" w:w="353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Consent authority and record-access rights require legal analysis</w:t>
            </w:r>
          </w:p>
        </w:tc>
        <w:tc>
          <w:tcPr>
            <w:tcW w:type="dxa" w:w="353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 assume automatic parental access or automatic denial.</w:t>
            </w:r>
          </w:p>
        </w:tc>
      </w:tr>
      <w:tr>
        <w:tc>
          <w:tcPr>
            <w:tcW w:type="dxa" w:w="3009"/>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did not participate</w:t>
            </w:r>
          </w:p>
        </w:tc>
        <w:tc>
          <w:tcPr>
            <w:tcW w:type="dxa" w:w="353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Parent is generally not liable for payment under § 6924</w:t>
            </w:r>
          </w:p>
        </w:tc>
        <w:tc>
          <w:tcPr>
            <w:tcW w:type="dxa" w:w="35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Clarify payment arrangements before treatment.</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DECEC"/>
            <w:tcBorders>
              <w:top w:val="single" w:sz="10" w:color="B42318"/>
              <w:left w:val="single" w:sz="18" w:color="B42318"/>
              <w:bottom w:val="single" w:sz="10" w:color="B42318"/>
              <w:right w:val="single" w:sz="10" w:color="B42318"/>
            </w:tcBorders>
            <w:tcMar>
              <w:top w:w="120" w:type="dxa"/>
              <w:start w:w="170" w:type="dxa"/>
              <w:bottom w:w="120" w:type="dxa"/>
              <w:end w:w="150" w:type="dxa"/>
            </w:tcMar>
          </w:tcPr>
          <w:p>
            <w:pPr>
              <w:spacing w:after="80"/>
            </w:pPr>
            <w:r>
              <w:rPr>
                <w:rFonts w:ascii="Arial" w:hAnsi="Arial"/>
                <w:b/>
                <w:color w:val="112A4A"/>
                <w:sz w:val="21"/>
              </w:rPr>
              <w:t>DO NOT USE THE OLD RULE</w:t>
            </w:r>
          </w:p>
          <w:p>
            <w:pPr>
              <w:spacing w:after="0"/>
            </w:pPr>
            <w:r>
              <w:rPr>
                <w:rFonts w:ascii="Arial" w:hAnsi="Arial"/>
                <w:color w:val="243447"/>
                <w:sz w:val="19"/>
              </w:rPr>
              <w:t>The current § 6924, operative July 1, 2024, does not require the minor to present a danger to self or others or to be an alleged victim of abuse before self-consenting. The controlling test is age 12 or older plus sufficient maturity.</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Family Code § 6924 (operative July 1, 2024; reviewed August 2026).</w:t>
      </w:r>
    </w:p>
    <w:p>
      <w:r>
        <w:br w:type="page"/>
      </w:r>
    </w:p>
    <w:p>
      <w:pPr>
        <w:spacing w:before="0" w:after="40"/>
      </w:pPr>
      <w:r>
        <w:rPr>
          <w:rFonts w:ascii="Arial" w:hAnsi="Arial"/>
          <w:b/>
          <w:color w:val="112A4A"/>
          <w:sz w:val="34"/>
        </w:rPr>
        <w:t>3. Confidentiality, Authorization, and Privilege</w:t>
      </w:r>
    </w:p>
    <w:p>
      <w:pPr>
        <w:spacing w:after="120"/>
      </w:pPr>
      <w:r>
        <w:rPr>
          <w:rFonts w:ascii="Arial" w:hAnsi="Arial"/>
          <w:i/>
          <w:color w:val="179C9D"/>
          <w:sz w:val="20"/>
        </w:rPr>
        <w:t>Three concepts that the exam frequently separates</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2181"/>
        <w:gridCol w:w="4664"/>
        <w:gridCol w:w="3235"/>
      </w:tblGrid>
      <w:tr>
        <w:trPr>
          <w:tblHeader w:val="true"/>
        </w:trPr>
        <w:tc>
          <w:tcPr>
            <w:tcW w:type="dxa" w:w="2181"/>
            <w:shd w:fill="112A4A"/>
            <w:vAlign w:val="center"/>
            <w:tcMar>
              <w:top w:w="100" w:type="dxa"/>
              <w:start w:w="120" w:type="dxa"/>
              <w:bottom w:w="100" w:type="dxa"/>
              <w:end w:w="120" w:type="dxa"/>
            </w:tcMar>
          </w:tcPr>
          <w:p>
            <w:pPr>
              <w:spacing w:after="0"/>
              <w:jc w:val="center"/>
            </w:pPr>
            <w:r/>
            <w:r>
              <w:rPr>
                <w:rFonts w:ascii="Arial" w:hAnsi="Arial"/>
                <w:b/>
                <w:color w:val="FFFFFF"/>
                <w:sz w:val="18"/>
              </w:rPr>
              <w:t>Concept</w:t>
            </w:r>
          </w:p>
        </w:tc>
        <w:tc>
          <w:tcPr>
            <w:tcW w:type="dxa" w:w="4664"/>
            <w:shd w:fill="179C9D"/>
            <w:vAlign w:val="center"/>
            <w:tcMar>
              <w:top w:w="100" w:type="dxa"/>
              <w:start w:w="120" w:type="dxa"/>
              <w:bottom w:w="100" w:type="dxa"/>
              <w:end w:w="120" w:type="dxa"/>
            </w:tcMar>
          </w:tcPr>
          <w:p>
            <w:pPr>
              <w:spacing w:after="0"/>
              <w:jc w:val="center"/>
            </w:pPr>
            <w:r/>
            <w:r>
              <w:rPr>
                <w:rFonts w:ascii="Arial" w:hAnsi="Arial"/>
                <w:b/>
                <w:color w:val="FFFFFF"/>
                <w:sz w:val="18"/>
              </w:rPr>
              <w:t>What It Controls</w:t>
            </w:r>
          </w:p>
        </w:tc>
        <w:tc>
          <w:tcPr>
            <w:tcW w:type="dxa" w:w="3235"/>
            <w:shd w:fill="179C9D"/>
            <w:vAlign w:val="center"/>
            <w:tcMar>
              <w:top w:w="100" w:type="dxa"/>
              <w:start w:w="120" w:type="dxa"/>
              <w:bottom w:w="100" w:type="dxa"/>
              <w:end w:w="120" w:type="dxa"/>
            </w:tcMar>
          </w:tcPr>
          <w:p>
            <w:pPr>
              <w:spacing w:after="0"/>
              <w:jc w:val="center"/>
            </w:pPr>
            <w:r/>
            <w:r>
              <w:rPr>
                <w:rFonts w:ascii="Arial" w:hAnsi="Arial"/>
                <w:b/>
                <w:color w:val="FFFFFF"/>
                <w:sz w:val="18"/>
              </w:rPr>
              <w:t>Key Question</w:t>
            </w:r>
          </w:p>
        </w:tc>
      </w:tr>
      <w:tr>
        <w:tc>
          <w:tcPr>
            <w:tcW w:type="dxa" w:w="2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Confidentiality</w:t>
            </w:r>
          </w:p>
        </w:tc>
        <w:tc>
          <w:tcPr>
            <w:tcW w:type="dxa" w:w="466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clinician’s duty to protect client information in treatment and records</w:t>
            </w:r>
          </w:p>
        </w:tc>
        <w:tc>
          <w:tcPr>
            <w:tcW w:type="dxa" w:w="32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May or must the clinician disclose?</w:t>
            </w:r>
          </w:p>
        </w:tc>
      </w:tr>
      <w:tr>
        <w:tc>
          <w:tcPr>
            <w:tcW w:type="dxa" w:w="2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Authorization</w:t>
            </w:r>
          </w:p>
        </w:tc>
        <w:tc>
          <w:tcPr>
            <w:tcW w:type="dxa" w:w="466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patient’s or representative’s permission for a defined disclosure</w:t>
            </w:r>
          </w:p>
        </w:tc>
        <w:tc>
          <w:tcPr>
            <w:tcW w:type="dxa" w:w="323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Is the authorization valid, specific, and sufficient for this disclosure?</w:t>
            </w:r>
          </w:p>
        </w:tc>
      </w:tr>
      <w:tr>
        <w:tc>
          <w:tcPr>
            <w:tcW w:type="dxa" w:w="2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Privilege</w:t>
            </w:r>
          </w:p>
        </w:tc>
        <w:tc>
          <w:tcPr>
            <w:tcW w:type="dxa" w:w="466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right to refuse disclosure and prevent disclosure in a legal proceeding</w:t>
            </w:r>
          </w:p>
        </w:tc>
        <w:tc>
          <w:tcPr>
            <w:tcW w:type="dxa" w:w="323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Who holds the privilege, and has it been asserted, waived, or excepted?</w:t>
            </w:r>
          </w:p>
        </w:tc>
      </w:tr>
    </w:tbl>
    <w:p>
      <w:pPr>
        <w:spacing w:after="0"/>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Classify the request</w:t>
            </w:r>
          </w:p>
          <w:p>
            <w:pPr>
              <w:spacing w:after="0"/>
            </w:pPr>
            <w:r>
              <w:rPr>
                <w:rFonts w:ascii="Arial" w:hAnsi="Arial"/>
                <w:color w:val="243447"/>
                <w:sz w:val="18"/>
              </w:rPr>
              <w:t>Treatment coordination, insurance, patient access, attorney request, subpoena, court order, mandated report, safety disclosure, or other legal process.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decision-maker</w:t>
            </w:r>
          </w:p>
          <w:p>
            <w:pPr>
              <w:spacing w:after="0"/>
            </w:pPr>
            <w:r>
              <w:rPr>
                <w:rFonts w:ascii="Arial" w:hAnsi="Arial"/>
                <w:color w:val="243447"/>
                <w:sz w:val="18"/>
              </w:rPr>
              <w:t>Patient, guardian/conservator, personal representative, or another lawful privilege holder/authorized representative.</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Check authorization or legal authority</w:t>
            </w:r>
          </w:p>
          <w:p>
            <w:pPr>
              <w:spacing w:after="0"/>
            </w:pPr>
            <w:r>
              <w:rPr>
                <w:rFonts w:ascii="Arial" w:hAnsi="Arial"/>
                <w:color w:val="243447"/>
                <w:sz w:val="18"/>
              </w:rPr>
              <w:t>Do not treat a general request as permission. Confirm the scope, purpose, recipient, and expiration or applicable legal authority.</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privilege separately in legal proceedings</w:t>
            </w:r>
          </w:p>
          <w:p>
            <w:pPr>
              <w:spacing w:after="0"/>
            </w:pPr>
            <w:r>
              <w:rPr>
                <w:rFonts w:ascii="Arial" w:hAnsi="Arial"/>
                <w:color w:val="243447"/>
                <w:sz w:val="18"/>
              </w:rPr>
              <w:t>The patient generally holds the psychotherapist-patient privilege. The psychotherapist may be authorized to claim it and must not assume an attorney request waives it.</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Limit disclosure</w:t>
            </w:r>
          </w:p>
          <w:p>
            <w:pPr>
              <w:spacing w:after="0"/>
            </w:pPr>
            <w:r>
              <w:rPr>
                <w:rFonts w:ascii="Arial" w:hAnsi="Arial"/>
                <w:color w:val="243447"/>
                <w:sz w:val="18"/>
              </w:rPr>
              <w:t>Release only the information authorized, compelled, or reasonably necessary.</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Trigger</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Exam Reminder</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Attorney letter</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lawyer’s request alone is not the same as client authorization or a judicial order.</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Signed release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Read its scope; a signature does not authorize unrelated information.</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Court litigation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Determine privilege holder and applicable exceptions.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Patient puts mental condition at issue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privilege exception may apply to communications relevant to the tendered condition.</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Breach-of-duty claim</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Evidence Code § 1020 creates an exception for communications relevant to the alleged breach.</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Dangerous condition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Evidence Code § 1024 addresses privilege when disclosure is necessary to prevent threatened danger.</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Evidence Code §§ 1010–1027; Civil Code § 56.10.</w:t>
      </w:r>
    </w:p>
    <w:p>
      <w:r>
        <w:br w:type="page"/>
      </w:r>
    </w:p>
    <w:p>
      <w:pPr>
        <w:spacing w:before="0" w:after="40"/>
      </w:pPr>
      <w:r>
        <w:rPr>
          <w:rFonts w:ascii="Arial" w:hAnsi="Arial"/>
          <w:b/>
          <w:color w:val="112A4A"/>
          <w:sz w:val="34"/>
        </w:rPr>
        <w:t>4. Subpoena and Court-Order Response Map</w:t>
      </w:r>
    </w:p>
    <w:p>
      <w:pPr>
        <w:spacing w:after="120"/>
      </w:pPr>
      <w:r>
        <w:rPr>
          <w:rFonts w:ascii="Arial" w:hAnsi="Arial"/>
          <w:i/>
          <w:color w:val="179C9D"/>
          <w:sz w:val="20"/>
        </w:rPr>
        <w:t>Respond without automatically opening the file cabinet</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document</w:t>
            </w:r>
          </w:p>
          <w:p>
            <w:pPr>
              <w:spacing w:after="0"/>
            </w:pPr>
            <w:r>
              <w:rPr>
                <w:rFonts w:ascii="Arial" w:hAnsi="Arial"/>
                <w:color w:val="243447"/>
                <w:sz w:val="18"/>
              </w:rPr>
              <w:t>Distinguish an informal attorney request, authorization, subpoena, subpoena duces tecum, deposition notice, search warrant, and court order.</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Calendar the deadline</w:t>
            </w:r>
          </w:p>
          <w:p>
            <w:pPr>
              <w:spacing w:after="0"/>
            </w:pPr>
            <w:r>
              <w:rPr>
                <w:rFonts w:ascii="Arial" w:hAnsi="Arial"/>
                <w:color w:val="243447"/>
                <w:sz w:val="18"/>
              </w:rPr>
              <w:t>Do not ignore legal process. Preserve the document and note response and appearance dates.</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Analyze authorization and privilege</w:t>
            </w:r>
          </w:p>
          <w:p>
            <w:pPr>
              <w:spacing w:after="0"/>
            </w:pPr>
            <w:r>
              <w:rPr>
                <w:rFonts w:ascii="Arial" w:hAnsi="Arial"/>
                <w:color w:val="243447"/>
                <w:sz w:val="18"/>
              </w:rPr>
              <w:t>Determine who holds privilege, whether a valid authorization exists, whether privilege has been waived or excepted, and whether objections or protective procedures are available.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Seek appropriate legal consultation</w:t>
            </w:r>
          </w:p>
          <w:p>
            <w:pPr>
              <w:spacing w:after="0"/>
            </w:pPr>
            <w:r>
              <w:rPr>
                <w:rFonts w:ascii="Arial" w:hAnsi="Arial"/>
                <w:color w:val="243447"/>
                <w:sz w:val="18"/>
              </w:rPr>
              <w:t>Use malpractice counsel, organizational counsel, or another qualified legal resource when legal process is unclear or contested.</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Respond through the proper process</w:t>
            </w:r>
          </w:p>
          <w:p>
            <w:pPr>
              <w:spacing w:after="0"/>
            </w:pPr>
            <w:r>
              <w:rPr>
                <w:rFonts w:ascii="Arial" w:hAnsi="Arial"/>
                <w:color w:val="243447"/>
                <w:sz w:val="18"/>
              </w:rPr>
              <w:t>A subpoena may compel a response, but it does not eliminate privilege analysis. A court order issued by a court is a distinct basis for compelled disclosure.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Narrow and document</w:t>
            </w:r>
          </w:p>
          <w:p>
            <w:pPr>
              <w:spacing w:after="0"/>
            </w:pPr>
            <w:r>
              <w:rPr>
                <w:rFonts w:ascii="Arial" w:hAnsi="Arial"/>
                <w:color w:val="243447"/>
                <w:sz w:val="18"/>
              </w:rPr>
              <w:t>Provide only what is lawfully required, preserve confidentiality for unrelated material, and document the request, analysis, consultation, response, and disclosure.</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Avoid</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Use Instead</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Automatically releasing the complete chart</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Verify document validity, authorization, privilege, scope, and legal response obligations.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Ignoring a subpoena because confidentiality exists</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Respond by the deadline through the appropriate legal process.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Telling the issuing attorney “HIPAA means no”</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California confidentiality law, privilege law, HIPAA when applicable, and procedural requirements.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Destroying or altering records</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Preserve records and follow lawful retention and litigation-hold obligations.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Assuming every judge-signed order requires the entire file</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Read the exact scope and seek clarification or legal relief when appropriate.</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CRITICAL DISTINCTION</w:t>
            </w:r>
          </w:p>
          <w:p>
            <w:pPr>
              <w:spacing w:after="0"/>
            </w:pPr>
            <w:r>
              <w:rPr>
                <w:rFonts w:ascii="Arial" w:hAnsi="Arial"/>
                <w:color w:val="243447"/>
                <w:sz w:val="19"/>
              </w:rPr>
              <w:t>A subpoena and a court order are not interchangeable. At the same time, a subpoena is not merely optional paperwork. The best exam answer preserves privilege and confidentiality while still responding through the required legal process.</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Civil Code § 56.10(b); Evidence Code §§ 1013–1015 and applicable exceptions.</w:t>
      </w:r>
    </w:p>
    <w:p>
      <w:r>
        <w:br w:type="page"/>
      </w:r>
    </w:p>
    <w:p>
      <w:pPr>
        <w:spacing w:before="0" w:after="40"/>
      </w:pPr>
      <w:r>
        <w:rPr>
          <w:rFonts w:ascii="Arial" w:hAnsi="Arial"/>
          <w:b/>
          <w:color w:val="112A4A"/>
          <w:sz w:val="34"/>
        </w:rPr>
        <w:t>5. Child Abuse and Neglect Reporting</w:t>
      </w:r>
    </w:p>
    <w:p>
      <w:pPr>
        <w:spacing w:after="120"/>
      </w:pPr>
      <w:r>
        <w:rPr>
          <w:rFonts w:ascii="Arial" w:hAnsi="Arial"/>
          <w:i/>
          <w:color w:val="179C9D"/>
          <w:sz w:val="20"/>
        </w:rPr>
        <w:t>California Penal Code § 11166</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professional capacity</w:t>
            </w:r>
          </w:p>
          <w:p>
            <w:pPr>
              <w:spacing w:after="0"/>
            </w:pPr>
            <w:r>
              <w:rPr>
                <w:rFonts w:ascii="Arial" w:hAnsi="Arial"/>
                <w:color w:val="243447"/>
                <w:sz w:val="18"/>
              </w:rPr>
              <w:t>The information is acquired in the mandated reporter’s professional capacity or within the scope of employment.</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the threshold</w:t>
            </w:r>
          </w:p>
          <w:p>
            <w:pPr>
              <w:spacing w:after="0"/>
            </w:pPr>
            <w:r>
              <w:rPr>
                <w:rFonts w:ascii="Arial" w:hAnsi="Arial"/>
                <w:color w:val="243447"/>
                <w:sz w:val="18"/>
              </w:rPr>
              <w:t>The reporter knows or reasonably suspects that a child has been the victim of child abuse or neglect.</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 not wait for certainty</w:t>
            </w:r>
          </w:p>
          <w:p>
            <w:pPr>
              <w:spacing w:after="0"/>
            </w:pPr>
            <w:r>
              <w:rPr>
                <w:rFonts w:ascii="Arial" w:hAnsi="Arial"/>
                <w:color w:val="243447"/>
                <w:sz w:val="18"/>
              </w:rPr>
              <w:t>Reasonable suspicion is objective and may draw on training and experience. Proof, a confession, or a specific medical finding is not required.</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Make the initial report</w:t>
            </w:r>
          </w:p>
          <w:p>
            <w:pPr>
              <w:spacing w:after="0"/>
            </w:pPr>
            <w:r>
              <w:rPr>
                <w:rFonts w:ascii="Arial" w:hAnsi="Arial"/>
                <w:color w:val="243447"/>
                <w:sz w:val="18"/>
              </w:rPr>
              <w:t>Report by telephone immediately or as soon as practicably possible to an agency authorized by § 11165.9.</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Complete written follow-up</w:t>
            </w:r>
          </w:p>
          <w:p>
            <w:pPr>
              <w:spacing w:after="0"/>
            </w:pPr>
            <w:r>
              <w:rPr>
                <w:rFonts w:ascii="Arial" w:hAnsi="Arial"/>
                <w:color w:val="243447"/>
                <w:sz w:val="18"/>
              </w:rPr>
              <w:t>Prepare and send, fax, or electronically transmit the written follow-up within 36 hours of receiving the information.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Remember individual responsibility</w:t>
            </w:r>
          </w:p>
          <w:p>
            <w:pPr>
              <w:spacing w:after="0"/>
            </w:pPr>
            <w:r>
              <w:rPr>
                <w:rFonts w:ascii="Arial" w:hAnsi="Arial"/>
                <w:color w:val="243447"/>
                <w:sz w:val="18"/>
              </w:rPr>
              <w:t>Reporting to a supervisor, coworker, client, or internal committee is not a substitute. Team reporting does not excuse a member who learns the designated reporter failed.</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Exam Trap</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Correction</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“Interview everyone before deciding.”</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Do not delay a report to investigate. The receiving agency determines what occurred.</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victim is not my client.”</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statute focuses on information acquired in professional capacity, not whether the child is the therapy client.</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“Tell the client to report instead.”</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client’s report does not replace the clinician’s individual duty.</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“Consultation suspends the deadline.”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Consultation may be useful, but the statutory timing remains.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“No physical injury means no report.”</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Child abuse and neglect include multiple reportable categories; apply the statutory definitions.</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MEMORY CUE</w:t>
            </w:r>
          </w:p>
          <w:p>
            <w:pPr>
              <w:spacing w:after="0"/>
            </w:pPr>
            <w:r>
              <w:rPr>
                <w:rFonts w:ascii="Arial" w:hAnsi="Arial"/>
                <w:color w:val="243447"/>
                <w:sz w:val="19"/>
              </w:rPr>
              <w:t>CHILD: Reasonable suspicion → telephone now/as practicable → written follow-up within 36 hours.</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Penal Code § 11166; BBS Statutes and Regulations publication effective January 1, 2026.</w:t>
      </w:r>
    </w:p>
    <w:p>
      <w:r>
        <w:br w:type="page"/>
      </w:r>
    </w:p>
    <w:p>
      <w:pPr>
        <w:spacing w:before="0" w:after="40"/>
      </w:pPr>
      <w:r>
        <w:rPr>
          <w:rFonts w:ascii="Arial" w:hAnsi="Arial"/>
          <w:b/>
          <w:color w:val="112A4A"/>
          <w:sz w:val="34"/>
        </w:rPr>
        <w:t>6. Elder and Dependent Adult Abuse Reporting</w:t>
      </w:r>
    </w:p>
    <w:p>
      <w:pPr>
        <w:spacing w:after="120"/>
      </w:pPr>
      <w:r>
        <w:rPr>
          <w:rFonts w:ascii="Arial" w:hAnsi="Arial"/>
          <w:i/>
          <w:color w:val="179C9D"/>
          <w:sz w:val="20"/>
        </w:rPr>
        <w:t>California Welfare and Institutions Code § 15630</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mandated-reporter status</w:t>
            </w:r>
          </w:p>
          <w:p>
            <w:pPr>
              <w:spacing w:after="0"/>
            </w:pPr>
            <w:r>
              <w:rPr>
                <w:rFonts w:ascii="Arial" w:hAnsi="Arial"/>
                <w:color w:val="243447"/>
                <w:sz w:val="18"/>
              </w:rPr>
              <w:t>Health practitioners, including psychotherapists, are included among mandated reporters.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reportable information</w:t>
            </w:r>
          </w:p>
          <w:p>
            <w:pPr>
              <w:spacing w:after="0"/>
            </w:pPr>
            <w:r>
              <w:rPr>
                <w:rFonts w:ascii="Arial" w:hAnsi="Arial"/>
                <w:color w:val="243447"/>
                <w:sz w:val="18"/>
              </w:rPr>
              <w:t>Observed, known, alleged, or reasonably suspected physical abuse, abandonment, abduction, isolation, financial abuse, or neglect obtained in professional capacity or employment.</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setting</w:t>
            </w:r>
          </w:p>
          <w:p>
            <w:pPr>
              <w:spacing w:after="0"/>
            </w:pPr>
            <w:r>
              <w:rPr>
                <w:rFonts w:ascii="Arial" w:hAnsi="Arial"/>
                <w:color w:val="243447"/>
                <w:sz w:val="18"/>
              </w:rPr>
              <w:t>Reporting destination and timing differ for community settings, long-term care facilities, state hospitals, and developmental centers.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Make the immediate report</w:t>
            </w:r>
          </w:p>
          <w:p>
            <w:pPr>
              <w:spacing w:after="0"/>
            </w:pPr>
            <w:r>
              <w:rPr>
                <w:rFonts w:ascii="Arial" w:hAnsi="Arial"/>
                <w:color w:val="243447"/>
                <w:sz w:val="18"/>
              </w:rPr>
              <w:t>Generally report by telephone or authorized confidential internet tool immediately or as soon as practicably possible.</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Complete follow-up</w:t>
            </w:r>
          </w:p>
          <w:p>
            <w:pPr>
              <w:spacing w:after="0"/>
            </w:pPr>
            <w:r>
              <w:rPr>
                <w:rFonts w:ascii="Arial" w:hAnsi="Arial"/>
                <w:color w:val="243447"/>
                <w:sz w:val="18"/>
              </w:rPr>
              <w:t>When reporting by telephone in the general rule, send the written report or complete the internet report within two working days. Special facility rules may require two-hour or 24-hour action.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Keep the duty individual</w:t>
            </w:r>
          </w:p>
          <w:p>
            <w:pPr>
              <w:spacing w:after="0"/>
            </w:pPr>
            <w:r>
              <w:rPr>
                <w:rFonts w:ascii="Arial" w:hAnsi="Arial"/>
                <w:color w:val="243447"/>
                <w:sz w:val="18"/>
              </w:rPr>
              <w:t>A supervisor or administrator may not impede the report. Team designation does not excuse a member who learns the report was not made.</w:t>
            </w:r>
          </w:p>
        </w:tc>
      </w:tr>
    </w:tbl>
    <w:p>
      <w:pPr>
        <w:spacing w:after="0"/>
      </w:pPr>
    </w:p>
    <w:tbl>
      <w:tblPr>
        <w:tblW w:type="dxa" w:w="10080"/>
        <w:jc w:val="center"/>
        <w:tblLayout w:type="fixed"/>
        <w:tblLook w:firstColumn="1" w:firstRow="1" w:lastColumn="0" w:lastRow="0" w:noHBand="0" w:noVBand="1" w:val="04A0"/>
        <w:tblInd w:w="0" w:type="dxa"/>
      </w:tblPr>
      <w:tblGrid>
        <w:gridCol w:w="2613"/>
        <w:gridCol w:w="4555"/>
        <w:gridCol w:w="2912"/>
      </w:tblGrid>
      <w:tr>
        <w:trPr>
          <w:tblHeader w:val="true"/>
        </w:trPr>
        <w:tc>
          <w:tcPr>
            <w:tcW w:type="dxa" w:w="2613"/>
            <w:shd w:fill="112A4A"/>
            <w:vAlign w:val="center"/>
            <w:tcMar>
              <w:top w:w="100" w:type="dxa"/>
              <w:start w:w="120" w:type="dxa"/>
              <w:bottom w:w="100" w:type="dxa"/>
              <w:end w:w="120" w:type="dxa"/>
            </w:tcMar>
          </w:tcPr>
          <w:p>
            <w:pPr>
              <w:spacing w:after="0"/>
              <w:jc w:val="center"/>
            </w:pPr>
            <w:r/>
            <w:r>
              <w:rPr>
                <w:rFonts w:ascii="Arial" w:hAnsi="Arial"/>
                <w:b/>
                <w:color w:val="FFFFFF"/>
                <w:sz w:val="18"/>
              </w:rPr>
              <w:t>Setting</w:t>
            </w:r>
          </w:p>
        </w:tc>
        <w:tc>
          <w:tcPr>
            <w:tcW w:type="dxa" w:w="4555"/>
            <w:shd w:fill="179C9D"/>
            <w:vAlign w:val="center"/>
            <w:tcMar>
              <w:top w:w="100" w:type="dxa"/>
              <w:start w:w="120" w:type="dxa"/>
              <w:bottom w:w="100" w:type="dxa"/>
              <w:end w:w="120" w:type="dxa"/>
            </w:tcMar>
          </w:tcPr>
          <w:p>
            <w:pPr>
              <w:spacing w:after="0"/>
              <w:jc w:val="center"/>
            </w:pPr>
            <w:r/>
            <w:r>
              <w:rPr>
                <w:rFonts w:ascii="Arial" w:hAnsi="Arial"/>
                <w:b/>
                <w:color w:val="FFFFFF"/>
                <w:sz w:val="18"/>
              </w:rPr>
              <w:t>Initial Destination</w:t>
            </w:r>
          </w:p>
        </w:tc>
        <w:tc>
          <w:tcPr>
            <w:tcW w:type="dxa" w:w="2912"/>
            <w:shd w:fill="179C9D"/>
            <w:vAlign w:val="center"/>
            <w:tcMar>
              <w:top w:w="100" w:type="dxa"/>
              <w:start w:w="120" w:type="dxa"/>
              <w:bottom w:w="100" w:type="dxa"/>
              <w:end w:w="120" w:type="dxa"/>
            </w:tcMar>
          </w:tcPr>
          <w:p>
            <w:pPr>
              <w:spacing w:after="0"/>
              <w:jc w:val="center"/>
            </w:pPr>
            <w:r/>
            <w:r>
              <w:rPr>
                <w:rFonts w:ascii="Arial" w:hAnsi="Arial"/>
                <w:b/>
                <w:color w:val="FFFFFF"/>
                <w:sz w:val="18"/>
              </w:rPr>
              <w:t>Timing Reminder</w:t>
            </w:r>
          </w:p>
        </w:tc>
      </w:tr>
      <w:tr>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Community / nonfacility</w:t>
            </w:r>
          </w:p>
        </w:tc>
        <w:tc>
          <w:tcPr>
            <w:tcW w:type="dxa" w:w="455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Adult Protective Services or local law enforcement</w:t>
            </w:r>
          </w:p>
        </w:tc>
        <w:tc>
          <w:tcPr>
            <w:tcW w:type="dxa" w:w="2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Immediate/as soon as practicably possible; if telephone, follow-up within two working days.</w:t>
            </w:r>
          </w:p>
        </w:tc>
      </w:tr>
      <w:tr>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Long-term care facility</w:t>
            </w:r>
          </w:p>
        </w:tc>
        <w:tc>
          <w:tcPr>
            <w:tcW w:type="dxa" w:w="455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Ombudsman, law enforcement, and licensing agency as specified</w:t>
            </w:r>
          </w:p>
        </w:tc>
        <w:tc>
          <w:tcPr>
            <w:tcW w:type="dxa" w:w="2912"/>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Special two-hour/24-hour pathways may apply.</w:t>
            </w:r>
          </w:p>
        </w:tc>
      </w:tr>
      <w:tr>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State hospital/developmental center</w:t>
            </w:r>
          </w:p>
        </w:tc>
        <w:tc>
          <w:tcPr>
            <w:tcW w:type="dxa" w:w="455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Designated investigators and/or law enforcement</w:t>
            </w:r>
          </w:p>
        </w:tc>
        <w:tc>
          <w:tcPr>
            <w:tcW w:type="dxa" w:w="2912"/>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Special two-hour rules apply to specified events.</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DECEC"/>
            <w:tcBorders>
              <w:top w:val="single" w:sz="10" w:color="B42318"/>
              <w:left w:val="single" w:sz="18" w:color="B42318"/>
              <w:bottom w:val="single" w:sz="10" w:color="B42318"/>
              <w:right w:val="single" w:sz="10" w:color="B42318"/>
            </w:tcBorders>
            <w:tcMar>
              <w:top w:w="120" w:type="dxa"/>
              <w:start w:w="170" w:type="dxa"/>
              <w:bottom w:w="120" w:type="dxa"/>
              <w:end w:w="150" w:type="dxa"/>
            </w:tcMar>
          </w:tcPr>
          <w:p>
            <w:pPr>
              <w:spacing w:after="80"/>
            </w:pPr>
            <w:r>
              <w:rPr>
                <w:rFonts w:ascii="Arial" w:hAnsi="Arial"/>
                <w:b/>
                <w:color w:val="112A4A"/>
                <w:sz w:val="21"/>
              </w:rPr>
              <w:t>DO NOT COPY THE CHILD-ABUSE TIMELINE</w:t>
            </w:r>
          </w:p>
          <w:p>
            <w:pPr>
              <w:spacing w:after="0"/>
            </w:pPr>
            <w:r>
              <w:rPr>
                <w:rFonts w:ascii="Arial" w:hAnsi="Arial"/>
                <w:color w:val="243447"/>
                <w:sz w:val="19"/>
              </w:rPr>
              <w:t>Child abuse uses a 36-hour written follow-up. The general elder/dependent-adult rule uses two working days after a telephone report, with separate facility-specific timelines.</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Welfare and Institutions Code § 15630.</w:t>
      </w:r>
    </w:p>
    <w:p>
      <w:r>
        <w:br w:type="page"/>
      </w:r>
    </w:p>
    <w:p>
      <w:pPr>
        <w:spacing w:before="0" w:after="40"/>
      </w:pPr>
      <w:r>
        <w:rPr>
          <w:rFonts w:ascii="Arial" w:hAnsi="Arial"/>
          <w:b/>
          <w:color w:val="112A4A"/>
          <w:sz w:val="34"/>
        </w:rPr>
        <w:t>7. Duty to Protect and Safety Disclosures</w:t>
      </w:r>
    </w:p>
    <w:p>
      <w:pPr>
        <w:spacing w:after="120"/>
      </w:pPr>
      <w:r>
        <w:rPr>
          <w:rFonts w:ascii="Arial" w:hAnsi="Arial"/>
          <w:i/>
          <w:color w:val="179C9D"/>
          <w:sz w:val="20"/>
        </w:rPr>
        <w:t>Serious threats, foreseeable victims, and minimum necessary action</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Clarify the communication</w:t>
            </w:r>
          </w:p>
          <w:p>
            <w:pPr>
              <w:spacing w:after="0"/>
            </w:pPr>
            <w:r>
              <w:rPr>
                <w:rFonts w:ascii="Arial" w:hAnsi="Arial"/>
                <w:color w:val="243447"/>
                <w:sz w:val="18"/>
              </w:rPr>
              <w:t>Determine what the patient communicated, the seriousness and specificity of the threat, and whether physical violence is threatened.</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victim</w:t>
            </w:r>
          </w:p>
          <w:p>
            <w:pPr>
              <w:spacing w:after="0"/>
            </w:pPr>
            <w:r>
              <w:rPr>
                <w:rFonts w:ascii="Arial" w:hAnsi="Arial"/>
                <w:color w:val="243447"/>
                <w:sz w:val="18"/>
              </w:rPr>
              <w:t>Civil Code § 43.92 focuses on a reasonably identifiable victim or victims.</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urgency and access</w:t>
            </w:r>
          </w:p>
          <w:p>
            <w:pPr>
              <w:spacing w:after="0"/>
            </w:pPr>
            <w:r>
              <w:rPr>
                <w:rFonts w:ascii="Arial" w:hAnsi="Arial"/>
                <w:color w:val="243447"/>
                <w:sz w:val="18"/>
              </w:rPr>
              <w:t>Evaluate intent, plan, means, timing, history, protective factors, and present ability to act. This clinical assessment informs protective action.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Use reasonable protective efforts</w:t>
            </w:r>
          </w:p>
          <w:p>
            <w:pPr>
              <w:spacing w:after="0"/>
            </w:pPr>
            <w:r>
              <w:rPr>
                <w:rFonts w:ascii="Arial" w:hAnsi="Arial"/>
                <w:color w:val="243447"/>
                <w:sz w:val="18"/>
              </w:rPr>
              <w:t>The statutory immunity provision describes reasonable efforts to communicate the threat to the victim or victims and to a law enforcement agency under the limited trigger.</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Use additional safety measures when clinically indicated</w:t>
            </w:r>
          </w:p>
          <w:p>
            <w:pPr>
              <w:spacing w:after="0"/>
            </w:pPr>
            <w:r>
              <w:rPr>
                <w:rFonts w:ascii="Arial" w:hAnsi="Arial"/>
                <w:color w:val="243447"/>
                <w:sz w:val="18"/>
              </w:rPr>
              <w:t>Emergency evaluation, crisis response, hospitalization assessment, consultation, and other interventions may be required by the facts, setting, and scope of authority.</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Limit and document disclosure</w:t>
            </w:r>
          </w:p>
          <w:p>
            <w:pPr>
              <w:spacing w:after="0"/>
            </w:pPr>
            <w:r>
              <w:rPr>
                <w:rFonts w:ascii="Arial" w:hAnsi="Arial"/>
                <w:color w:val="243447"/>
                <w:sz w:val="18"/>
              </w:rPr>
              <w:t>Share information reasonably necessary to prevent or lessen the threat; document the threat, assessment, consultations, protective actions, recipients, and follow-up.</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Threat Pattern</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Reasoning Focus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Vague anger without identified target</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Continue structured violence-risk assessment; do not assume the statutory trigger from anger alone.</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Serious threat against identifiable person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Duty-to-protect analysis is activated; take timely protective steps.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Danger to self</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suicide-risk and emergency standards; Civil Code § 43.92 is framed around violence toward identifiable victims.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Serious and imminent safety threat</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Civil Code § 56.10 permits good-faith disclosure to persons reasonably able to prevent or lessen the threat.</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EXAM PEARL</w:t>
            </w:r>
          </w:p>
          <w:p>
            <w:pPr>
              <w:spacing w:after="0"/>
            </w:pPr>
            <w:r>
              <w:rPr>
                <w:rFonts w:ascii="Arial" w:hAnsi="Arial"/>
                <w:color w:val="243447"/>
                <w:sz w:val="19"/>
              </w:rPr>
              <w:t>Do not reduce every threat question to “warn and call police.” First identify the statutory trigger, then select reasonable protective actions proportionate to the facts.</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Civil Code §§ 43.92 and 56.10(c)(19); Evidence Code § 1024.</w:t>
      </w:r>
    </w:p>
    <w:p>
      <w:r>
        <w:br w:type="page"/>
      </w:r>
    </w:p>
    <w:p>
      <w:pPr>
        <w:spacing w:before="0" w:after="40"/>
      </w:pPr>
      <w:r>
        <w:rPr>
          <w:rFonts w:ascii="Arial" w:hAnsi="Arial"/>
          <w:b/>
          <w:color w:val="112A4A"/>
          <w:sz w:val="34"/>
        </w:rPr>
        <w:t>8. 5150 and Involuntary-Detention Reasoning</w:t>
      </w:r>
    </w:p>
    <w:p>
      <w:pPr>
        <w:spacing w:after="120"/>
      </w:pPr>
      <w:r>
        <w:rPr>
          <w:rFonts w:ascii="Arial" w:hAnsi="Arial"/>
          <w:i/>
          <w:color w:val="179C9D"/>
          <w:sz w:val="20"/>
        </w:rPr>
        <w:t>Criteria, authority, and voluntary alternatives</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the statutory cause</w:t>
            </w:r>
          </w:p>
          <w:p>
            <w:pPr>
              <w:spacing w:after="0"/>
            </w:pPr>
            <w:r>
              <w:rPr>
                <w:rFonts w:ascii="Arial" w:hAnsi="Arial"/>
                <w:color w:val="243447"/>
                <w:sz w:val="18"/>
              </w:rPr>
              <w:t>The condition must result from a mental health disorder.</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Identify at least one criterion</w:t>
            </w:r>
          </w:p>
          <w:p>
            <w:pPr>
              <w:spacing w:after="0"/>
            </w:pPr>
            <w:r>
              <w:rPr>
                <w:rFonts w:ascii="Arial" w:hAnsi="Arial"/>
                <w:color w:val="243447"/>
                <w:sz w:val="18"/>
              </w:rPr>
              <w:t>Danger to others, danger to self, or grave disability.</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probable cause and history</w:t>
            </w:r>
          </w:p>
          <w:p>
            <w:pPr>
              <w:spacing w:after="0"/>
            </w:pPr>
            <w:r>
              <w:rPr>
                <w:rFonts w:ascii="Arial" w:hAnsi="Arial"/>
                <w:color w:val="243447"/>
                <w:sz w:val="18"/>
              </w:rPr>
              <w:t>The authorized decision-maker applies probable cause and may consider the historical course of the mental disorder; the analysis is not limited to imminent harm.</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who has authority</w:t>
            </w:r>
          </w:p>
          <w:p>
            <w:pPr>
              <w:spacing w:after="0"/>
            </w:pPr>
            <w:r>
              <w:rPr>
                <w:rFonts w:ascii="Arial" w:hAnsi="Arial"/>
                <w:color w:val="243447"/>
                <w:sz w:val="18"/>
              </w:rPr>
              <w:t>A peace officer, county-designated professional, designated mobile-crisis member, or specified professional at a designated facility may initiate the detention.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Consider service without detention</w:t>
            </w:r>
          </w:p>
          <w:p>
            <w:pPr>
              <w:spacing w:after="0"/>
            </w:pPr>
            <w:r>
              <w:rPr>
                <w:rFonts w:ascii="Arial" w:hAnsi="Arial"/>
                <w:color w:val="243447"/>
                <w:sz w:val="18"/>
              </w:rPr>
              <w:t>Authorized professionals assess whether the person can be properly served voluntarily without detention.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Protect rights and document facts</w:t>
            </w:r>
          </w:p>
          <w:p>
            <w:pPr>
              <w:spacing w:after="0"/>
            </w:pPr>
            <w:r>
              <w:rPr>
                <w:rFonts w:ascii="Arial" w:hAnsi="Arial"/>
                <w:color w:val="243447"/>
                <w:sz w:val="18"/>
              </w:rPr>
              <w:t>A 5150 permits custody for up to 72 hours for assessment, evaluation, crisis intervention, or treatment; the factual basis and required advisements must be documented.</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Weak Answer</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Stronger Answer</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“The therapist places every suicidal client on a 5150.”</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Assess statutory criteria, scope of authority, acuity, voluntary options, and county procedures.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“No imminent harm means no detention.”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Current § 5150 states the determination is not limited to imminent harm.</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“5150 means 72 hours of mandatory hospitalization.”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It authorizes custody for up to 72 hours and permits release earlier when detention is no longer required.</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“Grave disability means any poor self-care.”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the statutory definition and facts; do not equate unconventional choices or mild impairment with the legal criterion.</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Welfare and Institutions Code § 5150 and related definitions/procedures.</w:t>
      </w:r>
    </w:p>
    <w:p>
      <w:r>
        <w:br w:type="page"/>
      </w:r>
    </w:p>
    <w:p>
      <w:pPr>
        <w:spacing w:before="0" w:after="40"/>
      </w:pPr>
      <w:r>
        <w:rPr>
          <w:rFonts w:ascii="Arial" w:hAnsi="Arial"/>
          <w:b/>
          <w:color w:val="112A4A"/>
          <w:sz w:val="34"/>
        </w:rPr>
        <w:t>9. Telehealth Decision Guide</w:t>
      </w:r>
    </w:p>
    <w:p>
      <w:pPr>
        <w:spacing w:after="120"/>
      </w:pPr>
      <w:r>
        <w:rPr>
          <w:rFonts w:ascii="Arial" w:hAnsi="Arial"/>
          <w:i/>
          <w:color w:val="179C9D"/>
          <w:sz w:val="20"/>
        </w:rPr>
        <w:t>Initiation requirements, each-session duties, and jurisdiction</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2165"/>
        <w:gridCol w:w="5301"/>
        <w:gridCol w:w="2614"/>
      </w:tblGrid>
      <w:tr>
        <w:trPr>
          <w:tblHeader w:val="true"/>
        </w:trPr>
        <w:tc>
          <w:tcPr>
            <w:tcW w:type="dxa" w:w="2165"/>
            <w:shd w:fill="112A4A"/>
            <w:vAlign w:val="center"/>
            <w:tcMar>
              <w:top w:w="100" w:type="dxa"/>
              <w:start w:w="120" w:type="dxa"/>
              <w:bottom w:w="100" w:type="dxa"/>
              <w:end w:w="120" w:type="dxa"/>
            </w:tcMar>
          </w:tcPr>
          <w:p>
            <w:pPr>
              <w:spacing w:after="0"/>
              <w:jc w:val="center"/>
            </w:pPr>
            <w:r/>
            <w:r>
              <w:rPr>
                <w:rFonts w:ascii="Arial" w:hAnsi="Arial"/>
                <w:b/>
                <w:color w:val="FFFFFF"/>
                <w:sz w:val="18"/>
              </w:rPr>
              <w:t>When</w:t>
            </w:r>
          </w:p>
        </w:tc>
        <w:tc>
          <w:tcPr>
            <w:tcW w:type="dxa" w:w="5301"/>
            <w:shd w:fill="179C9D"/>
            <w:vAlign w:val="center"/>
            <w:tcMar>
              <w:top w:w="100" w:type="dxa"/>
              <w:start w:w="120" w:type="dxa"/>
              <w:bottom w:w="100" w:type="dxa"/>
              <w:end w:w="120" w:type="dxa"/>
            </w:tcMar>
          </w:tcPr>
          <w:p>
            <w:pPr>
              <w:spacing w:after="0"/>
              <w:jc w:val="center"/>
            </w:pPr>
            <w:r/>
            <w:r>
              <w:rPr>
                <w:rFonts w:ascii="Arial" w:hAnsi="Arial"/>
                <w:b/>
                <w:color w:val="FFFFFF"/>
                <w:sz w:val="18"/>
              </w:rPr>
              <w:t>Required Focus</w:t>
            </w:r>
          </w:p>
        </w:tc>
        <w:tc>
          <w:tcPr>
            <w:tcW w:type="dxa" w:w="2614"/>
            <w:shd w:fill="179C9D"/>
            <w:vAlign w:val="center"/>
            <w:tcMar>
              <w:top w:w="100" w:type="dxa"/>
              <w:start w:w="120" w:type="dxa"/>
              <w:bottom w:w="100" w:type="dxa"/>
              <w:end w:w="120" w:type="dxa"/>
            </w:tcMar>
          </w:tcPr>
          <w:p>
            <w:pPr>
              <w:spacing w:after="0"/>
              <w:jc w:val="center"/>
            </w:pPr>
            <w:r/>
            <w:r>
              <w:rPr>
                <w:rFonts w:ascii="Arial" w:hAnsi="Arial"/>
                <w:b/>
                <w:color w:val="FFFFFF"/>
                <w:sz w:val="18"/>
              </w:rPr>
              <w:t>Exam Trigger</w:t>
            </w:r>
          </w:p>
        </w:tc>
      </w:tr>
      <w:tr>
        <w:tc>
          <w:tcPr>
            <w:tcW w:type="dxa" w:w="216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Before delivery / initiation</w:t>
            </w:r>
          </w:p>
        </w:tc>
        <w:tc>
          <w:tcPr>
            <w:tcW w:type="dxa" w:w="530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Inform the client about telehealth, obtain verbal or written consent, and document it. Discuss risks and limitations; provide license/registration information; identify relevant local emergency resources.</w:t>
            </w:r>
          </w:p>
        </w:tc>
        <w:tc>
          <w:tcPr>
            <w:tcW w:type="dxa" w:w="26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New telehealth relationship or transition from in-person care.</w:t>
            </w:r>
          </w:p>
        </w:tc>
      </w:tr>
      <w:tr>
        <w:tc>
          <w:tcPr>
            <w:tcW w:type="dxa" w:w="216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Beginning of each session</w:t>
            </w:r>
          </w:p>
        </w:tc>
        <w:tc>
          <w:tcPr>
            <w:tcW w:type="dxa" w:w="530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Verbally obtain and document the client’s full name and address of present location.</w:t>
            </w:r>
          </w:p>
        </w:tc>
        <w:tc>
          <w:tcPr>
            <w:tcW w:type="dxa" w:w="261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Client connects from home, work, hotel, car, or an unexpected place.</w:t>
            </w:r>
          </w:p>
        </w:tc>
      </w:tr>
      <w:tr>
        <w:tc>
          <w:tcPr>
            <w:tcW w:type="dxa" w:w="216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Each session</w:t>
            </w:r>
          </w:p>
        </w:tc>
        <w:tc>
          <w:tcPr>
            <w:tcW w:type="dxa" w:w="530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Assess appropriateness for telehealth and comply with privacy, confidentiality, and security requirements.</w:t>
            </w:r>
          </w:p>
        </w:tc>
        <w:tc>
          <w:tcPr>
            <w:tcW w:type="dxa" w:w="26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Privacy changes, intoxication, crisis, technology failure, or unsuitable environment.</w:t>
            </w:r>
          </w:p>
        </w:tc>
      </w:tr>
      <w:tr>
        <w:tc>
          <w:tcPr>
            <w:tcW w:type="dxa" w:w="216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Client outside California</w:t>
            </w:r>
          </w:p>
        </w:tc>
        <w:tc>
          <w:tcPr>
            <w:tcW w:type="dxa" w:w="530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Confirm the clinician may lawfully provide services in the jurisdiction where the client is physically located and that the jurisdiction allows telehealth.</w:t>
            </w:r>
          </w:p>
        </w:tc>
        <w:tc>
          <w:tcPr>
            <w:tcW w:type="dxa" w:w="261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Travel, relocation, college, vacation, or cross-border care.</w:t>
            </w:r>
          </w:p>
        </w:tc>
      </w:tr>
    </w:tbl>
    <w:p>
      <w:pPr>
        <w:spacing w:after="0"/>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Locate the client</w:t>
            </w:r>
          </w:p>
          <w:p>
            <w:pPr>
              <w:spacing w:after="0"/>
            </w:pPr>
            <w:r>
              <w:rPr>
                <w:rFonts w:ascii="Arial" w:hAnsi="Arial"/>
                <w:color w:val="243447"/>
                <w:sz w:val="18"/>
              </w:rPr>
              <w:t>Physical location controls emergency planning and jurisdictional analysis.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Confirm consent and identity</w:t>
            </w:r>
          </w:p>
          <w:p>
            <w:pPr>
              <w:spacing w:after="0"/>
            </w:pPr>
            <w:r>
              <w:rPr>
                <w:rFonts w:ascii="Arial" w:hAnsi="Arial"/>
                <w:color w:val="243447"/>
                <w:sz w:val="18"/>
              </w:rPr>
              <w:t>Telehealth consent must be informed and documented; each session begins with name and present address under the BBS standard.</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suitability</w:t>
            </w:r>
          </w:p>
          <w:p>
            <w:pPr>
              <w:spacing w:after="0"/>
            </w:pPr>
            <w:r>
              <w:rPr>
                <w:rFonts w:ascii="Arial" w:hAnsi="Arial"/>
                <w:color w:val="243447"/>
                <w:sz w:val="18"/>
              </w:rPr>
              <w:t>Consider psychosocial situation, privacy, technology, risk, and whether telehealth remains clinically appropriate.</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Prepare for disruption and emergency</w:t>
            </w:r>
          </w:p>
          <w:p>
            <w:pPr>
              <w:spacing w:after="0"/>
            </w:pPr>
            <w:r>
              <w:rPr>
                <w:rFonts w:ascii="Arial" w:hAnsi="Arial"/>
                <w:color w:val="243447"/>
                <w:sz w:val="18"/>
              </w:rPr>
              <w:t>Know relevant local resources and have a practical backup plan.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ordinary professional standards</w:t>
            </w:r>
          </w:p>
          <w:p>
            <w:pPr>
              <w:spacing w:after="0"/>
            </w:pPr>
            <w:r>
              <w:rPr>
                <w:rFonts w:ascii="Arial" w:hAnsi="Arial"/>
                <w:color w:val="243447"/>
                <w:sz w:val="18"/>
              </w:rPr>
              <w:t>Telehealth does not reduce confidentiality, competence, documentation, boundary, or standard-of-care duties.</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CURRENT-LAW NOTE</w:t>
            </w:r>
          </w:p>
          <w:p>
            <w:pPr>
              <w:spacing w:after="0"/>
            </w:pPr>
            <w:r>
              <w:rPr>
                <w:rFonts w:ascii="Arial" w:hAnsi="Arial"/>
                <w:color w:val="243447"/>
                <w:sz w:val="19"/>
              </w:rPr>
              <w:t>Business and Professions Code § 2290.5 was amended effective January 1, 2026. The core consent, documentation, confidentiality, scope, and professional-responsibility requirements remain in force.</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Business and Professions Code § 2290.5; California Code of Regulations, title 16, § 1815.5, reproduced in the BBS Statutes and Regulations publication effective January 1, 2026.</w:t>
      </w:r>
    </w:p>
    <w:p>
      <w:r>
        <w:br w:type="page"/>
      </w:r>
    </w:p>
    <w:p>
      <w:pPr>
        <w:spacing w:before="0" w:after="40"/>
      </w:pPr>
      <w:r>
        <w:rPr>
          <w:rFonts w:ascii="Arial" w:hAnsi="Arial"/>
          <w:b/>
          <w:color w:val="112A4A"/>
          <w:sz w:val="34"/>
        </w:rPr>
        <w:t>10. Records: Access, Copies, Retention, and Disclosure</w:t>
      </w:r>
    </w:p>
    <w:p>
      <w:pPr>
        <w:spacing w:after="120"/>
      </w:pPr>
      <w:r>
        <w:rPr>
          <w:rFonts w:ascii="Arial" w:hAnsi="Arial"/>
          <w:i/>
          <w:color w:val="179C9D"/>
          <w:sz w:val="20"/>
        </w:rPr>
        <w:t>Four separate duties—do not collapse them into one rule</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853"/>
        <w:gridCol w:w="5781"/>
        <w:gridCol w:w="2446"/>
      </w:tblGrid>
      <w:tr>
        <w:trPr>
          <w:tblHeader w:val="true"/>
        </w:trPr>
        <w:tc>
          <w:tcPr>
            <w:tcW w:type="dxa" w:w="1853"/>
            <w:shd w:fill="112A4A"/>
            <w:vAlign w:val="center"/>
            <w:tcMar>
              <w:top w:w="100" w:type="dxa"/>
              <w:start w:w="120" w:type="dxa"/>
              <w:bottom w:w="100" w:type="dxa"/>
              <w:end w:w="120" w:type="dxa"/>
            </w:tcMar>
          </w:tcPr>
          <w:p>
            <w:pPr>
              <w:spacing w:after="0"/>
              <w:jc w:val="center"/>
            </w:pPr>
            <w:r/>
            <w:r>
              <w:rPr>
                <w:rFonts w:ascii="Arial" w:hAnsi="Arial"/>
                <w:b/>
                <w:color w:val="FFFFFF"/>
                <w:sz w:val="18"/>
              </w:rPr>
              <w:t>Issue</w:t>
            </w:r>
          </w:p>
        </w:tc>
        <w:tc>
          <w:tcPr>
            <w:tcW w:type="dxa" w:w="5781"/>
            <w:shd w:fill="179C9D"/>
            <w:vAlign w:val="center"/>
            <w:tcMar>
              <w:top w:w="100" w:type="dxa"/>
              <w:start w:w="120" w:type="dxa"/>
              <w:bottom w:w="100" w:type="dxa"/>
              <w:end w:w="120" w:type="dxa"/>
            </w:tcMar>
          </w:tcPr>
          <w:p>
            <w:pPr>
              <w:spacing w:after="0"/>
              <w:jc w:val="center"/>
            </w:pPr>
            <w:r/>
            <w:r>
              <w:rPr>
                <w:rFonts w:ascii="Arial" w:hAnsi="Arial"/>
                <w:b/>
                <w:color w:val="FFFFFF"/>
                <w:sz w:val="18"/>
              </w:rPr>
              <w:t>LMFT High-Yield Rule</w:t>
            </w:r>
          </w:p>
        </w:tc>
        <w:tc>
          <w:tcPr>
            <w:tcW w:type="dxa" w:w="2446"/>
            <w:shd w:fill="179C9D"/>
            <w:vAlign w:val="center"/>
            <w:tcMar>
              <w:top w:w="100" w:type="dxa"/>
              <w:start w:w="120" w:type="dxa"/>
              <w:bottom w:w="100" w:type="dxa"/>
              <w:end w:w="120" w:type="dxa"/>
            </w:tcMar>
          </w:tcPr>
          <w:p>
            <w:pPr>
              <w:spacing w:after="0"/>
              <w:jc w:val="center"/>
            </w:pPr>
            <w:r/>
            <w:r>
              <w:rPr>
                <w:rFonts w:ascii="Arial" w:hAnsi="Arial"/>
                <w:b/>
                <w:color w:val="FFFFFF"/>
                <w:sz w:val="18"/>
              </w:rPr>
              <w:t>Timing / Limitation</w:t>
            </w:r>
          </w:p>
        </w:tc>
      </w:tr>
      <w:tr>
        <w:tc>
          <w:tcPr>
            <w:tcW w:type="dxa" w:w="185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Retention</w:t>
            </w:r>
          </w:p>
        </w:tc>
        <w:tc>
          <w:tcPr>
            <w:tcW w:type="dxa" w:w="57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Retain health service records at least seven years after therapy terminates. For a minor, retain at least seven years after the client reaches age 18.</w:t>
            </w:r>
          </w:p>
        </w:tc>
        <w:tc>
          <w:tcPr>
            <w:tcW w:type="dxa" w:w="244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Applies to therapy terminated on or after January 1, 2015.</w:t>
            </w:r>
          </w:p>
        </w:tc>
      </w:tr>
      <w:tr>
        <w:tc>
          <w:tcPr>
            <w:tcW w:type="dxa" w:w="185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Inspection</w:t>
            </w:r>
          </w:p>
        </w:tc>
        <w:tc>
          <w:tcPr>
            <w:tcW w:type="dxa" w:w="57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An adult patient, lawfully self-consenting minor for those services, or personal representative may inspect records, subject to statutory exceptions.</w:t>
            </w:r>
          </w:p>
        </w:tc>
        <w:tc>
          <w:tcPr>
            <w:tcW w:type="dxa" w:w="244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Generally within five working days after the request.</w:t>
            </w:r>
          </w:p>
        </w:tc>
      </w:tr>
      <w:tr>
        <w:tc>
          <w:tcPr>
            <w:tcW w:type="dxa" w:w="185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Copies</w:t>
            </w:r>
          </w:p>
        </w:tc>
        <w:tc>
          <w:tcPr>
            <w:tcW w:type="dxa" w:w="57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 patient or representative may request paper or electronic copies of records they may inspect.</w:t>
            </w:r>
          </w:p>
        </w:tc>
        <w:tc>
          <w:tcPr>
            <w:tcW w:type="dxa" w:w="244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Generally transmit within 15 days after receiving the request.</w:t>
            </w:r>
          </w:p>
        </w:tc>
      </w:tr>
      <w:tr>
        <w:tc>
          <w:tcPr>
            <w:tcW w:type="dxa" w:w="185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Unpaid balance</w:t>
            </w:r>
          </w:p>
        </w:tc>
        <w:tc>
          <w:tcPr>
            <w:tcW w:type="dxa" w:w="57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 provider may not withhold patient records or summaries because of an unpaid bill.</w:t>
            </w:r>
          </w:p>
        </w:tc>
        <w:tc>
          <w:tcPr>
            <w:tcW w:type="dxa" w:w="2446"/>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Payment disputes do not erase access rights.</w:t>
            </w:r>
          </w:p>
        </w:tc>
      </w:tr>
      <w:tr>
        <w:tc>
          <w:tcPr>
            <w:tcW w:type="dxa" w:w="185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Third-party disclosure</w:t>
            </w:r>
          </w:p>
        </w:tc>
        <w:tc>
          <w:tcPr>
            <w:tcW w:type="dxa" w:w="57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Use valid authorization or another legal basis; disclose only the authorized or compelled information.</w:t>
            </w:r>
          </w:p>
        </w:tc>
        <w:tc>
          <w:tcPr>
            <w:tcW w:type="dxa" w:w="2446"/>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Scope and recipient matter.</w:t>
            </w:r>
          </w:p>
        </w:tc>
      </w:tr>
    </w:tbl>
    <w:p>
      <w:pPr>
        <w:spacing w:after="0"/>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Classify the request</w:t>
            </w:r>
          </w:p>
          <w:p>
            <w:pPr>
              <w:spacing w:after="0"/>
            </w:pPr>
            <w:r>
              <w:rPr>
                <w:rFonts w:ascii="Arial" w:hAnsi="Arial"/>
                <w:color w:val="243447"/>
                <w:sz w:val="18"/>
              </w:rPr>
              <w:t>Inspection, copy, summary, treatment coordination, insurance, attorney demand, subpoena, or court order.</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Verify identity and authority</w:t>
            </w:r>
          </w:p>
          <w:p>
            <w:pPr>
              <w:spacing w:after="0"/>
            </w:pPr>
            <w:r>
              <w:rPr>
                <w:rFonts w:ascii="Arial" w:hAnsi="Arial"/>
                <w:color w:val="243447"/>
                <w:sz w:val="18"/>
              </w:rPr>
              <w:t>Confirm the requester is the patient, authorized representative, lawful personal representative, or other person with legal authority.</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Apply statutory exceptions</w:t>
            </w:r>
          </w:p>
          <w:p>
            <w:pPr>
              <w:spacing w:after="0"/>
            </w:pPr>
            <w:r>
              <w:rPr>
                <w:rFonts w:ascii="Arial" w:hAnsi="Arial"/>
                <w:color w:val="243447"/>
                <w:sz w:val="18"/>
              </w:rPr>
              <w:t>Do not assume every record is automatically released or automatically withheld. Special rules may apply to minors, representatives, and records that could cause substantial adverse consequences.</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Protect the original and audit trail</w:t>
            </w:r>
          </w:p>
          <w:p>
            <w:pPr>
              <w:spacing w:after="0"/>
            </w:pPr>
            <w:r>
              <w:rPr>
                <w:rFonts w:ascii="Arial" w:hAnsi="Arial"/>
                <w:color w:val="243447"/>
                <w:sz w:val="18"/>
              </w:rPr>
              <w:t>Maintain an accurate record of what was requested, reviewed, released, withheld, transmitted, and to whom.</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California Business and Professions Code § 4980.49; Health and Safety Code § 123110; Civil Code § 56.10.</w:t>
      </w:r>
    </w:p>
    <w:p>
      <w:r>
        <w:br w:type="page"/>
      </w:r>
    </w:p>
    <w:p>
      <w:pPr>
        <w:spacing w:before="0" w:after="40"/>
      </w:pPr>
      <w:r>
        <w:rPr>
          <w:rFonts w:ascii="Arial" w:hAnsi="Arial"/>
          <w:b/>
          <w:color w:val="112A4A"/>
          <w:sz w:val="34"/>
        </w:rPr>
        <w:t>11. Termination, Interruption, and Abandonment</w:t>
      </w:r>
    </w:p>
    <w:p>
      <w:pPr>
        <w:spacing w:after="120"/>
      </w:pPr>
      <w:r>
        <w:rPr>
          <w:rFonts w:ascii="Arial" w:hAnsi="Arial"/>
          <w:i/>
          <w:color w:val="179C9D"/>
          <w:sz w:val="20"/>
        </w:rPr>
        <w:t>Ethical sequencing without invented universal numbers</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856"/>
        <w:gridCol w:w="9224"/>
      </w:tblGrid>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1</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Clarify why services may end</w:t>
            </w:r>
          </w:p>
          <w:p>
            <w:pPr>
              <w:spacing w:after="0"/>
            </w:pPr>
            <w:r>
              <w:rPr>
                <w:rFonts w:ascii="Arial" w:hAnsi="Arial"/>
                <w:color w:val="243447"/>
                <w:sz w:val="18"/>
              </w:rPr>
              <w:t>Goals achieved, services no longer beneficial, competence limits, relocation, leave, practice closure, safety, nonpayment, boundary concerns, or another legitimate reason.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2</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Assess current risk and clinical needs</w:t>
            </w:r>
          </w:p>
          <w:p>
            <w:pPr>
              <w:spacing w:after="0"/>
            </w:pPr>
            <w:r>
              <w:rPr>
                <w:rFonts w:ascii="Arial" w:hAnsi="Arial"/>
                <w:color w:val="243447"/>
                <w:sz w:val="18"/>
              </w:rPr>
              <w:t>A high-risk client or abrupt service disruption requires a different transition plan than a stable client completing goals.</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3</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Discuss the decision clearly</w:t>
            </w:r>
          </w:p>
          <w:p>
            <w:pPr>
              <w:spacing w:after="0"/>
            </w:pPr>
            <w:r>
              <w:rPr>
                <w:rFonts w:ascii="Arial" w:hAnsi="Arial"/>
                <w:color w:val="243447"/>
                <w:sz w:val="18"/>
              </w:rPr>
              <w:t>When feasible, explain the clinical or administrative reason, invite questions, and avoid shaming, retaliation, or coercion.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4</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Plan continuity proportionately</w:t>
            </w:r>
          </w:p>
          <w:p>
            <w:pPr>
              <w:spacing w:after="0"/>
            </w:pPr>
            <w:r>
              <w:rPr>
                <w:rFonts w:ascii="Arial" w:hAnsi="Arial"/>
                <w:color w:val="243447"/>
                <w:sz w:val="18"/>
              </w:rPr>
              <w:t>Provide reasonable notice, transition support, emergency information, referrals or transfer options when clinically indicated, and coordination with authorization.</w:t>
            </w:r>
          </w:p>
        </w:tc>
      </w:tr>
      <w:tr>
        <w:tc>
          <w:tcPr>
            <w:tcW w:type="dxa" w:w="856"/>
            <w:shd w:fill="112A4A"/>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5</w:t>
            </w:r>
          </w:p>
        </w:tc>
        <w:tc>
          <w:tcPr>
            <w:tcW w:type="dxa" w:w="9224"/>
            <w:shd w:fill="FFFFFF"/>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Avoid unnecessary continuation</w:t>
            </w:r>
          </w:p>
          <w:p>
            <w:pPr>
              <w:spacing w:after="0"/>
            </w:pPr>
            <w:r>
              <w:rPr>
                <w:rFonts w:ascii="Arial" w:hAnsi="Arial"/>
                <w:color w:val="243447"/>
                <w:sz w:val="18"/>
              </w:rPr>
              <w:t>Do not continue ineffective or harmful treatment merely to avoid the word termination.</w:t>
            </w:r>
          </w:p>
        </w:tc>
      </w:tr>
      <w:tr>
        <w:tc>
          <w:tcPr>
            <w:tcW w:type="dxa" w:w="856"/>
            <w:shd w:fill="179C9D"/>
            <w:tcBorders>
              <w:top w:val="single" w:sz="6" w:color="DDE5EC"/>
              <w:left w:val="single" w:sz="6" w:color="DDE5EC"/>
              <w:bottom w:val="single" w:sz="6" w:color="DDE5EC"/>
              <w:right w:val="single" w:sz="6" w:color="DDE5EC"/>
            </w:tcBorders>
            <w:vAlign w:val="center"/>
            <w:tcMar>
              <w:top w:w="100" w:type="dxa"/>
              <w:start w:w="120" w:type="dxa"/>
              <w:bottom w:w="100" w:type="dxa"/>
              <w:end w:w="120" w:type="dxa"/>
            </w:tcMar>
          </w:tcPr>
          <w:p>
            <w:pPr>
              <w:spacing w:after="0"/>
              <w:jc w:val="center"/>
            </w:pPr>
            <w:r/>
            <w:r>
              <w:rPr>
                <w:rFonts w:ascii="Arial" w:hAnsi="Arial"/>
                <w:b/>
                <w:color w:val="FFFFFF"/>
                <w:sz w:val="24"/>
              </w:rPr>
              <w:t>6</w:t>
            </w:r>
          </w:p>
        </w:tc>
        <w:tc>
          <w:tcPr>
            <w:tcW w:type="dxa" w:w="9224"/>
            <w:shd w:fill="E8F5F5"/>
            <w:tcBorders>
              <w:top w:val="single" w:sz="6" w:color="DDE5EC"/>
              <w:left w:val="single" w:sz="6" w:color="DDE5EC"/>
              <w:bottom w:val="single" w:sz="6" w:color="DDE5EC"/>
              <w:right w:val="single" w:sz="6" w:color="DDE5EC"/>
            </w:tcBorders>
            <w:tcMar>
              <w:top w:w="90" w:type="dxa"/>
              <w:start w:w="130" w:type="dxa"/>
              <w:bottom w:w="90" w:type="dxa"/>
              <w:end w:w="130" w:type="dxa"/>
            </w:tcMar>
          </w:tcPr>
          <w:p>
            <w:pPr>
              <w:spacing w:after="40"/>
            </w:pPr>
            <w:r/>
            <w:r>
              <w:rPr>
                <w:rFonts w:ascii="Arial" w:hAnsi="Arial"/>
                <w:b/>
                <w:color w:val="112A4A"/>
                <w:sz w:val="19"/>
              </w:rPr>
              <w:t>Document the process</w:t>
            </w:r>
          </w:p>
          <w:p>
            <w:pPr>
              <w:spacing w:after="0"/>
            </w:pPr>
            <w:r>
              <w:rPr>
                <w:rFonts w:ascii="Arial" w:hAnsi="Arial"/>
                <w:color w:val="243447"/>
                <w:sz w:val="18"/>
              </w:rPr>
              <w:t>Record the reason, discussions, client response, risk assessment, notice, options, referrals, coordination, final status, and attempts to contact when relevant.</w:t>
            </w:r>
          </w:p>
        </w:tc>
      </w:tr>
    </w:tbl>
    <w:p>
      <w:pPr>
        <w:spacing w:after="0"/>
      </w:pPr>
    </w:p>
    <w:tbl>
      <w:tblPr>
        <w:tblW w:type="dxa" w:w="10080"/>
        <w:jc w:val="center"/>
        <w:tblLayout w:type="fixed"/>
        <w:tblLook w:firstColumn="1" w:firstRow="1" w:lastColumn="0" w:lastRow="0" w:noHBand="0" w:noVBand="1" w:val="04A0"/>
        <w:tblInd w:w="0" w:type="dxa"/>
      </w:tblPr>
      <w:tblGrid>
        <w:gridCol w:w="5040"/>
        <w:gridCol w:w="5040"/>
      </w:tblGrid>
      <w:tr>
        <w:trPr>
          <w:tblHeader w:val="true"/>
        </w:trPr>
        <w:tc>
          <w:tcPr>
            <w:tcW w:type="dxa" w:w="5040"/>
            <w:shd w:fill="112A4A"/>
            <w:vAlign w:val="center"/>
            <w:tcMar>
              <w:top w:w="100" w:type="dxa"/>
              <w:start w:w="120" w:type="dxa"/>
              <w:bottom w:w="100" w:type="dxa"/>
              <w:end w:w="120" w:type="dxa"/>
            </w:tcMar>
          </w:tcPr>
          <w:p>
            <w:pPr>
              <w:spacing w:after="0"/>
              <w:jc w:val="center"/>
            </w:pPr>
            <w:r/>
            <w:r>
              <w:rPr>
                <w:rFonts w:ascii="Arial" w:hAnsi="Arial"/>
                <w:b/>
                <w:color w:val="FFFFFF"/>
                <w:sz w:val="19"/>
              </w:rPr>
              <w:t>Overstated Rule</w:t>
            </w:r>
          </w:p>
        </w:tc>
        <w:tc>
          <w:tcPr>
            <w:tcW w:type="dxa" w:w="5040"/>
            <w:shd w:fill="179C9D"/>
            <w:vAlign w:val="center"/>
            <w:tcMar>
              <w:top w:w="100" w:type="dxa"/>
              <w:start w:w="120" w:type="dxa"/>
              <w:bottom w:w="100" w:type="dxa"/>
              <w:end w:w="120" w:type="dxa"/>
            </w:tcMar>
          </w:tcPr>
          <w:p>
            <w:pPr>
              <w:spacing w:after="0"/>
              <w:jc w:val="center"/>
            </w:pPr>
            <w:r/>
            <w:r>
              <w:rPr>
                <w:rFonts w:ascii="Arial" w:hAnsi="Arial"/>
                <w:b/>
                <w:color w:val="FFFFFF"/>
                <w:sz w:val="19"/>
              </w:rPr>
              <w:t>Accurate Exam Framing</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“Always provide exactly three referrals.”</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Provide appropriate referral or transfer options when needed; the number depends on availability and clinical circumstances.</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“Always give two to four weeks’ notice.”</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reasonable notice based on acuity, setting, access, safety, and the reason services are ending.</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“Never terminate by written communication.”</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Use clinically and legally appropriate communication; written notice may document and support a transition, especially when direct contact is unsuccessful.</w:t>
            </w:r>
          </w:p>
        </w:tc>
      </w:tr>
      <w:tr>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“Nonpayment permits immediate termination.”</w:t>
            </w:r>
          </w:p>
        </w:tc>
        <w:tc>
          <w:tcPr>
            <w:tcW w:type="dxa" w:w="504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disclosed policies, risk assessment, notice, continuity, and anti-abandonment principles.</w:t>
            </w:r>
          </w:p>
        </w:tc>
      </w:tr>
      <w:tr>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 disengaged client must remain in therapy.”</w:t>
            </w:r>
          </w:p>
        </w:tc>
        <w:tc>
          <w:tcPr>
            <w:tcW w:type="dxa" w:w="504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Address barriers and motivation, but do not continue services indefinitely when treatment is no longer beneficial.</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DECEC"/>
            <w:tcBorders>
              <w:top w:val="single" w:sz="10" w:color="B42318"/>
              <w:left w:val="single" w:sz="18" w:color="B42318"/>
              <w:bottom w:val="single" w:sz="10" w:color="B42318"/>
              <w:right w:val="single" w:sz="10" w:color="B42318"/>
            </w:tcBorders>
            <w:tcMar>
              <w:top w:w="120" w:type="dxa"/>
              <w:start w:w="170" w:type="dxa"/>
              <w:bottom w:w="120" w:type="dxa"/>
              <w:end w:w="150" w:type="dxa"/>
            </w:tcMar>
          </w:tcPr>
          <w:p>
            <w:pPr>
              <w:spacing w:after="80"/>
            </w:pPr>
            <w:r>
              <w:rPr>
                <w:rFonts w:ascii="Arial" w:hAnsi="Arial"/>
                <w:b/>
                <w:color w:val="112A4A"/>
                <w:sz w:val="21"/>
              </w:rPr>
              <w:t>SOURCE-CORRECTION NOTE</w:t>
            </w:r>
          </w:p>
          <w:p>
            <w:pPr>
              <w:spacing w:after="0"/>
            </w:pPr>
            <w:r>
              <w:rPr>
                <w:rFonts w:ascii="Arial" w:hAnsi="Arial"/>
                <w:color w:val="243447"/>
                <w:sz w:val="19"/>
              </w:rPr>
              <w:t>This guide intentionally avoids the unsupported fixed referral counts and universal notice periods that appeared in the draft Audio Case-Studies document. Those may be practical examples in a particular case, but they are not universal California statutes.</w:t>
            </w:r>
          </w:p>
        </w:tc>
      </w:tr>
    </w:tbl>
    <w:p>
      <w:pPr>
        <w:spacing w:after="0"/>
      </w:pPr>
    </w:p>
    <w:p>
      <w:pPr>
        <w:spacing w:before="80" w:after="0"/>
      </w:pPr>
      <w:r>
        <w:rPr>
          <w:rFonts w:ascii="Arial" w:hAnsi="Arial"/>
          <w:b/>
          <w:color w:val="179C9D"/>
          <w:sz w:val="15"/>
        </w:rPr>
        <w:t xml:space="preserve">SOURCE ANCHOR: </w:t>
      </w:r>
      <w:r>
        <w:rPr>
          <w:rFonts w:ascii="Arial" w:hAnsi="Arial"/>
          <w:color w:val="657487"/>
          <w:sz w:val="15"/>
        </w:rPr>
        <w:t>Pearson VUE LMFT Law and Ethics Examination Outline, Ethics—Responsibility to Clients and Counseling Relationships; current BBS statutes/regulations and profession-specific ethical standards should be consulted for actual practice.</w:t>
      </w:r>
    </w:p>
    <w:p>
      <w:r>
        <w:br w:type="page"/>
      </w:r>
    </w:p>
    <w:p>
      <w:pPr>
        <w:spacing w:before="0" w:after="40"/>
      </w:pPr>
      <w:r>
        <w:rPr>
          <w:rFonts w:ascii="Arial" w:hAnsi="Arial"/>
          <w:b/>
          <w:color w:val="112A4A"/>
          <w:sz w:val="34"/>
        </w:rPr>
        <w:t>12. Law vs. Ethics Sorting Map</w:t>
      </w:r>
    </w:p>
    <w:p>
      <w:pPr>
        <w:spacing w:after="120"/>
      </w:pPr>
      <w:r>
        <w:rPr>
          <w:rFonts w:ascii="Arial" w:hAnsi="Arial"/>
          <w:i/>
          <w:color w:val="179C9D"/>
          <w:sz w:val="20"/>
        </w:rPr>
        <w:t>Identify whether the question asks what is required, permitted, or professionally preferable</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631"/>
        <w:gridCol w:w="4225"/>
        <w:gridCol w:w="4224"/>
      </w:tblGrid>
      <w:tr>
        <w:trPr>
          <w:tblHeader w:val="true"/>
        </w:trPr>
        <w:tc>
          <w:tcPr>
            <w:tcW w:type="dxa" w:w="1631"/>
            <w:shd w:fill="112A4A"/>
            <w:vAlign w:val="center"/>
            <w:tcMar>
              <w:top w:w="100" w:type="dxa"/>
              <w:start w:w="120" w:type="dxa"/>
              <w:bottom w:w="100" w:type="dxa"/>
              <w:end w:w="120" w:type="dxa"/>
            </w:tcMar>
          </w:tcPr>
          <w:p>
            <w:pPr>
              <w:spacing w:after="0"/>
              <w:jc w:val="center"/>
            </w:pPr>
            <w:r/>
            <w:r>
              <w:rPr>
                <w:rFonts w:ascii="Arial" w:hAnsi="Arial"/>
                <w:b/>
                <w:color w:val="FFFFFF"/>
                <w:sz w:val="18"/>
              </w:rPr>
              <w:t>Signal</w:t>
            </w:r>
          </w:p>
        </w:tc>
        <w:tc>
          <w:tcPr>
            <w:tcW w:type="dxa" w:w="4225"/>
            <w:shd w:fill="179C9D"/>
            <w:vAlign w:val="center"/>
            <w:tcMar>
              <w:top w:w="100" w:type="dxa"/>
              <w:start w:w="120" w:type="dxa"/>
              <w:bottom w:w="100" w:type="dxa"/>
              <w:end w:w="120" w:type="dxa"/>
            </w:tcMar>
          </w:tcPr>
          <w:p>
            <w:pPr>
              <w:spacing w:after="0"/>
              <w:jc w:val="center"/>
            </w:pPr>
            <w:r/>
            <w:r>
              <w:rPr>
                <w:rFonts w:ascii="Arial" w:hAnsi="Arial"/>
                <w:b/>
                <w:color w:val="FFFFFF"/>
                <w:sz w:val="18"/>
              </w:rPr>
              <w:t>Law Answer Tends to Emphasize</w:t>
            </w:r>
          </w:p>
        </w:tc>
        <w:tc>
          <w:tcPr>
            <w:tcW w:type="dxa" w:w="4224"/>
            <w:shd w:fill="179C9D"/>
            <w:vAlign w:val="center"/>
            <w:tcMar>
              <w:top w:w="100" w:type="dxa"/>
              <w:start w:w="120" w:type="dxa"/>
              <w:bottom w:w="100" w:type="dxa"/>
              <w:end w:w="120" w:type="dxa"/>
            </w:tcMar>
          </w:tcPr>
          <w:p>
            <w:pPr>
              <w:spacing w:after="0"/>
              <w:jc w:val="center"/>
            </w:pPr>
            <w:r/>
            <w:r>
              <w:rPr>
                <w:rFonts w:ascii="Arial" w:hAnsi="Arial"/>
                <w:b/>
                <w:color w:val="FFFFFF"/>
                <w:sz w:val="18"/>
              </w:rPr>
              <w:t>Ethics Answer Tends to Emphasize</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Consent</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Valid authority, required disclosures, documentation, statutory minor rules</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Understanding, voluntariness, alternatives, ongoing dialogue, client autonomy</w:t>
            </w:r>
          </w:p>
        </w:tc>
      </w:tr>
      <w:tr>
        <w:tc>
          <w:tcPr>
            <w:tcW w:type="dxa" w:w="163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Confidentiality</w:t>
            </w:r>
          </w:p>
        </w:tc>
        <w:tc>
          <w:tcPr>
            <w:tcW w:type="dxa" w:w="422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Authorization, mandated disclosure, court process, statutory permission</w:t>
            </w:r>
          </w:p>
        </w:tc>
        <w:tc>
          <w:tcPr>
            <w:tcW w:type="dxa" w:w="422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Minimum necessary disclosure, transparency, harm reduction, trust</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Crisis</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Statutory detention criteria, duty-to-protect trigger, lawful disclosure</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Least restrictive care, dignity, therapeutic support, safety planning</w:t>
            </w:r>
          </w:p>
        </w:tc>
      </w:tr>
      <w:tr>
        <w:tc>
          <w:tcPr>
            <w:tcW w:type="dxa" w:w="163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Boundaries</w:t>
            </w:r>
          </w:p>
        </w:tc>
        <w:tc>
          <w:tcPr>
            <w:tcW w:type="dxa" w:w="422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Prohibited conduct and unprofessional conduct</w:t>
            </w:r>
          </w:p>
        </w:tc>
        <w:tc>
          <w:tcPr>
            <w:tcW w:type="dxa" w:w="422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Risk of exploitation, impaired judgment, power, cultural context, consultation</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Competence</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Scope of practice and licensing authority</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Training, supervision, consultation, referral, ongoing learning</w:t>
            </w:r>
          </w:p>
        </w:tc>
      </w:tr>
      <w:tr>
        <w:tc>
          <w:tcPr>
            <w:tcW w:type="dxa" w:w="163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Records</w:t>
            </w:r>
          </w:p>
        </w:tc>
        <w:tc>
          <w:tcPr>
            <w:tcW w:type="dxa" w:w="422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Access, retention, compelled disclosure, required documentation</w:t>
            </w:r>
          </w:p>
        </w:tc>
        <w:tc>
          <w:tcPr>
            <w:tcW w:type="dxa" w:w="422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Accuracy, clinical usefulness, objectivity, continuity, privacy</w:t>
            </w:r>
          </w:p>
        </w:tc>
      </w:tr>
      <w:tr>
        <w:tc>
          <w:tcPr>
            <w:tcW w:type="dxa" w:w="163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Termination</w:t>
            </w:r>
          </w:p>
        </w:tc>
        <w:tc>
          <w:tcPr>
            <w:tcW w:type="dxa" w:w="422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Legal and regulatory constraints, client rights</w:t>
            </w:r>
          </w:p>
        </w:tc>
        <w:tc>
          <w:tcPr>
            <w:tcW w:type="dxa" w:w="422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Benefit, continuity, collaboration, appropriate notice and transition</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QUALIFIERS MATTER</w:t>
            </w:r>
          </w:p>
          <w:p>
            <w:pPr>
              <w:spacing w:after="0"/>
            </w:pPr>
            <w:r>
              <w:rPr>
                <w:rFonts w:ascii="Arial" w:hAnsi="Arial"/>
                <w:color w:val="243447"/>
                <w:sz w:val="19"/>
              </w:rPr>
              <w:t>When the stem asks “legally required,” do not select a merely helpful ethical action. When it asks “most ethical,” a legally permissible minimum may still be weaker than a client-centered, proportionate professional response.</w:t>
            </w:r>
          </w:p>
        </w:tc>
      </w:tr>
    </w:tbl>
    <w:p>
      <w:pPr>
        <w:spacing w:after="0"/>
      </w:pPr>
    </w:p>
    <w:p>
      <w:pPr>
        <w:pStyle w:val="Heading2"/>
      </w:pPr>
      <w:r>
        <w:t>High-Yield Trigger Words</w:t>
      </w:r>
    </w:p>
    <w:tbl>
      <w:tblPr>
        <w:tblW w:type="dxa" w:w="10080"/>
        <w:jc w:val="center"/>
        <w:tblLayout w:type="fixed"/>
        <w:tblLook w:firstColumn="1" w:firstRow="1" w:lastColumn="0" w:lastRow="0" w:noHBand="0" w:noVBand="1" w:val="04A0"/>
        <w:tblInd w:w="0" w:type="dxa"/>
      </w:tblPr>
      <w:tblGrid>
        <w:gridCol w:w="2987"/>
        <w:gridCol w:w="4480"/>
        <w:gridCol w:w="2613"/>
      </w:tblGrid>
      <w:tr>
        <w:trPr>
          <w:tblHeader w:val="true"/>
        </w:trPr>
        <w:tc>
          <w:tcPr>
            <w:tcW w:type="dxa" w:w="2987"/>
            <w:shd w:fill="112A4A"/>
            <w:vAlign w:val="center"/>
            <w:tcMar>
              <w:top w:w="100" w:type="dxa"/>
              <w:start w:w="120" w:type="dxa"/>
              <w:bottom w:w="100" w:type="dxa"/>
              <w:end w:w="120" w:type="dxa"/>
            </w:tcMar>
          </w:tcPr>
          <w:p>
            <w:pPr>
              <w:spacing w:after="0"/>
              <w:jc w:val="center"/>
            </w:pPr>
            <w:r/>
            <w:r>
              <w:rPr>
                <w:rFonts w:ascii="Arial" w:hAnsi="Arial"/>
                <w:b/>
                <w:color w:val="FFFFFF"/>
                <w:sz w:val="18"/>
              </w:rPr>
              <w:t>Trigger Phrase</w:t>
            </w:r>
          </w:p>
        </w:tc>
        <w:tc>
          <w:tcPr>
            <w:tcW w:type="dxa" w:w="4480"/>
            <w:shd w:fill="179C9D"/>
            <w:vAlign w:val="center"/>
            <w:tcMar>
              <w:top w:w="100" w:type="dxa"/>
              <w:start w:w="120" w:type="dxa"/>
              <w:bottom w:w="100" w:type="dxa"/>
              <w:end w:w="120" w:type="dxa"/>
            </w:tcMar>
          </w:tcPr>
          <w:p>
            <w:pPr>
              <w:spacing w:after="0"/>
              <w:jc w:val="center"/>
            </w:pPr>
            <w:r/>
            <w:r>
              <w:rPr>
                <w:rFonts w:ascii="Arial" w:hAnsi="Arial"/>
                <w:b/>
                <w:color w:val="FFFFFF"/>
                <w:sz w:val="18"/>
              </w:rPr>
              <w:t>Immediate Sorting Question</w:t>
            </w:r>
          </w:p>
        </w:tc>
        <w:tc>
          <w:tcPr>
            <w:tcW w:type="dxa" w:w="2613"/>
            <w:shd w:fill="179C9D"/>
            <w:vAlign w:val="center"/>
            <w:tcMar>
              <w:top w:w="100" w:type="dxa"/>
              <w:start w:w="120" w:type="dxa"/>
              <w:bottom w:w="100" w:type="dxa"/>
              <w:end w:w="120" w:type="dxa"/>
            </w:tcMar>
          </w:tcPr>
          <w:p>
            <w:pPr>
              <w:spacing w:after="0"/>
              <w:jc w:val="center"/>
            </w:pPr>
            <w:r/>
            <w:r>
              <w:rPr>
                <w:rFonts w:ascii="Arial" w:hAnsi="Arial"/>
                <w:b/>
                <w:color w:val="FFFFFF"/>
                <w:sz w:val="18"/>
              </w:rPr>
              <w:t>Likely Guide</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“Reasonably suspects”</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this a mandated-report threshold?</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Child or elder/dependent-adult reporting</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“Serious threat” + named person</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there a reasonably identifiable victim?</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Duty to protect</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“Subpoena duces tecum”</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is the privilege and response posture?</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Subpoena map</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“Court order”</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What exactly is compelled and how narrow is the order?</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Subpoena/court-order map</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“12-year-old requests therapy”</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Is the minor mature enough and is parent involvement appropriate?</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Minor consent</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“Client is in another state”</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May the clinician lawfully practice where the client is located?</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Telehealth</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“Gravely disabled”</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Does the statutory criterion result from a mental health disorder?</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5150</w:t>
            </w:r>
          </w:p>
        </w:tc>
      </w:tr>
      <w:tr>
        <w:tc>
          <w:tcPr>
            <w:tcW w:type="dxa" w:w="2987"/>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“Requests records”</w:t>
            </w:r>
          </w:p>
        </w:tc>
        <w:tc>
          <w:tcPr>
            <w:tcW w:type="dxa" w:w="4480"/>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Who has access rights, and what timeline applies?</w:t>
            </w:r>
          </w:p>
        </w:tc>
        <w:tc>
          <w:tcPr>
            <w:tcW w:type="dxa" w:w="2613"/>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Records</w:t>
            </w:r>
          </w:p>
        </w:tc>
      </w:tr>
      <w:tr>
        <w:tc>
          <w:tcPr>
            <w:tcW w:type="dxa" w:w="2987"/>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“No longer benefiting”</w:t>
            </w:r>
          </w:p>
        </w:tc>
        <w:tc>
          <w:tcPr>
            <w:tcW w:type="dxa" w:w="4480"/>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How should treatment end without abandonment?</w:t>
            </w:r>
          </w:p>
        </w:tc>
        <w:tc>
          <w:tcPr>
            <w:tcW w:type="dxa" w:w="2613"/>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6"/>
              </w:rPr>
              <w:t>Termination</w:t>
            </w:r>
          </w:p>
        </w:tc>
      </w:tr>
    </w:tbl>
    <w:p>
      <w:pPr>
        <w:spacing w:after="0"/>
      </w:pPr>
    </w:p>
    <w:p>
      <w:r>
        <w:br w:type="page"/>
      </w:r>
    </w:p>
    <w:p>
      <w:pPr>
        <w:spacing w:before="0" w:after="40"/>
      </w:pPr>
      <w:r>
        <w:rPr>
          <w:rFonts w:ascii="Arial" w:hAnsi="Arial"/>
          <w:b/>
          <w:color w:val="112A4A"/>
          <w:sz w:val="34"/>
        </w:rPr>
        <w:t>13. Applied Legal-Reasoning Worksheet</w:t>
      </w:r>
    </w:p>
    <w:p>
      <w:pPr>
        <w:spacing w:after="120"/>
      </w:pPr>
      <w:r>
        <w:rPr>
          <w:rFonts w:ascii="Arial" w:hAnsi="Arial"/>
          <w:i/>
          <w:color w:val="179C9D"/>
          <w:sz w:val="20"/>
        </w:rPr>
        <w:t>Use one sheet for every difficult practice item</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10080"/>
      </w:tblGrid>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1. What exact fact activates the rule?</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2. Is this primarily law, ethics, or both?</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3. Who has authority or legal responsibility?</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4. What action is required, permitted, or professionally recommended?</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5. What must happen first?</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6. What timing requirement applies?</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7. What information may or must be disclosed—and to whom?</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8. Which answer is too passive, too extreme, too broad, or out of sequence?</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9. What must be documented?</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10. What workbook/chapter or flashcard should I review?</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bl>
    <w:p>
      <w:pPr>
        <w:pStyle w:val="Heading2"/>
      </w:pPr>
      <w:r>
        <w:t>My Decision Sentence</w:t>
      </w:r>
    </w:p>
    <w:tbl>
      <w:tblPr>
        <w:tblW w:type="dxa" w:w="10080"/>
        <w:jc w:val="center"/>
        <w:tblLayout w:type="fixed"/>
        <w:tblLook w:firstColumn="1" w:firstRow="1" w:lastColumn="0" w:lastRow="0" w:noHBand="0" w:noVBand="1" w:val="04A0"/>
        <w:tblInd w:w="0" w:type="dxa"/>
      </w:tblPr>
      <w:tblGrid>
        <w:gridCol w:w="10080"/>
      </w:tblGrid>
      <w:tr>
        <w:tc>
          <w:tcPr>
            <w:tcW w:type="dxa" w:w="10080"/>
            <w:shd w:fill="FFF8E7"/>
            <w:tcBorders>
              <w:top w:val="single" w:sz="10" w:color="C58B18"/>
              <w:left w:val="single" w:sz="18" w:color="C58B18"/>
              <w:bottom w:val="single" w:sz="10" w:color="C58B18"/>
              <w:right w:val="single" w:sz="10" w:color="C58B18"/>
            </w:tcBorders>
            <w:tcMar>
              <w:top w:w="120" w:type="dxa"/>
              <w:start w:w="170" w:type="dxa"/>
              <w:bottom w:w="120" w:type="dxa"/>
              <w:end w:w="150" w:type="dxa"/>
            </w:tcMar>
          </w:tcPr>
          <w:p>
            <w:pPr>
              <w:spacing w:after="80"/>
            </w:pPr>
            <w:r>
              <w:rPr>
                <w:rFonts w:ascii="Arial" w:hAnsi="Arial"/>
                <w:b/>
                <w:color w:val="112A4A"/>
                <w:sz w:val="21"/>
              </w:rPr>
              <w:t>COMPLETE THIS SENTENCE</w:t>
            </w:r>
          </w:p>
          <w:p>
            <w:pPr>
              <w:spacing w:after="0"/>
            </w:pPr>
            <w:r>
              <w:rPr>
                <w:rFonts w:ascii="Arial" w:hAnsi="Arial"/>
                <w:color w:val="243447"/>
                <w:sz w:val="19"/>
              </w:rPr>
              <w:t>Because __________________________ activates __________________________, the clinician should first __________________________, then __________________________, while limiting __________________________ and documenting __________________________.</w:t>
            </w:r>
          </w:p>
        </w:tc>
      </w:tr>
    </w:tbl>
    <w:p>
      <w:pPr>
        <w:spacing w:after="0"/>
      </w:pPr>
    </w:p>
    <w:p>
      <w:r>
        <w:br w:type="page"/>
      </w:r>
    </w:p>
    <w:p>
      <w:pPr>
        <w:spacing w:before="0" w:after="40"/>
      </w:pPr>
      <w:r>
        <w:rPr>
          <w:rFonts w:ascii="Arial" w:hAnsi="Arial"/>
          <w:b/>
          <w:color w:val="112A4A"/>
          <w:sz w:val="34"/>
        </w:rPr>
        <w:t>13A. Error Classification and Repair Plan</w:t>
      </w:r>
    </w:p>
    <w:p>
      <w:pPr>
        <w:spacing w:after="120"/>
      </w:pPr>
      <w:r>
        <w:rPr>
          <w:rFonts w:ascii="Arial" w:hAnsi="Arial"/>
          <w:i/>
          <w:color w:val="179C9D"/>
          <w:sz w:val="20"/>
        </w:rPr>
        <w:t>Turn each missed question into a targeted study action</w:t>
      </w:r>
    </w:p>
    <w:p>
      <w:pPr>
        <w:spacing w:before="40" w:after="160"/>
        <w:pBdr>
          <w:bottom w:val="single" w:sz="14" w:space="1" w:color="179C9D"/>
        </w:pBdr>
      </w:pPr>
    </w:p>
    <w:tbl>
      <w:tblPr>
        <w:tblW w:type="dxa" w:w="10080"/>
        <w:jc w:val="center"/>
        <w:tblLayout w:type="fixed"/>
        <w:tblLook w:firstColumn="1" w:firstRow="1" w:lastColumn="0" w:lastRow="0" w:noHBand="0" w:noVBand="1" w:val="04A0"/>
        <w:tblInd w:w="0" w:type="dxa"/>
      </w:tblPr>
      <w:tblGrid>
        <w:gridCol w:w="2315"/>
        <w:gridCol w:w="4181"/>
        <w:gridCol w:w="3584"/>
      </w:tblGrid>
      <w:tr>
        <w:trPr>
          <w:tblHeader w:val="true"/>
        </w:trPr>
        <w:tc>
          <w:tcPr>
            <w:tcW w:type="dxa" w:w="2315"/>
            <w:shd w:fill="112A4A"/>
            <w:vAlign w:val="center"/>
            <w:tcMar>
              <w:top w:w="100" w:type="dxa"/>
              <w:start w:w="120" w:type="dxa"/>
              <w:bottom w:w="100" w:type="dxa"/>
              <w:end w:w="120" w:type="dxa"/>
            </w:tcMar>
          </w:tcPr>
          <w:p>
            <w:pPr>
              <w:spacing w:after="0"/>
              <w:jc w:val="center"/>
            </w:pPr>
            <w:r/>
            <w:r>
              <w:rPr>
                <w:rFonts w:ascii="Arial" w:hAnsi="Arial"/>
                <w:b/>
                <w:color w:val="FFFFFF"/>
                <w:sz w:val="18"/>
              </w:rPr>
              <w:t>Error Type</w:t>
            </w:r>
          </w:p>
        </w:tc>
        <w:tc>
          <w:tcPr>
            <w:tcW w:type="dxa" w:w="4181"/>
            <w:shd w:fill="179C9D"/>
            <w:vAlign w:val="center"/>
            <w:tcMar>
              <w:top w:w="100" w:type="dxa"/>
              <w:start w:w="120" w:type="dxa"/>
              <w:bottom w:w="100" w:type="dxa"/>
              <w:end w:w="120" w:type="dxa"/>
            </w:tcMar>
          </w:tcPr>
          <w:p>
            <w:pPr>
              <w:spacing w:after="0"/>
              <w:jc w:val="center"/>
            </w:pPr>
            <w:r/>
            <w:r>
              <w:rPr>
                <w:rFonts w:ascii="Arial" w:hAnsi="Arial"/>
                <w:b/>
                <w:color w:val="FFFFFF"/>
                <w:sz w:val="18"/>
              </w:rPr>
              <w:t>What Happened</w:t>
            </w:r>
          </w:p>
        </w:tc>
        <w:tc>
          <w:tcPr>
            <w:tcW w:type="dxa" w:w="3584"/>
            <w:shd w:fill="179C9D"/>
            <w:vAlign w:val="center"/>
            <w:tcMar>
              <w:top w:w="100" w:type="dxa"/>
              <w:start w:w="120" w:type="dxa"/>
              <w:bottom w:w="100" w:type="dxa"/>
              <w:end w:w="120" w:type="dxa"/>
            </w:tcMar>
          </w:tcPr>
          <w:p>
            <w:pPr>
              <w:spacing w:after="0"/>
              <w:jc w:val="center"/>
            </w:pPr>
            <w:r/>
            <w:r>
              <w:rPr>
                <w:rFonts w:ascii="Arial" w:hAnsi="Arial"/>
                <w:b/>
                <w:color w:val="FFFFFF"/>
                <w:sz w:val="18"/>
              </w:rPr>
              <w:t>Repair Action</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Trigger error</w:t>
            </w:r>
          </w:p>
        </w:tc>
        <w:tc>
          <w:tcPr>
            <w:tcW w:type="dxa" w:w="4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missed the fact that activated the rule.</w:t>
            </w:r>
          </w:p>
        </w:tc>
        <w:tc>
          <w:tcPr>
            <w:tcW w:type="dxa" w:w="358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Underline trigger phrases before reading choices.</w:t>
            </w:r>
          </w:p>
        </w:tc>
      </w:tr>
      <w:tr>
        <w:tc>
          <w:tcPr>
            <w:tcW w:type="dxa" w:w="231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Authority error</w:t>
            </w:r>
          </w:p>
        </w:tc>
        <w:tc>
          <w:tcPr>
            <w:tcW w:type="dxa" w:w="4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gave responsibility to the wrong person.</w:t>
            </w:r>
          </w:p>
        </w:tc>
        <w:tc>
          <w:tcPr>
            <w:tcW w:type="dxa" w:w="358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Identify client, privilege holder, reporter, supervisor, or designated professional.</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Sequence error</w:t>
            </w:r>
          </w:p>
        </w:tc>
        <w:tc>
          <w:tcPr>
            <w:tcW w:type="dxa" w:w="4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chose a later action instead of the first step.</w:t>
            </w:r>
          </w:p>
        </w:tc>
        <w:tc>
          <w:tcPr>
            <w:tcW w:type="dxa" w:w="358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Write the required order in one line.</w:t>
            </w:r>
          </w:p>
        </w:tc>
      </w:tr>
      <w:tr>
        <w:tc>
          <w:tcPr>
            <w:tcW w:type="dxa" w:w="231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Absolute-rule error</w:t>
            </w:r>
          </w:p>
        </w:tc>
        <w:tc>
          <w:tcPr>
            <w:tcW w:type="dxa" w:w="4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treated “may/should/generally” as “must/always.”</w:t>
            </w:r>
          </w:p>
        </w:tc>
        <w:tc>
          <w:tcPr>
            <w:tcW w:type="dxa" w:w="358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Check the exact legal verb and exceptions.</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Over-disclosure error</w:t>
            </w:r>
          </w:p>
        </w:tc>
        <w:tc>
          <w:tcPr>
            <w:tcW w:type="dxa" w:w="418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selected the most expansive disclosure.</w:t>
            </w:r>
          </w:p>
        </w:tc>
        <w:tc>
          <w:tcPr>
            <w:tcW w:type="dxa" w:w="358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Apply minimum necessary and scope limits.</w:t>
            </w:r>
          </w:p>
        </w:tc>
      </w:tr>
      <w:tr>
        <w:tc>
          <w:tcPr>
            <w:tcW w:type="dxa" w:w="2315"/>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Under-response error</w:t>
            </w:r>
          </w:p>
        </w:tc>
        <w:tc>
          <w:tcPr>
            <w:tcW w:type="dxa" w:w="4181"/>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 protected confidentiality but ignored a mandate or safety duty.</w:t>
            </w:r>
          </w:p>
        </w:tc>
        <w:tc>
          <w:tcPr>
            <w:tcW w:type="dxa" w:w="3584"/>
            <w:shd w:fill="F2F4F7"/>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Identify the statutory exception or required action.</w:t>
            </w:r>
          </w:p>
        </w:tc>
      </w:tr>
    </w:tbl>
    <w:p>
      <w:pPr>
        <w:spacing w:after="0"/>
      </w:pPr>
    </w:p>
    <w:p>
      <w:pPr>
        <w:pStyle w:val="Heading2"/>
      </w:pPr>
      <w:r>
        <w:t>Targeted Remediation Plan</w:t>
      </w:r>
    </w:p>
    <w:tbl>
      <w:tblPr>
        <w:tblW w:type="dxa" w:w="10080"/>
        <w:jc w:val="center"/>
        <w:tblLayout w:type="fixed"/>
        <w:tblLook w:firstColumn="1" w:firstRow="1" w:lastColumn="0" w:lastRow="0" w:noHBand="0" w:noVBand="1" w:val="04A0"/>
        <w:tblInd w:w="0" w:type="dxa"/>
      </w:tblPr>
      <w:tblGrid>
        <w:gridCol w:w="10080"/>
      </w:tblGrid>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Primary weakness identified:</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Workbook/chapter and flashcard set to review:</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FFFFF"/>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One rule or distinction I will rewrite in my own words:</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r>
        <w:tc>
          <w:tcPr>
            <w:tcW w:type="dxa" w:w="10080"/>
            <w:shd w:fill="F2F4F7"/>
            <w:tcBorders>
              <w:top w:val="single" w:sz="6" w:color="DDE5EC"/>
              <w:left w:val="single" w:sz="6" w:color="DDE5EC"/>
              <w:bottom w:val="single" w:sz="6" w:color="DDE5EC"/>
              <w:right w:val="single" w:sz="6" w:color="DDE5EC"/>
            </w:tcBorders>
          </w:tcPr>
          <w:p>
            <w:pPr>
              <w:spacing w:after="120"/>
            </w:pPr>
            <w:r/>
            <w:r>
              <w:rPr>
                <w:rFonts w:ascii="Arial" w:hAnsi="Arial"/>
                <w:b/>
                <w:color w:val="112A4A"/>
                <w:sz w:val="18"/>
              </w:rPr>
              <w:t>Date I will retest this concept:</w:t>
            </w:r>
          </w:p>
          <w:p>
            <w:pPr>
              <w:spacing w:after="60"/>
            </w:pPr>
            <w:r>
              <w:rPr>
                <w:rFonts w:ascii="Arial" w:hAnsi="Arial"/>
                <w:color w:val="8996A6"/>
                <w:sz w:val="18"/>
              </w:rPr>
              <w:t>________________________________________________________________________________</w:t>
            </w:r>
          </w:p>
          <w:p>
            <w:pPr>
              <w:spacing w:after="0"/>
            </w:pPr>
            <w:r>
              <w:rPr>
                <w:rFonts w:ascii="Arial" w:hAnsi="Arial"/>
                <w:color w:val="8996A6"/>
                <w:sz w:val="18"/>
              </w:rPr>
              <w:t>________________________________________________________________________________</w:t>
            </w:r>
          </w:p>
        </w:tc>
      </w:tr>
    </w:tbl>
    <w:p>
      <w:r>
        <w:br w:type="page"/>
      </w:r>
    </w:p>
    <w:p>
      <w:pPr>
        <w:spacing w:before="0" w:after="40"/>
      </w:pPr>
      <w:r>
        <w:rPr>
          <w:rFonts w:ascii="Arial" w:hAnsi="Arial"/>
          <w:b/>
          <w:color w:val="112A4A"/>
          <w:sz w:val="34"/>
        </w:rPr>
        <w:t>14. Primary Sources and Update Record</w:t>
      </w:r>
    </w:p>
    <w:p>
      <w:pPr>
        <w:spacing w:after="120"/>
      </w:pPr>
      <w:r>
        <w:rPr>
          <w:rFonts w:ascii="Arial" w:hAnsi="Arial"/>
          <w:i/>
          <w:color w:val="179C9D"/>
          <w:sz w:val="20"/>
        </w:rPr>
        <w:t>Use current official sources before publication or major revision</w:t>
      </w:r>
    </w:p>
    <w:p>
      <w:pPr>
        <w:spacing w:before="40" w:after="160"/>
        <w:pBdr>
          <w:bottom w:val="single" w:sz="14" w:space="1" w:color="179C9D"/>
        </w:pBdr>
      </w:pPr>
    </w:p>
    <w:p>
      <w:pPr>
        <w:pStyle w:val="ListBullet"/>
        <w:spacing w:after="60"/>
        <w:ind w:left="317" w:hanging="187"/>
      </w:pPr>
      <w:r>
        <w:rPr>
          <w:rFonts w:ascii="Arial" w:hAnsi="Arial"/>
          <w:color w:val="243447"/>
          <w:sz w:val="17"/>
        </w:rPr>
        <w:t>Pearson VUE. Licensed Marriage and Family Therapist Law and Ethics Examination Outline, effective January 1, 2024. Listed as the current LMFT Law and Ethics outline on the California BBS Pearson VUE resource page reviewed August 2026.</w:t>
      </w:r>
    </w:p>
    <w:p>
      <w:pPr>
        <w:pStyle w:val="ListBullet"/>
        <w:spacing w:after="60"/>
        <w:ind w:left="317" w:hanging="187"/>
      </w:pPr>
      <w:r>
        <w:rPr>
          <w:rFonts w:ascii="Arial" w:hAnsi="Arial"/>
          <w:color w:val="243447"/>
          <w:sz w:val="17"/>
        </w:rPr>
        <w:t>California Board of Behavioral Sciences. Statutes and Regulations Relating to the Practices of Professional Clinical Counseling, Marriage and Family Therapy, Educational Psychology, and Clinical Social Work, effective January 1, 2026.</w:t>
      </w:r>
    </w:p>
    <w:p>
      <w:pPr>
        <w:pStyle w:val="ListBullet"/>
        <w:spacing w:after="60"/>
        <w:ind w:left="317" w:hanging="187"/>
      </w:pPr>
      <w:r>
        <w:rPr>
          <w:rFonts w:ascii="Arial" w:hAnsi="Arial"/>
          <w:color w:val="243447"/>
          <w:sz w:val="17"/>
        </w:rPr>
        <w:t>California Family Code § 6924 — Minor consent to outpatient mental health treatment or counseling.</w:t>
      </w:r>
    </w:p>
    <w:p>
      <w:pPr>
        <w:pStyle w:val="ListBullet"/>
        <w:spacing w:after="60"/>
        <w:ind w:left="317" w:hanging="187"/>
      </w:pPr>
      <w:r>
        <w:rPr>
          <w:rFonts w:ascii="Arial" w:hAnsi="Arial"/>
          <w:color w:val="243447"/>
          <w:sz w:val="17"/>
        </w:rPr>
        <w:t>California Evidence Code §§ 1010–1027 — Psychotherapist-patient privilege and exceptions.</w:t>
      </w:r>
    </w:p>
    <w:p>
      <w:pPr>
        <w:pStyle w:val="ListBullet"/>
        <w:spacing w:after="60"/>
        <w:ind w:left="317" w:hanging="187"/>
      </w:pPr>
      <w:r>
        <w:rPr>
          <w:rFonts w:ascii="Arial" w:hAnsi="Arial"/>
          <w:color w:val="243447"/>
          <w:sz w:val="17"/>
        </w:rPr>
        <w:t>California Civil Code §§ 43.92 and 56.10 — Duty to protect and disclosure of medical information.</w:t>
      </w:r>
    </w:p>
    <w:p>
      <w:pPr>
        <w:pStyle w:val="ListBullet"/>
        <w:spacing w:after="60"/>
        <w:ind w:left="317" w:hanging="187"/>
      </w:pPr>
      <w:r>
        <w:rPr>
          <w:rFonts w:ascii="Arial" w:hAnsi="Arial"/>
          <w:color w:val="243447"/>
          <w:sz w:val="17"/>
        </w:rPr>
        <w:t>California Penal Code § 11166 — Child abuse and neglect reporting duty and timing.</w:t>
      </w:r>
    </w:p>
    <w:p>
      <w:pPr>
        <w:pStyle w:val="ListBullet"/>
        <w:spacing w:after="60"/>
        <w:ind w:left="317" w:hanging="187"/>
      </w:pPr>
      <w:r>
        <w:rPr>
          <w:rFonts w:ascii="Arial" w:hAnsi="Arial"/>
          <w:color w:val="243447"/>
          <w:sz w:val="17"/>
        </w:rPr>
        <w:t>California Welfare and Institutions Code § 15630 — Elder and dependent adult abuse reporting.</w:t>
      </w:r>
    </w:p>
    <w:p>
      <w:pPr>
        <w:pStyle w:val="ListBullet"/>
        <w:spacing w:after="60"/>
        <w:ind w:left="317" w:hanging="187"/>
      </w:pPr>
      <w:r>
        <w:rPr>
          <w:rFonts w:ascii="Arial" w:hAnsi="Arial"/>
          <w:color w:val="243447"/>
          <w:sz w:val="17"/>
        </w:rPr>
        <w:t>California Welfare and Institutions Code § 5150 — Detention for evaluation and treatment.</w:t>
      </w:r>
    </w:p>
    <w:p>
      <w:pPr>
        <w:pStyle w:val="ListBullet"/>
        <w:spacing w:after="60"/>
        <w:ind w:left="317" w:hanging="187"/>
      </w:pPr>
      <w:r>
        <w:rPr>
          <w:rFonts w:ascii="Arial" w:hAnsi="Arial"/>
          <w:color w:val="243447"/>
          <w:sz w:val="17"/>
        </w:rPr>
        <w:t>California Business and Professions Code §§ 2290.5 and 4980.49 — Telehealth consent and LMFT record retention.</w:t>
      </w:r>
    </w:p>
    <w:p>
      <w:pPr>
        <w:pStyle w:val="ListBullet"/>
        <w:spacing w:after="60"/>
        <w:ind w:left="317" w:hanging="187"/>
      </w:pPr>
      <w:r>
        <w:rPr>
          <w:rFonts w:ascii="Arial" w:hAnsi="Arial"/>
          <w:color w:val="243447"/>
          <w:sz w:val="17"/>
        </w:rPr>
        <w:t>California Code of Regulations, title 16, § 1815.5 — BBS telehealth standards of practice.</w:t>
      </w:r>
    </w:p>
    <w:p>
      <w:pPr>
        <w:pStyle w:val="ListBullet"/>
        <w:spacing w:after="60"/>
        <w:ind w:left="317" w:hanging="187"/>
      </w:pPr>
      <w:r>
        <w:rPr>
          <w:rFonts w:ascii="Arial" w:hAnsi="Arial"/>
          <w:color w:val="243447"/>
          <w:sz w:val="17"/>
        </w:rPr>
        <w:t>California Health and Safety Code § 123110 — Patient inspection and copies of health records.</w:t>
      </w:r>
    </w:p>
    <w:tbl>
      <w:tblPr>
        <w:tblW w:type="dxa" w:w="10080"/>
        <w:jc w:val="center"/>
        <w:tblLayout w:type="fixed"/>
        <w:tblLook w:firstColumn="1" w:firstRow="1" w:lastColumn="0" w:lastRow="0" w:noHBand="0" w:noVBand="1" w:val="04A0"/>
        <w:tblInd w:w="0" w:type="dxa"/>
      </w:tblPr>
      <w:tblGrid>
        <w:gridCol w:w="10080"/>
      </w:tblGrid>
      <w:tr>
        <w:tc>
          <w:tcPr>
            <w:tcW w:type="dxa" w:w="10080"/>
            <w:shd w:fill="E8F5F5"/>
            <w:tcBorders>
              <w:top w:val="single" w:sz="10" w:color="179C9D"/>
              <w:left w:val="single" w:sz="18" w:color="179C9D"/>
              <w:bottom w:val="single" w:sz="10" w:color="179C9D"/>
              <w:right w:val="single" w:sz="10" w:color="179C9D"/>
            </w:tcBorders>
            <w:tcMar>
              <w:top w:w="120" w:type="dxa"/>
              <w:start w:w="170" w:type="dxa"/>
              <w:bottom w:w="120" w:type="dxa"/>
              <w:end w:w="150" w:type="dxa"/>
            </w:tcMar>
          </w:tcPr>
          <w:p>
            <w:pPr>
              <w:spacing w:after="80"/>
            </w:pPr>
            <w:r>
              <w:rPr>
                <w:rFonts w:ascii="Arial" w:hAnsi="Arial"/>
                <w:b/>
                <w:color w:val="112A4A"/>
                <w:sz w:val="21"/>
              </w:rPr>
              <w:t>VERSION-CONTROL RULE</w:t>
            </w:r>
          </w:p>
          <w:p>
            <w:pPr>
              <w:spacing w:after="0"/>
            </w:pPr>
            <w:r>
              <w:rPr>
                <w:rFonts w:ascii="Arial" w:hAnsi="Arial"/>
                <w:color w:val="243447"/>
                <w:sz w:val="19"/>
              </w:rPr>
              <w:t>High-change legal content should be rechecked before publication and after statutory, regulatory, or examination-outline changes. A wording correction keeps the same toolkit version only when it does not change meaning; substantive legal changes require a new version and update log.</w:t>
            </w:r>
          </w:p>
        </w:tc>
      </w:tr>
    </w:tbl>
    <w:p>
      <w:pPr>
        <w:spacing w:after="0"/>
      </w:pPr>
    </w:p>
    <w:p>
      <w:pPr>
        <w:pStyle w:val="Heading2"/>
      </w:pPr>
      <w:r>
        <w:t>Update Log</w:t>
      </w:r>
    </w:p>
    <w:tbl>
      <w:tblPr>
        <w:tblW w:type="dxa" w:w="10080"/>
        <w:jc w:val="center"/>
        <w:tblLayout w:type="fixed"/>
        <w:tblLook w:firstColumn="1" w:firstRow="1" w:lastColumn="0" w:lastRow="0" w:noHBand="0" w:noVBand="1" w:val="04A0"/>
        <w:tblInd w:w="0" w:type="dxa"/>
      </w:tblPr>
      <w:tblGrid>
        <w:gridCol w:w="2315"/>
        <w:gridCol w:w="5451"/>
        <w:gridCol w:w="2314"/>
      </w:tblGrid>
      <w:tr>
        <w:trPr>
          <w:tblHeader w:val="true"/>
        </w:trPr>
        <w:tc>
          <w:tcPr>
            <w:tcW w:type="dxa" w:w="2315"/>
            <w:shd w:fill="112A4A"/>
            <w:vAlign w:val="center"/>
            <w:tcMar>
              <w:top w:w="100" w:type="dxa"/>
              <w:start w:w="120" w:type="dxa"/>
              <w:bottom w:w="100" w:type="dxa"/>
              <w:end w:w="120" w:type="dxa"/>
            </w:tcMar>
          </w:tcPr>
          <w:p>
            <w:pPr>
              <w:spacing w:after="0"/>
              <w:jc w:val="center"/>
            </w:pPr>
            <w:r/>
            <w:r>
              <w:rPr>
                <w:rFonts w:ascii="Arial" w:hAnsi="Arial"/>
                <w:b/>
                <w:color w:val="FFFFFF"/>
                <w:sz w:val="18"/>
              </w:rPr>
              <w:t>Version / Date</w:t>
            </w:r>
          </w:p>
        </w:tc>
        <w:tc>
          <w:tcPr>
            <w:tcW w:type="dxa" w:w="5451"/>
            <w:shd w:fill="179C9D"/>
            <w:vAlign w:val="center"/>
            <w:tcMar>
              <w:top w:w="100" w:type="dxa"/>
              <w:start w:w="120" w:type="dxa"/>
              <w:bottom w:w="100" w:type="dxa"/>
              <w:end w:w="120" w:type="dxa"/>
            </w:tcMar>
          </w:tcPr>
          <w:p>
            <w:pPr>
              <w:spacing w:after="0"/>
              <w:jc w:val="center"/>
            </w:pPr>
            <w:r/>
            <w:r>
              <w:rPr>
                <w:rFonts w:ascii="Arial" w:hAnsi="Arial"/>
                <w:b/>
                <w:color w:val="FFFFFF"/>
                <w:sz w:val="18"/>
              </w:rPr>
              <w:t>Change</w:t>
            </w:r>
          </w:p>
        </w:tc>
        <w:tc>
          <w:tcPr>
            <w:tcW w:type="dxa" w:w="2314"/>
            <w:shd w:fill="179C9D"/>
            <w:vAlign w:val="center"/>
            <w:tcMar>
              <w:top w:w="100" w:type="dxa"/>
              <w:start w:w="120" w:type="dxa"/>
              <w:bottom w:w="100" w:type="dxa"/>
              <w:end w:w="120" w:type="dxa"/>
            </w:tcMar>
          </w:tcPr>
          <w:p>
            <w:pPr>
              <w:spacing w:after="0"/>
              <w:jc w:val="center"/>
            </w:pPr>
            <w:r/>
            <w:r>
              <w:rPr>
                <w:rFonts w:ascii="Arial" w:hAnsi="Arial"/>
                <w:b/>
                <w:color w:val="FFFFFF"/>
                <w:sz w:val="18"/>
              </w:rPr>
              <w:t>Reviewed Sources</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v1.0 / August 2026</w:t>
            </w:r>
          </w:p>
        </w:tc>
        <w:tc>
          <w:tcPr>
            <w:tcW w:type="dxa" w:w="545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Initial learner-facing decision-guides toolkit. Corrected unsupported absolutes from draft bonus resources and aligned high-yield maps to current primary sources.</w:t>
            </w:r>
          </w:p>
        </w:tc>
        <w:tc>
          <w:tcPr>
            <w:tcW w:type="dxa" w:w="23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jc w:val="left"/>
            </w:pPr>
            <w:r/>
            <w:r>
              <w:rPr>
                <w:rFonts w:ascii="Arial" w:hAnsi="Arial"/>
                <w:b w:val="0"/>
                <w:color w:val="243447"/>
                <w:sz w:val="17"/>
              </w:rPr>
              <w:t>Pearson VUE LMFT outline; BBS 2026 laws/regulations; current California code sections listed above.</w:t>
            </w:r>
          </w:p>
        </w:tc>
      </w:tr>
      <w:tr>
        <w:tc>
          <w:tcPr>
            <w:tcW w:type="dxa" w:w="2315"/>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pPr>
            <w:r>
              <w:t>v1.1 / August 2026</w:t>
            </w:r>
          </w:p>
        </w:tc>
        <w:tc>
          <w:tcPr>
            <w:tcW w:type="dxa" w:w="5451"/>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pPr>
            <w:r>
              <w:t>Corrected ruler-width table layout: standardized page margins, fixed all table grids and cell widths inside the usable text area, and set zero table indent. Instructional content unchanged.</w:t>
            </w:r>
          </w:p>
        </w:tc>
        <w:tc>
          <w:tcPr>
            <w:tcW w:type="dxa" w:w="2314"/>
            <w:shd w:fill="FFFFFF"/>
            <w:tcBorders>
              <w:top w:val="single" w:sz="5" w:color="DDE5EC"/>
              <w:left w:val="single" w:sz="5" w:color="DDE5EC"/>
              <w:bottom w:val="single" w:sz="5" w:color="DDE5EC"/>
              <w:right w:val="single" w:sz="5" w:color="DDE5EC"/>
            </w:tcBorders>
            <w:vAlign w:val="center"/>
            <w:tcMar>
              <w:top w:w="100" w:type="dxa"/>
              <w:start w:w="120" w:type="dxa"/>
              <w:bottom w:w="100" w:type="dxa"/>
              <w:end w:w="120" w:type="dxa"/>
            </w:tcMar>
          </w:tcPr>
          <w:p>
            <w:pPr>
              <w:spacing w:after="0"/>
            </w:pPr>
            <w:r>
              <w:t>Internal table-width audit; full 17-page render and accessibility review.</w:t>
            </w:r>
          </w:p>
        </w:tc>
      </w:tr>
    </w:tbl>
    <w:p>
      <w:pPr>
        <w:spacing w:after="0"/>
      </w:pPr>
    </w:p>
    <w:tbl>
      <w:tblPr>
        <w:tblW w:type="dxa" w:w="10080"/>
        <w:jc w:val="center"/>
        <w:tblLayout w:type="fixed"/>
        <w:tblLook w:firstColumn="1" w:firstRow="1" w:lastColumn="0" w:lastRow="0" w:noHBand="0" w:noVBand="1" w:val="04A0"/>
        <w:tblInd w:w="0" w:type="dxa"/>
      </w:tblPr>
      <w:tblGrid>
        <w:gridCol w:w="10080"/>
      </w:tblGrid>
      <w:tr>
        <w:tc>
          <w:tcPr>
            <w:tcW w:type="dxa" w:w="10080"/>
            <w:shd w:fill="F2F4F7"/>
            <w:tcBorders>
              <w:top w:val="single" w:sz="10" w:color="112A4A"/>
              <w:left w:val="single" w:sz="18" w:color="112A4A"/>
              <w:bottom w:val="single" w:sz="10" w:color="112A4A"/>
              <w:right w:val="single" w:sz="10" w:color="112A4A"/>
            </w:tcBorders>
            <w:tcMar>
              <w:top w:w="120" w:type="dxa"/>
              <w:start w:w="170" w:type="dxa"/>
              <w:bottom w:w="120" w:type="dxa"/>
              <w:end w:w="150" w:type="dxa"/>
            </w:tcMar>
          </w:tcPr>
          <w:p>
            <w:pPr>
              <w:spacing w:after="80"/>
            </w:pPr>
            <w:r>
              <w:rPr>
                <w:rFonts w:ascii="Arial" w:hAnsi="Arial"/>
                <w:b/>
                <w:color w:val="112A4A"/>
                <w:sz w:val="21"/>
              </w:rPr>
              <w:t>INDEPENDENT EDUCATIONAL RESOURCE</w:t>
            </w:r>
          </w:p>
          <w:p>
            <w:pPr>
              <w:spacing w:after="0"/>
            </w:pPr>
            <w:r>
              <w:rPr>
                <w:rFonts w:ascii="Arial" w:hAnsi="Arial"/>
                <w:color w:val="243447"/>
                <w:sz w:val="19"/>
              </w:rPr>
              <w:t>CTA is an independent educational provider and is not affiliated with or endorsed by the California Board of Behavioral Sciences, Pearson VUE, or another examination administrator. Participation does not guarantee examination passage.</w:t>
            </w:r>
          </w:p>
        </w:tc>
      </w:tr>
    </w:tbl>
    <w:p>
      <w:pPr>
        <w:spacing w:after="0"/>
      </w:pPr>
    </w:p>
    <w:sectPr w:rsidR="00FC693F" w:rsidRPr="0006063C" w:rsidSect="00034616">
      <w:footerReference w:type="default" r:id="rId9"/>
      <w:headerReference w:type="default" r:id="rId11"/>
      <w:pgSz w:w="12240" w:h="15840"/>
      <w:pgMar w:top="893"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C7886"/>
        <w:sz w:val="15"/>
      </w:rPr>
      <w:t xml:space="preserve">CTA LMFT Law &amp; Ethics Decision Guides | Version 1.1 | August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12A4A"/>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79C9D"/>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1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12A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rial" w:hAnsi="Arial"/>
      <w:b/>
      <w:i/>
      <w:iCs/>
      <w:color w:val="179C9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High-Yield California Law Decision Guides Toolkit v1.1</dc:title>
  <dc:subject>California Law &amp; Ethics Exam Preparation - corrected ruler-width table layout</dc:subject>
  <dc:creator>Clinical Training and Supervision Academy</dc:creator>
  <cp:keywords>CTA, LMFT, California Law and Ethics, BBS exam, decision guides</cp:keywords>
  <dc:description>Version 1.1 supersedes Version 1.0; table-grid, cell-width, margin, and indent corrections only.</dc:description>
  <cp:lastModifiedBy/>
  <cp:revision>1</cp:revision>
  <dcterms:created xsi:type="dcterms:W3CDTF">2013-12-23T23:15:00Z</dcterms:created>
  <dcterms:modified xsi:type="dcterms:W3CDTF">2013-12-23T23:15:00Z</dcterms:modified>
  <cp:category/>
</cp:coreProperties>
</file>