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1603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Horizont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60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/>
        <w:jc w:val="center"/>
      </w:pPr>
      <w:r>
        <w:rPr>
          <w:rFonts w:ascii="Montserrat" w:hAnsi="Montserrat" w:eastAsia="Montserrat"/>
          <w:b/>
          <w:color w:val="1BA7A1"/>
          <w:sz w:val="21"/>
        </w:rPr>
        <w:t>R8 | COMPREHENSIVE FINAL EXAMINATION</w:t>
      </w:r>
    </w:p>
    <w:p>
      <w:pPr>
        <w:jc w:val="center"/>
      </w:pPr>
      <w:r>
        <w:rPr>
          <w:rFonts w:ascii="Montserrat" w:hAnsi="Montserrat" w:eastAsia="Montserrat"/>
          <w:b/>
          <w:color w:val="17345C"/>
          <w:sz w:val="41"/>
        </w:rPr>
        <w:t>Comprehensive Final Examination</w:t>
      </w:r>
    </w:p>
    <w:p>
      <w:pPr>
        <w:jc w:val="center"/>
      </w:pPr>
      <w:r>
        <w:rPr>
          <w:rFonts w:ascii="Montserrat" w:hAnsi="Montserrat" w:eastAsia="Montserrat"/>
          <w:b w:val="0"/>
          <w:color w:val="666666"/>
          <w:sz w:val="22"/>
        </w:rPr>
        <w:t>Controlled Answer Key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6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 w:val="0"/>
              <w:spacing w:after="0" w:before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7345C"/>
                <w:sz w:val="18"/>
              </w:rPr>
              <w:t>RESTRICTED | Release only after the learner completes and preserves the answer-hidden 100-question attempt. Approved for post-attempt controlled learner review under CTA-EP-003.</w:t>
            </w:r>
          </w:p>
        </w:tc>
      </w:tr>
    </w:tbl>
    <w:p>
      <w:pPr>
        <w:spacing w:before="160"/>
        <w:jc w:val="center"/>
      </w:pPr>
      <w:r>
        <w:rPr>
          <w:rFonts w:ascii="Montserrat" w:hAnsi="Montserrat" w:eastAsia="Montserrat"/>
          <w:b w:val="0"/>
          <w:color w:val="666666"/>
          <w:sz w:val="17"/>
        </w:rPr>
        <w:t>Version 1.1 | August 7, 2026 | RESTRICTED CONTROL</w:t>
      </w:r>
    </w:p>
    <w:p>
      <w:r>
        <w:br w:type="page"/>
      </w:r>
    </w:p>
    <w:p>
      <w:pPr>
        <w:pStyle w:val="Heading1"/>
      </w:pPr>
      <w:r>
        <w:t>Form Control Profile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 w:val="true"/>
        </w:trPr>
        <w:tc>
          <w:tcPr>
            <w:tcW w:type="dxa" w:w="5227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5227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7"/>
              </w:rPr>
              <w:t>R8 Locked Value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Items</w:t>
            </w:r>
          </w:p>
        </w:tc>
        <w:tc>
          <w:tcPr>
            <w:tcW w:type="dxa" w:w="52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5227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Law / Ethics</w:t>
            </w:r>
          </w:p>
        </w:tc>
        <w:tc>
          <w:tcPr>
            <w:tcW w:type="dxa" w:w="5227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44 / 56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Domains</w:t>
            </w:r>
          </w:p>
        </w:tc>
        <w:tc>
          <w:tcPr>
            <w:tcW w:type="dxa" w:w="52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Law 1.1=16 | Law 1.2=16 | Law 1.3=12 | Ethics 2.1=16 | Ethics 2.2=24 | Ethics 2.3=16</w:t>
            </w:r>
          </w:p>
        </w:tc>
      </w:tr>
      <w:tr>
        <w:trPr>
          <w:cantSplit/>
        </w:trPr>
        <w:tc>
          <w:tcPr>
            <w:tcW w:type="dxa" w:w="5227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Difficulty</w:t>
            </w:r>
          </w:p>
        </w:tc>
        <w:tc>
          <w:tcPr>
            <w:tcW w:type="dxa" w:w="5227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25 Easy | 50 Moderate | 25 Difficult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Answer positions</w:t>
            </w:r>
          </w:p>
        </w:tc>
        <w:tc>
          <w:tcPr>
            <w:tcW w:type="dxa" w:w="52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A25 | B25 | C25 | D25</w:t>
            </w:r>
          </w:p>
        </w:tc>
      </w:tr>
      <w:tr>
        <w:trPr>
          <w:cantSplit/>
        </w:trPr>
        <w:tc>
          <w:tcPr>
            <w:tcW w:type="dxa" w:w="5227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Item IDs</w:t>
            </w:r>
          </w:p>
        </w:tc>
        <w:tc>
          <w:tcPr>
            <w:tcW w:type="dxa" w:w="5227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LPCC-LE-CUM-F-001 through LPCC-LE-CUM-F-100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Release</w:t>
            </w:r>
          </w:p>
        </w:tc>
        <w:tc>
          <w:tcPr>
            <w:tcW w:type="dxa" w:w="52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APPROVED POST-ATTEMPT CONTROLLED REVIEW | Do not expose before the associated attempt</w:t>
            </w:r>
          </w:p>
        </w:tc>
      </w:tr>
    </w:tbl>
    <w:p>
      <w:pPr>
        <w:pStyle w:val="Heading1"/>
      </w:pPr>
      <w:r>
        <w:t>Controlled Key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cantSplit/>
          <w:tblHeader w:val="true"/>
        </w:trPr>
        <w:tc>
          <w:tcPr>
            <w:tcW w:type="dxa" w:w="504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Q</w:t>
            </w:r>
          </w:p>
        </w:tc>
        <w:tc>
          <w:tcPr>
            <w:tcW w:type="dxa" w:w="576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Key</w:t>
            </w:r>
          </w:p>
        </w:tc>
        <w:tc>
          <w:tcPr>
            <w:tcW w:type="dxa" w:w="1008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936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Difficulty</w:t>
            </w:r>
          </w:p>
        </w:tc>
        <w:tc>
          <w:tcPr>
            <w:tcW w:type="dxa" w:w="1440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Construction</w:t>
            </w:r>
          </w:p>
        </w:tc>
        <w:tc>
          <w:tcPr>
            <w:tcW w:type="dxa" w:w="1440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3600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Remediation Route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2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WB8-C4 Client Access to Records and Responding to Record Requests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3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WB5-C2 Avoiding and Preventing Client Harm; WB5-C3 Beneficence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4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WB4-C1 Recognizing Professional Impairment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5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License-Specific Module U3; WB3-C2 Scope of Practice vs. Scope of Competence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6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WB4-C5 Responding Ethically to Professional Impairment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7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WB8-C1 Confidentiality in Individual, Couple, Family, and Group Treatment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8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9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10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WB6-C3 Multiple and Dual Relationships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11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WB8-C1 Confidentiality in Individual, Couple, Family, and Group Treatment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12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13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WB5-C3 Beneficence and Promoting Client Welfare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14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WB5-C3 Beneficence and Promoting Client Welfare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15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WB5-C4 Professional Responsibility and Accountability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16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WB5-C3 Beneficence and Promoting Client Welfare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17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WB9-C3 Record Retention Requirements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18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WB3-C6 Professional Roles and Role Clarification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19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WB6-C4 Gifts, Bartering, and Financial Relationships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20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WB1-C7 Working with Parents and Families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21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WB1-C6 Minor Consent Exceptions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22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WB8-C1 Confidentiality in Individual, Couple, Family, and Group Treatment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23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WB2-C6 Technology Risk Management and Compliance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24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WB6-C1 Professional Boundaries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25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WB7-C3 Working With Diverse Populations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26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WB3-C3 Maintaining Professional Competence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27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License-Specific Module U2; WB3-C6 Professional Roles and Role Clarification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28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29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WB6-C4 Gifts, Bartering, and Financial Relationships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30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31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WB3-C5 Clinical Supervision, Feedback, and Accountability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32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WB1-C1 Foundations of Informed Consent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33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WB9-C3 Record Retention Requirements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34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WB6-C3 Multiple and Dual Relationships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35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WB1-C3 Ongoing Informed Consent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36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WB2-C4 Technology, Electronic Communication, and Professional Responsibilities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37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WB1-C4 Required Disclosures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38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WB5-C5 Professional Judgment and Ethical Decision-Making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39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WB2-C5 Social Media, Boundaries, and Digital Ethics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40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41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License-Specific Module U4; WB2-C5 Social Media, Boundaries, and Digital Ethics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42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WB6-C4 Gifts, Bartering, and Financial Relationships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43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WB1-C2 Information Required for Informed Decision-Making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44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45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WB3-C4 Consultation and Seeking Professional Assistance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46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WB3-C6 Professional Roles and Role Clarification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47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WB2-C1 Telehealth Foundations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48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WB1-C1 Foundations of Informed Consent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49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WB7-C2 Bias, Assumptions, and Ethical Decision-Making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50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WB7-C2 Bias, Assumptions, and Ethical Decision-Making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51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52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1.3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WB3-C2 Scope of Practice vs. Scope of Competence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53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WB6-C1 Professional Boundaries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54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WB9-C4 Record Security, Storage, and Record Destruction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55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WB8-C1 Confidentiality in Individual, Couple, Family, and Group Treatment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56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WB7-C2 Bias, Assumptions, and Ethical Decision-Making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57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WB8-C1 Confidentiality in Individual, Couple, Family, and Group Treatment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58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WB8-C4 Client Access to Records and Responding to Record Requests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59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License-Specific Module U2; WB3-C2 Scope of Practice vs. Scope of Competence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60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61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WB9-C2 Documentation Errors, Risk Management, and High-Risk Situations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62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WB6-C4 Gifts, Bartering, and Financial Relationships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63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WB8-C2 Authorizations, Releases of Information, and Limits on Disclosure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64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WB8-C4 Client Access to Records and Responding to Record Requests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65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WB2-C4 Technology, Electronic Communication, and Professional Responsibilities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66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License-Specific Module U5; WB3-C5 Clinical Supervision, Feedback, and Accountability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67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WB5-C3 Beneficence and Promoting Client Welfare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68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WB6-C4 Gifts, Bartering, and Financial Relationships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69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WB6-C5 Sexual Misconduct and Client Exploitation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70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WB5-C3 Beneficence and Promoting Client Welfare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71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WB5-C4 Professional Responsibility and Accountability; WB4-C5 Responding Ethically to Professional Impairment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72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WB4-C5 Responding Ethically to Professional Impairment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73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74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WB5-C4 Professional Responsibility and Accountability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75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WB2-C5 Social Media, Boundaries, and Digital Ethics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76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WB7-C1 Cultural Humility and Culturally Responsive Practice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77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WB6-C4 Gifts, Bartering, and Financial Relationships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78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1.3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WB6-C4 Gifts, Bartering, and Financial Relationships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79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80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WB3-C1 Professional Competence Foundations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81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WB8-C1 Confidentiality in Individual, Couple, Family, and Group Treatment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82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WB8-C1 Confidentiality in Individual, Couple, Family, and Group Treatment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83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WB8-C1 Confidentiality in Individual, Couple, Family, and Group Treatment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84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1.3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License-Specific Module U4; WB2-C5 Social Media, Boundaries, and Digital Ethics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85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WB5-C1 The Principle of Nonmaleficence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86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WB2-C5 Social Media, Boundaries, and Digital Ethics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87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WB7-C3 Working With Diverse Populations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88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1.3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License-Specific Module U3; WB3-C2 Scope of Practice vs. Scope of Competence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89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WB6-C1 Professional Boundaries; WB7-C1 Cultural Humility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90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Easy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Foundational Application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DIRECT/BEST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WB9-C4 Record Security, Storage, and Record Destruction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91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WB3-C4 Consultation and Seeking Professional Assistance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92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93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WB1-C6 Minor Consent Exceptions; WB8-C4 Client Access to Records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94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License-Specific Module U3; WB7-C1 Cultural Humility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95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WB3-C3 Maintaining Professional Competence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96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WB9-C4 Record Security, Storage, and Record Destruction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97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WB5-C2 Avoiding and Preventing Client Harm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98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2.3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WB2-C6 Technology Risk Management and Compliance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99</w:t>
            </w:r>
          </w:p>
        </w:tc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C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Law 1.1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Moderate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Applied Scenario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FIRST/NEXT/BEST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WB2-C2 Telehealth Informed Consent</w:t>
            </w:r>
          </w:p>
        </w:tc>
      </w:tr>
      <w:tr>
        <w:trPr>
          <w:cantSplit/>
        </w:trPr>
        <w:tc>
          <w:tcPr>
            <w:tcW w:type="dxa" w:w="50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100</w:t>
            </w:r>
          </w:p>
        </w:tc>
        <w:tc>
          <w:tcPr>
            <w:tcW w:type="dxa" w:w="57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A</w:t>
            </w:r>
          </w:p>
        </w:tc>
        <w:tc>
          <w:tcPr>
            <w:tcW w:type="dxa" w:w="100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Ethics 2.2</w:t>
            </w:r>
          </w:p>
        </w:tc>
        <w:tc>
          <w:tcPr>
            <w:tcW w:type="dxa" w:w="936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Difficult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Integrated Scenario</w:t>
            </w:r>
          </w:p>
        </w:tc>
        <w:tc>
          <w:tcPr>
            <w:tcW w:type="dxa" w:w="144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BEST/MOST/INTEGRATED</w:t>
            </w:r>
          </w:p>
        </w:tc>
        <w:tc>
          <w:tcPr>
            <w:tcW w:type="dxa" w:w="3600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4"/>
              </w:rPr>
              <w:t>WB5-C3 Beneficence and Promoting Client Welfare</w:t>
            </w:r>
          </w:p>
        </w:tc>
      </w:tr>
    </w:tbl>
    <w:p>
      <w:pPr>
        <w:keepLines w:val="0"/>
        <w:spacing w:after="0" w:before="0" w:line="252" w:lineRule="auto"/>
      </w:pPr>
      <w:r>
        <w:rPr>
          <w:rFonts w:ascii="Montserrat" w:hAnsi="Montserrat" w:eastAsia="Montserrat"/>
          <w:b/>
          <w:color w:val="17345C"/>
          <w:sz w:val="18"/>
        </w:rPr>
        <w:t>Answer balance: A25 / B25 / C25 / D25     Difficulty: Easy 25 / Moderate 50 / Difficult 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3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ontserrat" w:hAnsi="Montserrat" w:eastAsia="Montserrat"/>
        <w:b w:val="0"/>
        <w:color w:val="666666"/>
        <w:sz w:val="15"/>
      </w:rPr>
      <w:t xml:space="preserve">RESTRICTED CONTROL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color="1BA7A1"/>
      </w:pBdr>
    </w:pPr>
    <w:r>
      <w:rPr>
        <w:rFonts w:ascii="Montserrat" w:hAnsi="Montserrat" w:eastAsia="Montserrat"/>
        <w:b/>
        <w:color w:val="17345C"/>
        <w:sz w:val="16"/>
      </w:rPr>
      <w:t>CTA | LPCC California Law &amp; Ethics | R8 Comprehensive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 w:eastAsia="Montserrat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73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1BA7A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7345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7345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LPCC Law &amp; Ethics - R8 Comprehensive Final - Controlled Answer Key</dc:title>
  <dc:subject>Controlled CTA LPCC Law &amp; Ethics Exam Preparation material</dc:subject>
  <dc:creator>Clinical Training &amp; Supervision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