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160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0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/>
        <w:jc w:val="center"/>
      </w:pPr>
      <w:r>
        <w:rPr>
          <w:rFonts w:ascii="Montserrat" w:hAnsi="Montserrat" w:eastAsia="Montserrat"/>
          <w:b/>
          <w:color w:val="1BA7A1"/>
          <w:sz w:val="21"/>
        </w:rPr>
        <w:t>R8 | COMPREHENSIVE FINAL EXAMINATION</w:t>
      </w:r>
    </w:p>
    <w:p>
      <w:pPr>
        <w:jc w:val="center"/>
      </w:pPr>
      <w:r>
        <w:rPr>
          <w:rFonts w:ascii="Montserrat" w:hAnsi="Montserrat" w:eastAsia="Montserrat"/>
          <w:b/>
          <w:color w:val="17345C"/>
          <w:sz w:val="41"/>
        </w:rPr>
        <w:t>Comprehensive Final Examination</w:t>
      </w:r>
    </w:p>
    <w:p>
      <w:pPr>
        <w:jc w:val="center"/>
      </w:pPr>
      <w:r>
        <w:rPr>
          <w:rFonts w:ascii="Montserrat" w:hAnsi="Montserrat" w:eastAsia="Montserrat"/>
          <w:b w:val="0"/>
          <w:color w:val="666666"/>
          <w:sz w:val="22"/>
        </w:rPr>
        <w:t>Performance Analysis and Final Remediation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spacing w:after="0" w:before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7345C"/>
                <w:sz w:val="18"/>
              </w:rPr>
              <w:t>READINESS TOOL | CTA scores are study-planning indicators only; they are not official BBS passing scores, eligibility determinations, or passage guarantees.</w:t>
            </w:r>
          </w:p>
        </w:tc>
      </w:tr>
    </w:tbl>
    <w:p>
      <w:pPr>
        <w:spacing w:before="160"/>
        <w:jc w:val="center"/>
      </w:pPr>
      <w:r>
        <w:rPr>
          <w:rFonts w:ascii="Montserrat" w:hAnsi="Montserrat" w:eastAsia="Montserrat"/>
          <w:b w:val="0"/>
          <w:color w:val="666666"/>
          <w:sz w:val="17"/>
        </w:rPr>
        <w:t>Version 1.0 | August 7, 2026 | CANDIDATE STUDY TOOL</w:t>
      </w:r>
    </w:p>
    <w:p>
      <w:r>
        <w:br w:type="page"/>
      </w:r>
    </w:p>
    <w:p>
      <w:pPr>
        <w:pStyle w:val="Heading1"/>
      </w:pPr>
      <w:r>
        <w:t>1. Overall Score and Pacing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First-attempt score</w:t>
            </w:r>
          </w:p>
        </w:tc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 / 100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Percentage</w:t>
            </w:r>
          </w:p>
        </w:tc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 %</w:t>
            </w:r>
          </w:p>
        </w:tc>
      </w:tr>
      <w:tr>
        <w:trPr>
          <w:cantSplit/>
        </w:trPr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Elapsed time</w:t>
            </w:r>
          </w:p>
        </w:tc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 minutes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CTA study target</w:t>
            </w:r>
          </w:p>
        </w:tc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120 minutes</w:t>
            </w:r>
          </w:p>
        </w:tc>
      </w:tr>
      <w:tr>
        <w:trPr>
          <w:cantSplit/>
        </w:trPr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Average pace</w:t>
            </w:r>
          </w:p>
        </w:tc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 minutes/item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Confidence average</w:t>
            </w:r>
          </w:p>
        </w:tc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 / 4</w:t>
            </w:r>
          </w:p>
        </w:tc>
      </w:tr>
    </w:tbl>
    <w:p>
      <w:pPr>
        <w:pStyle w:val="Heading1"/>
      </w:pPr>
      <w:r>
        <w:t>2. Domain Performance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  <w:tblHeader w:val="true"/>
        </w:trPr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Items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Correct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%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Priority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Law 1.1 - Consent, Confidentiality, and Privilege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16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/ 16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%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 High  [ ] Med  [ ] Low</w:t>
            </w:r>
          </w:p>
        </w:tc>
      </w:tr>
      <w:tr>
        <w:trPr>
          <w:cantSplit/>
        </w:trPr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Law 1.2 - Limits to Confidentiality and Mandated Reporting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16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/ 16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%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 High  [ ] Med  [ ] Low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Law 1.3 - Legal Standards for Professional Practice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12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/ 12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%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 High  [ ] Med  [ ] Low</w:t>
            </w:r>
          </w:p>
        </w:tc>
      </w:tr>
      <w:tr>
        <w:trPr>
          <w:cantSplit/>
        </w:trPr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Ethics 2.1 - Professional Competence and Integrity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16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/ 16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%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 High  [ ] Med  [ ] Low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Ethics 2.2 - Responsibility to Clients and Counseling Relationships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24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/ 24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%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 High  [ ] Med  [ ] Low</w:t>
            </w:r>
          </w:p>
        </w:tc>
      </w:tr>
      <w:tr>
        <w:trPr>
          <w:cantSplit/>
        </w:trPr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Ethics 2.3 - Practice Policies and Professional Responsibilities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16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/ 16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%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 High  [ ] Med  [ ] Low</w:t>
            </w:r>
          </w:p>
        </w:tc>
      </w:tr>
    </w:tbl>
    <w:p>
      <w:pPr>
        <w:pStyle w:val="Heading1"/>
      </w:pPr>
      <w:r>
        <w:t>3. Difficulty Profile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  <w:tblHeader w:val="true"/>
        </w:trPr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Items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Correct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%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Easy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25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/ 25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%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Core-rule retrieval and foundational application</w:t>
            </w:r>
          </w:p>
        </w:tc>
      </w:tr>
      <w:tr>
        <w:trPr>
          <w:cantSplit/>
        </w:trPr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Moderate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50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/ 50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%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Applied sequencing and competing-answer selection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Difficult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25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/ 25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 %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Integrated multi-issue judgment and exception analysis</w:t>
            </w:r>
          </w:p>
        </w:tc>
      </w:tr>
    </w:tbl>
    <w:p>
      <w:pPr>
        <w:pStyle w:val="Heading1"/>
      </w:pPr>
      <w:r>
        <w:t>4. Error Pattern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3485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Error Pattern</w:t>
            </w:r>
          </w:p>
        </w:tc>
        <w:tc>
          <w:tcPr>
            <w:tcW w:type="dxa" w:w="3485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485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Examples / Item #s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Knowledge gap - I did not know the rule or principle.</w:t>
            </w:r>
          </w:p>
        </w:tc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</w:t>
            </w:r>
          </w:p>
        </w:tc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Qualifier error - I missed FIRST/NEXT/BEST/MOST language.</w:t>
            </w:r>
          </w:p>
        </w:tc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</w:t>
            </w:r>
          </w:p>
        </w:tc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Role/status error - I assigned authority or responsibility to the wrong person.</w:t>
            </w:r>
          </w:p>
        </w:tc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</w:t>
            </w:r>
          </w:p>
        </w:tc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Sequence error - I chose a later action before the required initial step.</w:t>
            </w:r>
          </w:p>
        </w:tc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</w:t>
            </w:r>
          </w:p>
        </w:tc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Overreach error - I selected an excessive response when a narrower lawful/ethical step was available.</w:t>
            </w:r>
          </w:p>
        </w:tc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</w:t>
            </w:r>
          </w:p>
        </w:tc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Underresponse error - I minimized a safety, reporting, competence, or documentation duty.</w:t>
            </w:r>
          </w:p>
        </w:tc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</w:t>
            </w:r>
          </w:p>
        </w:tc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Law-versus-ethics error - I used a general ethical principle when a specific law controlled, or stopped at law when ethics was more protective.</w:t>
            </w:r>
          </w:p>
        </w:tc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</w:t>
            </w:r>
          </w:p>
        </w:tc>
        <w:tc>
          <w:tcPr>
            <w:tcW w:type="dxa" w:w="34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Confidence calibration error - I was highly confident but wrong.</w:t>
            </w:r>
          </w:p>
        </w:tc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</w:t>
            </w:r>
          </w:p>
        </w:tc>
        <w:tc>
          <w:tcPr>
            <w:tcW w:type="dxa" w:w="3485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</w:tbl>
    <w:p>
      <w:pPr>
        <w:pStyle w:val="Heading1"/>
      </w:pPr>
      <w:r>
        <w:t>5. Readiness Interpretation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17345C"/>
                <w:sz w:val="18"/>
              </w:rPr>
              <w:t>Use R8 as a decision tool rather than a pass/fail label. Strong readiness means not only a high score, but stable performance across all six domains, appropriate pacing, low rates of high-confidence errors, and correct sequencing in safety, reporting, confidentiality, competence, and professional-practice scenarios.</w:t>
            </w:r>
          </w:p>
        </w:tc>
      </w:tr>
    </w:tbl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/>
          <w:color w:val="17345C"/>
          <w:sz w:val="18"/>
        </w:rPr>
        <w:t>Green - Maintain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 w:val="0"/>
          <w:color w:val="263238"/>
          <w:sz w:val="17"/>
        </w:rPr>
        <w:t>Criteria / notes: __________________________________________________________________________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/>
          <w:color w:val="17345C"/>
          <w:sz w:val="18"/>
        </w:rPr>
        <w:t>Yellow - Targeted Repair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 w:val="0"/>
          <w:color w:val="263238"/>
          <w:sz w:val="17"/>
        </w:rPr>
        <w:t>Criteria / notes: __________________________________________________________________________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/>
          <w:color w:val="17345C"/>
          <w:sz w:val="18"/>
        </w:rPr>
        <w:t>Red - Intensive Repair Before Another Full Simulation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 w:val="0"/>
          <w:color w:val="263238"/>
          <w:sz w:val="17"/>
        </w:rPr>
        <w:t>Criteria / notes: __________________________________________________________________________</w:t>
      </w:r>
    </w:p>
    <w:p>
      <w:pPr>
        <w:pStyle w:val="Heading1"/>
      </w:pPr>
      <w:r>
        <w:t>6. Final Remediation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  <w:tblHeader w:val="true"/>
        </w:trPr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Domain / Concept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Exact Route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091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Recheck Date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1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________________________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[ ] Read  [ ] Cards  [ ] Questions  [ ] Consult notes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2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________________________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[ ] Read  [ ] Cards  [ ] Questions  [ ] Consult notes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3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________________________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[ ] Read  [ ] Cards  [ ] Questions  [ ] Consult notes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4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________________________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[ ] Read  [ ] Cards  [ ] Questions  [ ] Consult notes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5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________________________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[ ] Read  [ ] Cards  [ ] Questions  [ ] Consult notes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6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________________________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[ ] Read  [ ] Cards  [ ] Questions  [ ] Consult notes</w:t>
            </w:r>
          </w:p>
        </w:tc>
        <w:tc>
          <w:tcPr>
            <w:tcW w:type="dxa" w:w="2091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7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________________________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[ ] Read  [ ] Cards  [ ] Questions  [ ] Consult notes</w:t>
            </w:r>
          </w:p>
        </w:tc>
        <w:tc>
          <w:tcPr>
            <w:tcW w:type="dxa" w:w="20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5"/>
              </w:rPr>
              <w:t>________</w:t>
            </w:r>
          </w:p>
        </w:tc>
      </w:tr>
    </w:tbl>
    <w:p>
      <w:pPr>
        <w:pStyle w:val="Heading1"/>
      </w:pPr>
      <w:r>
        <w:t>7. Final-Week Decision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 w:val="0"/>
          <w:color w:val="263238"/>
          <w:sz w:val="18"/>
        </w:rPr>
        <w:t>[ ] Continue broad review - performance is stable across domains.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 w:val="0"/>
          <w:color w:val="263238"/>
          <w:sz w:val="18"/>
        </w:rPr>
        <w:t>[ ] Complete targeted remediation before another cumulative form.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 w:val="0"/>
          <w:color w:val="263238"/>
          <w:sz w:val="18"/>
        </w:rPr>
        <w:t>[ ] Delay additional timed simulation until high-risk legal/ethical gaps are repaired.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 w:val="0"/>
          <w:color w:val="263238"/>
          <w:sz w:val="18"/>
        </w:rPr>
        <w:t>[ ] Recheck current source notices immediately before the official exam.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3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eastAsia="Montserrat"/>
        <w:b w:val="0"/>
        <w:color w:val="666666"/>
        <w:sz w:val="15"/>
      </w:rPr>
      <w:t xml:space="preserve">CANDIDATE STUDY TOOL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1BA7A1"/>
      </w:pBdr>
    </w:pPr>
    <w:r>
      <w:rPr>
        <w:rFonts w:ascii="Montserrat" w:hAnsi="Montserrat" w:eastAsia="Montserrat"/>
        <w:b/>
        <w:color w:val="17345C"/>
        <w:sz w:val="16"/>
      </w:rPr>
      <w:t>CTA | LPCC California Law &amp; Ethics | R8 Comprehensive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eastAsia="Montserrat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73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1BA7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7345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734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Law &amp; Ethics - R8 Comprehensive Final - Performance Analysis and Final Remediation Plan</dc:title>
  <dc:subject>Controlled CTA LPCC Law &amp; Ethics Exam Preparation material</dc:subject>
  <dc:creator>Clinical Training &amp; Supervision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