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31720" cy="1603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Horizont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60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40"/>
        <w:jc w:val="center"/>
      </w:pPr>
      <w:r>
        <w:rPr>
          <w:rFonts w:ascii="Montserrat" w:hAnsi="Montserrat" w:eastAsia="Montserrat"/>
          <w:b/>
          <w:color w:val="1BA7A1"/>
          <w:sz w:val="21"/>
        </w:rPr>
        <w:t>R8 | COMPREHENSIVE FINAL EXAMINATION</w:t>
      </w:r>
    </w:p>
    <w:p>
      <w:pPr>
        <w:jc w:val="center"/>
      </w:pPr>
      <w:r>
        <w:rPr>
          <w:rFonts w:ascii="Montserrat" w:hAnsi="Montserrat" w:eastAsia="Montserrat"/>
          <w:b/>
          <w:color w:val="17345C"/>
          <w:sz w:val="41"/>
        </w:rPr>
        <w:t>Comprehensive Final Examination</w:t>
      </w:r>
    </w:p>
    <w:p>
      <w:pPr>
        <w:jc w:val="center"/>
      </w:pPr>
      <w:r>
        <w:rPr>
          <w:rFonts w:ascii="Montserrat" w:hAnsi="Montserrat" w:eastAsia="Montserrat"/>
          <w:b w:val="0"/>
          <w:color w:val="666666"/>
          <w:sz w:val="22"/>
        </w:rPr>
        <w:t>Response, Confidence, and Review Sheet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6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 w:val="0"/>
              <w:spacing w:after="0" w:before="0" w:line="252" w:lineRule="auto"/>
              <w:jc w:val="center"/>
            </w:pPr>
            <w:r>
              <w:rPr>
                <w:rFonts w:ascii="Montserrat" w:hAnsi="Montserrat" w:eastAsia="Montserrat"/>
                <w:b/>
                <w:color w:val="17345C"/>
                <w:sz w:val="18"/>
              </w:rPr>
              <w:t>Use this sheet during the first answer-hidden attempt. Preserve the first response before reviewing controlled feedback.</w:t>
            </w:r>
          </w:p>
        </w:tc>
      </w:tr>
    </w:tbl>
    <w:p>
      <w:pPr>
        <w:spacing w:before="160"/>
        <w:jc w:val="center"/>
      </w:pPr>
      <w:r>
        <w:rPr>
          <w:rFonts w:ascii="Montserrat" w:hAnsi="Montserrat" w:eastAsia="Montserrat"/>
          <w:b w:val="0"/>
          <w:color w:val="666666"/>
          <w:sz w:val="17"/>
        </w:rPr>
        <w:t>Version 1.0 | August 7, 2026 | CANDIDATE STUDY TOOL</w:t>
      </w:r>
    </w:p>
    <w:p>
      <w:r>
        <w:br w:type="page"/>
      </w:r>
    </w:p>
    <w:p>
      <w:pPr>
        <w:pStyle w:val="Heading1"/>
      </w:pPr>
      <w:r>
        <w:t>Attempt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Candidate</w:t>
            </w:r>
          </w:p>
        </w:tc>
        <w:tc>
          <w:tcPr>
            <w:tcW w:type="dxa" w:w="2613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____________________</w:t>
            </w:r>
          </w:p>
        </w:tc>
        <w:tc>
          <w:tcPr>
            <w:tcW w:type="dxa" w:w="2613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Date</w:t>
            </w:r>
          </w:p>
        </w:tc>
        <w:tc>
          <w:tcPr>
            <w:tcW w:type="dxa" w:w="2613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Start</w:t>
            </w:r>
          </w:p>
        </w:tc>
        <w:tc>
          <w:tcPr>
            <w:tcW w:type="dxa" w:w="2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________</w:t>
            </w:r>
          </w:p>
        </w:tc>
        <w:tc>
          <w:tcPr>
            <w:tcW w:type="dxa" w:w="2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Finish</w:t>
            </w:r>
          </w:p>
        </w:tc>
        <w:tc>
          <w:tcPr>
            <w:tcW w:type="dxa" w:w="2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________</w:t>
            </w:r>
          </w:p>
        </w:tc>
      </w:tr>
      <w:tr>
        <w:trPr>
          <w:cantSplit/>
        </w:trPr>
        <w:tc>
          <w:tcPr>
            <w:tcW w:type="dxa" w:w="2613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Elapsed time</w:t>
            </w:r>
          </w:p>
        </w:tc>
        <w:tc>
          <w:tcPr>
            <w:tcW w:type="dxa" w:w="2613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________ minutes</w:t>
            </w:r>
          </w:p>
        </w:tc>
        <w:tc>
          <w:tcPr>
            <w:tcW w:type="dxa" w:w="2613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Target</w:t>
            </w:r>
          </w:p>
        </w:tc>
        <w:tc>
          <w:tcPr>
            <w:tcW w:type="dxa" w:w="2613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120 minutes (CTA study target)</w:t>
            </w:r>
          </w:p>
        </w:tc>
      </w:tr>
      <w:tr>
        <w:trPr>
          <w:cantSplit/>
        </w:trPr>
        <w:tc>
          <w:tcPr>
            <w:tcW w:type="dxa" w:w="2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First-attempt score</w:t>
            </w:r>
          </w:p>
        </w:tc>
        <w:tc>
          <w:tcPr>
            <w:tcW w:type="dxa" w:w="2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________ / 100</w:t>
            </w:r>
          </w:p>
        </w:tc>
        <w:tc>
          <w:tcPr>
            <w:tcW w:type="dxa" w:w="2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Overall confidence</w:t>
            </w:r>
          </w:p>
        </w:tc>
        <w:tc>
          <w:tcPr>
            <w:tcW w:type="dxa" w:w="2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7"/>
              </w:rPr>
              <w:t>________ / 4</w:t>
            </w:r>
          </w:p>
        </w:tc>
      </w:tr>
    </w:tbl>
    <w:p>
      <w:pPr>
        <w:pStyle w:val="Heading1"/>
      </w:pPr>
      <w:r>
        <w:t>Response and Confidence Grid</w:t>
      </w:r>
    </w:p>
    <w:p>
      <w:pPr>
        <w:pStyle w:val="Heading2"/>
      </w:pPr>
      <w:r>
        <w:t>Questions 1-25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  <w:tblHeader w:val="true"/>
        </w:trPr>
        <w:tc>
          <w:tcPr>
            <w:tcW w:type="dxa" w:w="648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Q</w:t>
            </w:r>
          </w:p>
        </w:tc>
        <w:tc>
          <w:tcPr>
            <w:tcW w:type="dxa" w:w="1152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Answer</w:t>
            </w:r>
          </w:p>
        </w:tc>
        <w:tc>
          <w:tcPr>
            <w:tcW w:type="dxa" w:w="1512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Confidence 1-4</w:t>
            </w:r>
          </w:p>
        </w:tc>
        <w:tc>
          <w:tcPr>
            <w:tcW w:type="dxa" w:w="1512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Flag for Review</w:t>
            </w:r>
          </w:p>
        </w:tc>
        <w:tc>
          <w:tcPr>
            <w:tcW w:type="dxa" w:w="4464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Post-Review Note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2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4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5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6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7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8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9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10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12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13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14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15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16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17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18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19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20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21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22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23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24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25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</w:tbl>
    <w:p>
      <w:r>
        <w:br w:type="page"/>
      </w:r>
    </w:p>
    <w:p>
      <w:pPr>
        <w:pStyle w:val="Heading2"/>
      </w:pPr>
      <w:r>
        <w:t>Questions 26-50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  <w:tblHeader w:val="true"/>
        </w:trPr>
        <w:tc>
          <w:tcPr>
            <w:tcW w:type="dxa" w:w="648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Q</w:t>
            </w:r>
          </w:p>
        </w:tc>
        <w:tc>
          <w:tcPr>
            <w:tcW w:type="dxa" w:w="1152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Answer</w:t>
            </w:r>
          </w:p>
        </w:tc>
        <w:tc>
          <w:tcPr>
            <w:tcW w:type="dxa" w:w="1512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Confidence 1-4</w:t>
            </w:r>
          </w:p>
        </w:tc>
        <w:tc>
          <w:tcPr>
            <w:tcW w:type="dxa" w:w="1512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Flag for Review</w:t>
            </w:r>
          </w:p>
        </w:tc>
        <w:tc>
          <w:tcPr>
            <w:tcW w:type="dxa" w:w="4464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Post-Review Note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26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27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28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29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30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31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32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33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34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35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36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37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38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39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40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41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42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43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44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45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46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47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48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49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50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</w:tbl>
    <w:p>
      <w:r>
        <w:br w:type="page"/>
      </w:r>
    </w:p>
    <w:p>
      <w:pPr>
        <w:pStyle w:val="Heading2"/>
      </w:pPr>
      <w:r>
        <w:t>Questions 51-75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  <w:tblHeader w:val="true"/>
        </w:trPr>
        <w:tc>
          <w:tcPr>
            <w:tcW w:type="dxa" w:w="648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Q</w:t>
            </w:r>
          </w:p>
        </w:tc>
        <w:tc>
          <w:tcPr>
            <w:tcW w:type="dxa" w:w="1152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Answer</w:t>
            </w:r>
          </w:p>
        </w:tc>
        <w:tc>
          <w:tcPr>
            <w:tcW w:type="dxa" w:w="1512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Confidence 1-4</w:t>
            </w:r>
          </w:p>
        </w:tc>
        <w:tc>
          <w:tcPr>
            <w:tcW w:type="dxa" w:w="1512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Flag for Review</w:t>
            </w:r>
          </w:p>
        </w:tc>
        <w:tc>
          <w:tcPr>
            <w:tcW w:type="dxa" w:w="4464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Post-Review Note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51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52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53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54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55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56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57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58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59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60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61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62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63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64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65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66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67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68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69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70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71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72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73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74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75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</w:tbl>
    <w:p>
      <w:r>
        <w:br w:type="page"/>
      </w:r>
    </w:p>
    <w:p>
      <w:pPr>
        <w:pStyle w:val="Heading2"/>
      </w:pPr>
      <w:r>
        <w:t>Questions 76-100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  <w:tblHeader w:val="true"/>
        </w:trPr>
        <w:tc>
          <w:tcPr>
            <w:tcW w:type="dxa" w:w="648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Q</w:t>
            </w:r>
          </w:p>
        </w:tc>
        <w:tc>
          <w:tcPr>
            <w:tcW w:type="dxa" w:w="1152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Answer</w:t>
            </w:r>
          </w:p>
        </w:tc>
        <w:tc>
          <w:tcPr>
            <w:tcW w:type="dxa" w:w="1512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Confidence 1-4</w:t>
            </w:r>
          </w:p>
        </w:tc>
        <w:tc>
          <w:tcPr>
            <w:tcW w:type="dxa" w:w="1512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Flag for Review</w:t>
            </w:r>
          </w:p>
        </w:tc>
        <w:tc>
          <w:tcPr>
            <w:tcW w:type="dxa" w:w="4464"/>
            <w:shd w:fill="17345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/>
                <w:color w:val="FFFFFF"/>
                <w:sz w:val="16"/>
              </w:rPr>
              <w:t>Post-Review Note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76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77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78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79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80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81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82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83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84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85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86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87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88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89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90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91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92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93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94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95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96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97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98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99</w:t>
            </w:r>
          </w:p>
        </w:tc>
        <w:tc>
          <w:tcPr>
            <w:tcW w:type="dxa" w:w="115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shd w:fill="F3F4F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100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[ ]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7CFD8"/>
              <w:bottom w:val="single" w:sz="3" w:color="C7CFD8"/>
              <w:left w:val="single" w:sz="3" w:color="C7CFD8"/>
              <w:right w:val="single" w:sz="3" w:color="C7CFD8"/>
            </w:tcBorders>
          </w:tcPr>
          <w:p>
            <w:pPr>
              <w:keepLines w:val="0"/>
              <w:spacing w:after="0" w:before="0" w:line="252" w:lineRule="auto"/>
            </w:pPr>
            <w:r>
              <w:rPr>
                <w:rFonts w:ascii="Montserrat" w:hAnsi="Montserrat" w:eastAsia="Montserrat"/>
                <w:b w:val="0"/>
                <w:color w:val="263238"/>
                <w:sz w:val="16"/>
              </w:rPr>
              <w:t>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First-Pass Reflection</w:t>
      </w:r>
    </w:p>
    <w:p>
      <w:pPr>
        <w:keepLines w:val="0"/>
        <w:spacing w:after="40" w:before="0" w:line="252" w:lineRule="auto"/>
      </w:pPr>
      <w:r>
        <w:rPr>
          <w:rFonts w:ascii="Montserrat" w:hAnsi="Montserrat" w:eastAsia="Montserrat"/>
          <w:b/>
          <w:color w:val="17345C"/>
          <w:sz w:val="18"/>
        </w:rPr>
        <w:t>Items I answered correctly with low confidence:</w:t>
      </w:r>
    </w:p>
    <w:p>
      <w:pPr>
        <w:keepLines w:val="0"/>
        <w:spacing w:after="20" w:before="0" w:line="252" w:lineRule="auto"/>
      </w:pPr>
      <w:r>
        <w:rPr>
          <w:rFonts w:ascii="Montserrat" w:hAnsi="Montserrat" w:eastAsia="Montserrat"/>
          <w:b w:val="0"/>
          <w:color w:val="777777"/>
          <w:sz w:val="17"/>
        </w:rPr>
        <w:t>________________________________________________________________________________</w:t>
      </w:r>
    </w:p>
    <w:p>
      <w:pPr>
        <w:keepLines w:val="0"/>
        <w:spacing w:after="20" w:before="0" w:line="252" w:lineRule="auto"/>
      </w:pPr>
      <w:r>
        <w:rPr>
          <w:rFonts w:ascii="Montserrat" w:hAnsi="Montserrat" w:eastAsia="Montserrat"/>
          <w:b w:val="0"/>
          <w:color w:val="777777"/>
          <w:sz w:val="17"/>
        </w:rPr>
        <w:t>________________________________________________________________________________</w:t>
      </w:r>
    </w:p>
    <w:p>
      <w:pPr>
        <w:keepLines w:val="0"/>
        <w:spacing w:after="40" w:before="0" w:line="252" w:lineRule="auto"/>
      </w:pPr>
      <w:r>
        <w:rPr>
          <w:rFonts w:ascii="Montserrat" w:hAnsi="Montserrat" w:eastAsia="Montserrat"/>
          <w:b/>
          <w:color w:val="17345C"/>
          <w:sz w:val="18"/>
        </w:rPr>
        <w:t>Items I missed with high confidence:</w:t>
      </w:r>
    </w:p>
    <w:p>
      <w:pPr>
        <w:keepLines w:val="0"/>
        <w:spacing w:after="20" w:before="0" w:line="252" w:lineRule="auto"/>
      </w:pPr>
      <w:r>
        <w:rPr>
          <w:rFonts w:ascii="Montserrat" w:hAnsi="Montserrat" w:eastAsia="Montserrat"/>
          <w:b w:val="0"/>
          <w:color w:val="777777"/>
          <w:sz w:val="17"/>
        </w:rPr>
        <w:t>________________________________________________________________________________</w:t>
      </w:r>
    </w:p>
    <w:p>
      <w:pPr>
        <w:keepLines w:val="0"/>
        <w:spacing w:after="20" w:before="0" w:line="252" w:lineRule="auto"/>
      </w:pPr>
      <w:r>
        <w:rPr>
          <w:rFonts w:ascii="Montserrat" w:hAnsi="Montserrat" w:eastAsia="Montserrat"/>
          <w:b w:val="0"/>
          <w:color w:val="777777"/>
          <w:sz w:val="17"/>
        </w:rPr>
        <w:t>________________________________________________________________________________</w:t>
      </w:r>
    </w:p>
    <w:p>
      <w:pPr>
        <w:keepLines w:val="0"/>
        <w:spacing w:after="40" w:before="0" w:line="252" w:lineRule="auto"/>
      </w:pPr>
      <w:r>
        <w:rPr>
          <w:rFonts w:ascii="Montserrat" w:hAnsi="Montserrat" w:eastAsia="Montserrat"/>
          <w:b/>
          <w:color w:val="17345C"/>
          <w:sz w:val="18"/>
        </w:rPr>
        <w:t>Legal-rule errors I need to repair:</w:t>
      </w:r>
    </w:p>
    <w:p>
      <w:pPr>
        <w:keepLines w:val="0"/>
        <w:spacing w:after="20" w:before="0" w:line="252" w:lineRule="auto"/>
      </w:pPr>
      <w:r>
        <w:rPr>
          <w:rFonts w:ascii="Montserrat" w:hAnsi="Montserrat" w:eastAsia="Montserrat"/>
          <w:b w:val="0"/>
          <w:color w:val="777777"/>
          <w:sz w:val="17"/>
        </w:rPr>
        <w:t>________________________________________________________________________________</w:t>
      </w:r>
    </w:p>
    <w:p>
      <w:pPr>
        <w:keepLines w:val="0"/>
        <w:spacing w:after="20" w:before="0" w:line="252" w:lineRule="auto"/>
      </w:pPr>
      <w:r>
        <w:rPr>
          <w:rFonts w:ascii="Montserrat" w:hAnsi="Montserrat" w:eastAsia="Montserrat"/>
          <w:b w:val="0"/>
          <w:color w:val="777777"/>
          <w:sz w:val="17"/>
        </w:rPr>
        <w:t>________________________________________________________________________________</w:t>
      </w:r>
    </w:p>
    <w:p>
      <w:pPr>
        <w:keepLines w:val="0"/>
        <w:spacing w:after="40" w:before="0" w:line="252" w:lineRule="auto"/>
      </w:pPr>
      <w:r>
        <w:rPr>
          <w:rFonts w:ascii="Montserrat" w:hAnsi="Montserrat" w:eastAsia="Montserrat"/>
          <w:b/>
          <w:color w:val="17345C"/>
          <w:sz w:val="18"/>
        </w:rPr>
        <w:t>Ethical-reasoning patterns I need to repair:</w:t>
      </w:r>
    </w:p>
    <w:p>
      <w:pPr>
        <w:keepLines w:val="0"/>
        <w:spacing w:after="20" w:before="0" w:line="252" w:lineRule="auto"/>
      </w:pPr>
      <w:r>
        <w:rPr>
          <w:rFonts w:ascii="Montserrat" w:hAnsi="Montserrat" w:eastAsia="Montserrat"/>
          <w:b w:val="0"/>
          <w:color w:val="777777"/>
          <w:sz w:val="17"/>
        </w:rPr>
        <w:t>________________________________________________________________________________</w:t>
      </w:r>
    </w:p>
    <w:p>
      <w:pPr>
        <w:keepLines w:val="0"/>
        <w:spacing w:after="20" w:before="0" w:line="252" w:lineRule="auto"/>
      </w:pPr>
      <w:r>
        <w:rPr>
          <w:rFonts w:ascii="Montserrat" w:hAnsi="Montserrat" w:eastAsia="Montserrat"/>
          <w:b w:val="0"/>
          <w:color w:val="777777"/>
          <w:sz w:val="17"/>
        </w:rPr>
        <w:t>________________________________________________________________________________</w:t>
      </w:r>
    </w:p>
    <w:p>
      <w:pPr>
        <w:keepLines w:val="0"/>
        <w:spacing w:after="40" w:before="0" w:line="252" w:lineRule="auto"/>
      </w:pPr>
      <w:r>
        <w:rPr>
          <w:rFonts w:ascii="Montserrat" w:hAnsi="Montserrat" w:eastAsia="Montserrat"/>
          <w:b/>
          <w:color w:val="17345C"/>
          <w:sz w:val="18"/>
        </w:rPr>
        <w:t>Topics to revisit before the next simulation:</w:t>
      </w:r>
    </w:p>
    <w:p>
      <w:pPr>
        <w:keepLines w:val="0"/>
        <w:spacing w:after="20" w:before="0" w:line="252" w:lineRule="auto"/>
      </w:pPr>
      <w:r>
        <w:rPr>
          <w:rFonts w:ascii="Montserrat" w:hAnsi="Montserrat" w:eastAsia="Montserrat"/>
          <w:b w:val="0"/>
          <w:color w:val="777777"/>
          <w:sz w:val="17"/>
        </w:rPr>
        <w:t>________________________________________________________________________________</w:t>
      </w:r>
    </w:p>
    <w:p>
      <w:pPr>
        <w:keepLines w:val="0"/>
        <w:spacing w:after="20" w:before="0" w:line="252" w:lineRule="auto"/>
      </w:pPr>
      <w:r>
        <w:rPr>
          <w:rFonts w:ascii="Montserrat" w:hAnsi="Montserrat" w:eastAsia="Montserrat"/>
          <w:b w:val="0"/>
          <w:color w:val="777777"/>
          <w:sz w:val="17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3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ontserrat" w:hAnsi="Montserrat" w:eastAsia="Montserrat"/>
        <w:b w:val="0"/>
        <w:color w:val="666666"/>
        <w:sz w:val="15"/>
      </w:rPr>
      <w:t xml:space="preserve">CANDIDATE STUDY TOOL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color="1BA7A1"/>
      </w:pBdr>
    </w:pPr>
    <w:r>
      <w:rPr>
        <w:rFonts w:ascii="Montserrat" w:hAnsi="Montserrat" w:eastAsia="Montserrat"/>
        <w:b/>
        <w:color w:val="17345C"/>
        <w:sz w:val="16"/>
      </w:rPr>
      <w:t>CTA | LPCC California Law &amp; Ethics | R8 Comprehensive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 w:eastAsia="Montserrat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73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1BA7A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7345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7345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LPCC Law &amp; Ethics - R8 Comprehensive Final - Response and Confidence Sheet</dc:title>
  <dc:subject>Controlled CTA LPCC Law &amp; Ethics Exam Preparation material</dc:subject>
  <dc:creator>Clinical Training &amp; Supervision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