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652427"/>
            <wp:docPr id="1" name="Picture 1"/>
            <wp:cNvGraphicFramePr>
              <a:graphicFrameLocks noChangeAspect="1"/>
            </wp:cNvGraphicFramePr>
            <a:graphic>
              <a:graphicData uri="http://schemas.openxmlformats.org/drawingml/2006/picture">
                <pic:pic>
                  <pic:nvPicPr>
                    <pic:cNvPr id="0" name="CTA_Stacked_Logo.png"/>
                    <pic:cNvPicPr/>
                  </pic:nvPicPr>
                  <pic:blipFill>
                    <a:blip r:embed="rId11"/>
                    <a:stretch>
                      <a:fillRect/>
                    </a:stretch>
                  </pic:blipFill>
                  <pic:spPr>
                    <a:xfrm>
                      <a:off x="0" y="0"/>
                      <a:ext cx="2286000" cy="1652427"/>
                    </a:xfrm>
                    <a:prstGeom prst="rect"/>
                  </pic:spPr>
                </pic:pic>
              </a:graphicData>
            </a:graphic>
          </wp:inline>
        </w:drawing>
      </w:r>
    </w:p>
    <w:p>
      <w:pPr>
        <w:pStyle w:val="Title"/>
        <w:jc w:val="center"/>
      </w:pPr>
      <w:r>
        <w:t>CTA LPCC California Law &amp; Ethics</w:t>
        <w:br/>
        <w:t>Exam Preparation Program</w:t>
      </w:r>
    </w:p>
    <w:p>
      <w:pPr>
        <w:pStyle w:val="Heading1"/>
        <w:jc w:val="center"/>
      </w:pPr>
      <w:r>
        <w:t>R6 | Practice Examination A</w:t>
      </w:r>
    </w:p>
    <w:p>
      <w:pPr>
        <w:pStyle w:val="Heading2"/>
        <w:jc w:val="center"/>
      </w:pPr>
      <w:r>
        <w:t>Detailed Rationales and Remediation Guide</w:t>
      </w:r>
    </w:p>
    <w:p>
      <w:pPr>
        <w:jc w:val="center"/>
      </w:pPr>
      <w:r>
        <w:rPr>
          <w:b/>
        </w:rPr>
        <w:t>50 Questions | Law 22 / Ethics 28 | 13 Easy / 25 Moderate / 12 Difficult</w:t>
      </w:r>
    </w:p>
    <w:p>
      <w:pPr>
        <w:jc w:val="center"/>
      </w:pPr>
      <w:r>
        <w:t>Version 1.1 | August 7, 2026</w:t>
      </w:r>
    </w:p>
    <w:p>
      <w:pPr>
        <w:jc w:val="center"/>
      </w:pPr>
      <w:r>
        <w:rPr>
          <w:b/>
          <w:color w:val="1A9B9A"/>
        </w:rPr>
        <w:t>POST-ATTEMPT CONTROLLED ANSWER MATERIAL</w:t>
      </w:r>
    </w:p>
    <w:p>
      <w:pPr>
        <w:jc w:val="center"/>
      </w:pPr>
      <w:r>
        <w:rPr>
          <w:i/>
          <w:color w:val="17365D"/>
        </w:rPr>
        <w:t>Teaching Clinicians How to Think.</w:t>
      </w:r>
    </w:p>
    <w:p>
      <w:r>
        <w:br w:type="page"/>
      </w:r>
    </w:p>
    <w:tbl>
      <w:tblPr>
        <w:tblW w:type="auto" w:w="0"/>
        <w:jc w:val="center"/>
        <w:tblLook w:firstColumn="1" w:firstRow="1" w:lastColumn="0" w:lastRow="0" w:noHBand="0" w:noVBand="1" w:val="04A0"/>
        <w:tblLayout w:type="fixed"/>
        <w:tblInd w:w="0" w:type="dxa"/>
      </w:tblPr>
      <w:tblGrid>
        <w:gridCol w:w="10224"/>
      </w:tblGrid>
      <w:tr>
        <w:tc>
          <w:tcPr>
            <w:tcW w:type="dxa" w:w="10080"/>
            <w:shd w:fill="EAF6F5"/>
            <w:tcMar>
              <w:top w:w="120" w:type="dxa"/>
              <w:start w:w="140" w:type="dxa"/>
              <w:bottom w:w="120" w:type="dxa"/>
              <w:end w:w="140" w:type="dxa"/>
            </w:tcMar>
          </w:tcPr>
          <w:p>
            <w:r>
              <w:rPr>
                <w:b/>
              </w:rPr>
              <w:t>RESTRICTED CONTROL | 50 released items | 200 option-specific rationales. Release only after the learner completes and preserves the answer-hidden Practice Examination A attempt. Ethics content uses the currently operative 2014 ACA Code at release and will be updated if material official standards change.</w:t>
            </w:r>
          </w:p>
        </w:tc>
      </w:tr>
    </w:tbl>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Component</w:t>
            </w:r>
          </w:p>
        </w:tc>
        <w:tc>
          <w:tcPr>
            <w:tcW w:type="dxa" w:w="7056"/>
            <w:tcMar>
              <w:top w:w="60" w:type="dxa"/>
              <w:start w:w="80" w:type="dxa"/>
              <w:bottom w:w="60" w:type="dxa"/>
              <w:end w:w="80" w:type="dxa"/>
            </w:tcMar>
            <w:vAlign w:val="center"/>
          </w:tcPr>
          <w:p>
            <w:r>
              <w:t>Practice Examination A - Detailed Rationales and Remediation Guide</w:t>
            </w:r>
          </w:p>
        </w:tc>
      </w:tr>
      <w:tr>
        <w:tc>
          <w:tcPr>
            <w:tcW w:type="dxa" w:w="3024"/>
            <w:tcMar>
              <w:top w:w="60" w:type="dxa"/>
              <w:start w:w="80" w:type="dxa"/>
              <w:bottom w:w="60" w:type="dxa"/>
              <w:end w:w="80" w:type="dxa"/>
            </w:tcMar>
            <w:vAlign w:val="center"/>
          </w:tcPr>
          <w:p>
            <w:r>
              <w:rPr>
                <w:b/>
              </w:rPr>
              <w:t>Items</w:t>
            </w:r>
          </w:p>
        </w:tc>
        <w:tc>
          <w:tcPr>
            <w:tcW w:type="dxa" w:w="7056"/>
            <w:tcMar>
              <w:top w:w="60" w:type="dxa"/>
              <w:start w:w="80" w:type="dxa"/>
              <w:bottom w:w="60" w:type="dxa"/>
              <w:end w:w="80" w:type="dxa"/>
            </w:tcMar>
            <w:vAlign w:val="center"/>
          </w:tcPr>
          <w:p>
            <w:r>
              <w:t>50</w:t>
            </w:r>
          </w:p>
        </w:tc>
      </w:tr>
      <w:tr>
        <w:tc>
          <w:tcPr>
            <w:tcW w:type="dxa" w:w="3024"/>
            <w:tcMar>
              <w:top w:w="60" w:type="dxa"/>
              <w:start w:w="80" w:type="dxa"/>
              <w:bottom w:w="60" w:type="dxa"/>
              <w:end w:w="80" w:type="dxa"/>
            </w:tcMar>
            <w:vAlign w:val="center"/>
          </w:tcPr>
          <w:p>
            <w:r>
              <w:rPr>
                <w:b/>
              </w:rPr>
              <w:t>Option rationales</w:t>
            </w:r>
          </w:p>
        </w:tc>
        <w:tc>
          <w:tcPr>
            <w:tcW w:type="dxa" w:w="7056"/>
            <w:tcMar>
              <w:top w:w="60" w:type="dxa"/>
              <w:start w:w="80" w:type="dxa"/>
              <w:bottom w:w="60" w:type="dxa"/>
              <w:end w:w="80" w:type="dxa"/>
            </w:tcMar>
            <w:vAlign w:val="center"/>
          </w:tcPr>
          <w:p>
            <w:r>
              <w:t>200</w:t>
            </w:r>
          </w:p>
        </w:tc>
      </w:tr>
      <w:tr>
        <w:tc>
          <w:tcPr>
            <w:tcW w:type="dxa" w:w="3024"/>
            <w:tcMar>
              <w:top w:w="60" w:type="dxa"/>
              <w:start w:w="80" w:type="dxa"/>
              <w:bottom w:w="60" w:type="dxa"/>
              <w:end w:w="80" w:type="dxa"/>
            </w:tcMar>
            <w:vAlign w:val="center"/>
          </w:tcPr>
          <w:p>
            <w:r>
              <w:rPr>
                <w:b/>
              </w:rPr>
              <w:t>Source recheck</w:t>
            </w:r>
          </w:p>
        </w:tc>
        <w:tc>
          <w:tcPr>
            <w:tcW w:type="dxa" w:w="7056"/>
            <w:tcMar>
              <w:top w:w="60" w:type="dxa"/>
              <w:start w:w="80" w:type="dxa"/>
              <w:bottom w:w="60" w:type="dxa"/>
              <w:end w:w="80" w:type="dxa"/>
            </w:tcMar>
            <w:vAlign w:val="center"/>
          </w:tcPr>
          <w:p>
            <w:r>
              <w:t>California BBS statutes/regulations and LPCC resources rechecked August 7, 2026; ACA revision status rechecked August 7, 2026</w:t>
            </w:r>
          </w:p>
        </w:tc>
      </w:tr>
      <w:tr>
        <w:tc>
          <w:tcPr>
            <w:tcW w:type="dxa" w:w="3024"/>
            <w:tcMar>
              <w:top w:w="60" w:type="dxa"/>
              <w:start w:w="80" w:type="dxa"/>
              <w:bottom w:w="60" w:type="dxa"/>
              <w:end w:w="80" w:type="dxa"/>
            </w:tcMar>
            <w:vAlign w:val="center"/>
          </w:tcPr>
          <w:p>
            <w:r>
              <w:rPr>
                <w:b/>
              </w:rPr>
              <w:t>ACA status</w:t>
            </w:r>
          </w:p>
        </w:tc>
        <w:tc>
          <w:tcPr>
            <w:tcW w:type="dxa" w:w="7056"/>
            <w:tcMar>
              <w:top w:w="60" w:type="dxa"/>
              <w:start w:w="80" w:type="dxa"/>
              <w:bottom w:w="60" w:type="dxa"/>
              <w:end w:w="80" w:type="dxa"/>
            </w:tcMar>
            <w:vAlign w:val="center"/>
          </w:tcPr>
          <w:p>
            <w:r>
              <w:t>2014 ACA Code of Ethics is the currently operative ethics source used for this release</w:t>
            </w:r>
          </w:p>
        </w:tc>
      </w:tr>
      <w:tr>
        <w:tc>
          <w:tcPr>
            <w:tcW w:type="dxa" w:w="3024"/>
            <w:tcMar>
              <w:top w:w="60" w:type="dxa"/>
              <w:start w:w="80" w:type="dxa"/>
              <w:bottom w:w="60" w:type="dxa"/>
              <w:end w:w="80" w:type="dxa"/>
            </w:tcMar>
            <w:vAlign w:val="center"/>
          </w:tcPr>
          <w:p>
            <w:r>
              <w:rPr>
                <w:b/>
              </w:rPr>
              <w:t>Release</w:t>
            </w:r>
          </w:p>
        </w:tc>
        <w:tc>
          <w:tcPr>
            <w:tcW w:type="dxa" w:w="7056"/>
            <w:tcMar>
              <w:top w:w="60" w:type="dxa"/>
              <w:start w:w="80" w:type="dxa"/>
              <w:bottom w:w="60" w:type="dxa"/>
              <w:end w:w="80" w:type="dxa"/>
            </w:tcMar>
            <w:vAlign w:val="center"/>
          </w:tcPr>
          <w:p>
            <w:r>
              <w:t>APPROVED for post-attempt controlled review and learner use under CTA-EP-003</w:t>
            </w:r>
          </w:p>
        </w:tc>
      </w:tr>
    </w:tbl>
    <w:p>
      <w:pPr>
        <w:pStyle w:val="Heading1"/>
      </w:pPr>
      <w:r>
        <w:t>Item 1 - Controlled Rationale</w:t>
      </w:r>
    </w:p>
    <w:p>
      <w:r>
        <w:rPr>
          <w:b/>
        </w:rPr>
        <w:t xml:space="preserve">Item ID: </w:t>
      </w:r>
      <w:r>
        <w:t>LPCC-LE-CUM-A-001</w:t>
      </w:r>
    </w:p>
    <w:p>
      <w:r>
        <w:rPr>
          <w:b/>
        </w:rPr>
        <w:t xml:space="preserve">Stem: </w:t>
      </w:r>
      <w:r>
        <w:t>An LPCC and an adult client agreed to supportive counseling. Six weeks later, the LPCC proposes a substantially different trauma-focused intervention with new risks and homework demands. What is the BEST response before beginning the new approach?</w:t>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Terminate treatment because the client may decline the new intervention.</w:t>
            </w:r>
          </w:p>
        </w:tc>
        <w:tc>
          <w:tcPr>
            <w:tcW w:type="dxa" w:w="5040"/>
            <w:tcMar>
              <w:top w:w="70" w:type="dxa"/>
              <w:start w:w="70" w:type="dxa"/>
              <w:bottom w:w="70" w:type="dxa"/>
              <w:end w:w="70" w:type="dxa"/>
            </w:tcMar>
            <w:vAlign w:val="center"/>
          </w:tcPr>
          <w:p>
            <w:r>
              <w:t>Incorrect. Declining one intervention does not by itself require termination when other appropriate options may remain.</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Begin because the client already consented to psychotherapy in general.</w:t>
            </w:r>
          </w:p>
        </w:tc>
        <w:tc>
          <w:tcPr>
            <w:tcW w:type="dxa" w:w="5040"/>
            <w:tcMar>
              <w:top w:w="70" w:type="dxa"/>
              <w:start w:w="70" w:type="dxa"/>
              <w:bottom w:w="70" w:type="dxa"/>
              <w:end w:w="70" w:type="dxa"/>
            </w:tcMar>
            <w:vAlign w:val="center"/>
          </w:tcPr>
          <w:p>
            <w:r>
              <w:t>Incorrect. General consent does not automatically cover every materially different later intervention.</w:t>
            </w:r>
          </w:p>
        </w:tc>
      </w:tr>
      <w:tr>
        <w:tc>
          <w:tcPr>
            <w:tcW w:type="dxa" w:w="792"/>
            <w:tcMar>
              <w:top w:w="70" w:type="dxa"/>
              <w:start w:w="70" w:type="dxa"/>
              <w:bottom w:w="70" w:type="dxa"/>
              <w:end w:w="70" w:type="dxa"/>
            </w:tcMar>
            <w:vAlign w:val="center"/>
            <w:shd w:fill="E7F5F4"/>
          </w:tcPr>
          <w:p>
            <w:r>
              <w:rPr>
                <w:b/>
              </w:rPr>
              <w:t>C</w:t>
            </w:r>
          </w:p>
        </w:tc>
        <w:tc>
          <w:tcPr>
            <w:tcW w:type="dxa" w:w="4392"/>
            <w:tcMar>
              <w:top w:w="70" w:type="dxa"/>
              <w:start w:w="70" w:type="dxa"/>
              <w:bottom w:w="70" w:type="dxa"/>
              <w:end w:w="70" w:type="dxa"/>
            </w:tcMar>
            <w:vAlign w:val="center"/>
            <w:shd w:fill="E7F5F4"/>
          </w:tcPr>
          <w:p>
            <w:r>
              <w:t>Reopen the informed-consent discussion, explain the material change, risks, benefits, reasonable alternatives, and questions, then document the client’s informed choice.</w:t>
            </w:r>
          </w:p>
        </w:tc>
        <w:tc>
          <w:tcPr>
            <w:tcW w:type="dxa" w:w="5040"/>
            <w:tcMar>
              <w:top w:w="70" w:type="dxa"/>
              <w:start w:w="70" w:type="dxa"/>
              <w:bottom w:w="70" w:type="dxa"/>
              <w:end w:w="70" w:type="dxa"/>
            </w:tcMar>
            <w:vAlign w:val="center"/>
            <w:shd w:fill="E7F5F4"/>
          </w:tcPr>
          <w:p>
            <w:r>
              <w:t>Correct. A material change in the nature or risks of treatment calls for renewed communication and an informed, voluntary decision rather than reliance on the original intake signature.</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Ask the client to sign a new form without discussing the change.</w:t>
            </w:r>
          </w:p>
        </w:tc>
        <w:tc>
          <w:tcPr>
            <w:tcW w:type="dxa" w:w="5040"/>
            <w:tcMar>
              <w:top w:w="70" w:type="dxa"/>
              <w:start w:w="70" w:type="dxa"/>
              <w:bottom w:w="70" w:type="dxa"/>
              <w:end w:w="70" w:type="dxa"/>
            </w:tcMar>
            <w:vAlign w:val="center"/>
          </w:tcPr>
          <w:p>
            <w:r>
              <w:t>Incorrect. A signature documents a process; it does not replace meaningful disclosure and understanding.</w:t>
            </w:r>
          </w:p>
        </w:tc>
      </w:tr>
    </w:tbl>
    <w:p>
      <w:pPr>
        <w:pStyle w:val="Heading2"/>
      </w:pPr>
      <w:r>
        <w:t>Why the Key Controls</w:t>
      </w:r>
    </w:p>
    <w:p>
      <w:r>
        <w:t>A material change in the nature or risks of treatment calls for renewed communication and an informed, voluntary decision rather than reliance on the original intake signature.</w:t>
      </w:r>
    </w:p>
    <w:p>
      <w:pPr>
        <w:pStyle w:val="Heading2"/>
      </w:pPr>
      <w:r>
        <w:t>CTA Exam Strategy</w:t>
      </w:r>
    </w:p>
    <w:p>
      <w:r>
        <w:t>Identify authority, consent/confidentiality/privilege, the exact requester or decision-maker, and the required sequence before disclosing or acting.</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Material Change in Treatment</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WB1-C3 Ongoing Informed Consent</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CONSENT-MATERIAL-CHANGE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California informed-consent requirements; BPC 4999.74; ACA Code of Ethics (2014 working source).</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2 - Controlled Rationale</w:t>
      </w:r>
    </w:p>
    <w:p>
      <w:r>
        <w:rPr>
          <w:b/>
        </w:rPr>
        <w:t xml:space="preserve">Item ID: </w:t>
      </w:r>
      <w:r>
        <w:t>LPCC-LE-CUM-A-002</w:t>
      </w:r>
    </w:p>
    <w:p>
      <w:r>
        <w:rPr>
          <w:b/>
        </w:rPr>
        <w:t xml:space="preserve">Stem: </w:t>
      </w:r>
      <w:r>
        <w:t>A mature 15-year-old asks an LPCC for outpatient counseling without a parent present. No emergency is present. The adolescent reports credible fear of retaliation if a parent is involved. What should the LPCC do FIRST?</w:t>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Promise the minor that no parent can ever be contacted.</w:t>
            </w:r>
          </w:p>
        </w:tc>
        <w:tc>
          <w:tcPr>
            <w:tcW w:type="dxa" w:w="5040"/>
            <w:tcMar>
              <w:top w:w="70" w:type="dxa"/>
              <w:start w:w="70" w:type="dxa"/>
              <w:bottom w:w="70" w:type="dxa"/>
              <w:end w:w="70" w:type="dxa"/>
            </w:tcMar>
            <w:vAlign w:val="center"/>
          </w:tcPr>
          <w:p>
            <w:r>
              <w:t>Incorrect. Absolute secrecy cannot be promised; confidentiality has legal and safety limits.</w:t>
            </w:r>
          </w:p>
        </w:tc>
      </w:tr>
      <w:tr>
        <w:tc>
          <w:tcPr>
            <w:tcW w:type="dxa" w:w="792"/>
            <w:tcMar>
              <w:top w:w="70" w:type="dxa"/>
              <w:start w:w="70" w:type="dxa"/>
              <w:bottom w:w="70" w:type="dxa"/>
              <w:end w:w="70" w:type="dxa"/>
            </w:tcMar>
            <w:vAlign w:val="center"/>
            <w:shd w:fill="E7F5F4"/>
          </w:tcPr>
          <w:p>
            <w:r>
              <w:rPr>
                <w:b/>
              </w:rPr>
              <w:t>B</w:t>
            </w:r>
          </w:p>
        </w:tc>
        <w:tc>
          <w:tcPr>
            <w:tcW w:type="dxa" w:w="4392"/>
            <w:tcMar>
              <w:top w:w="70" w:type="dxa"/>
              <w:start w:w="70" w:type="dxa"/>
              <w:bottom w:w="70" w:type="dxa"/>
              <w:end w:w="70" w:type="dxa"/>
            </w:tcMar>
            <w:vAlign w:val="center"/>
            <w:shd w:fill="E7F5F4"/>
          </w:tcPr>
          <w:p>
            <w:r>
              <w:t>Assess and document whether the statutory self-consent criteria are met, consult the minor about parent involvement, determine whether involvement would be inappropriate, and explain confidentiality limits before treatment proceeds.</w:t>
            </w:r>
          </w:p>
        </w:tc>
        <w:tc>
          <w:tcPr>
            <w:tcW w:type="dxa" w:w="5040"/>
            <w:tcMar>
              <w:top w:w="70" w:type="dxa"/>
              <w:start w:w="70" w:type="dxa"/>
              <w:bottom w:w="70" w:type="dxa"/>
              <w:end w:w="70" w:type="dxa"/>
            </w:tcMar>
            <w:vAlign w:val="center"/>
            <w:shd w:fill="E7F5F4"/>
          </w:tcPr>
          <w:p>
            <w:r>
              <w:t>Correct. California law permits qualifying minors age 12 or older to consent to specified outpatient mental-health services when mature enough to participate intelligently, while requiring a documented parent-involvement analysis after consultation with the minor.</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Begin treatment and postpone all consent and parent-involvement decisions until later.</w:t>
            </w:r>
          </w:p>
        </w:tc>
        <w:tc>
          <w:tcPr>
            <w:tcW w:type="dxa" w:w="5040"/>
            <w:tcMar>
              <w:top w:w="70" w:type="dxa"/>
              <w:start w:w="70" w:type="dxa"/>
              <w:bottom w:w="70" w:type="dxa"/>
              <w:end w:w="70" w:type="dxa"/>
            </w:tcMar>
            <w:vAlign w:val="center"/>
          </w:tcPr>
          <w:p>
            <w:r>
              <w:t>Incorrect. Authority and confidentiality boundaries should be resolved at or before initiation, not deferred.</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Require parental consent because minors can never authorize outpatient counseling.</w:t>
            </w:r>
          </w:p>
        </w:tc>
        <w:tc>
          <w:tcPr>
            <w:tcW w:type="dxa" w:w="5040"/>
            <w:tcMar>
              <w:top w:w="70" w:type="dxa"/>
              <w:start w:w="70" w:type="dxa"/>
              <w:bottom w:w="70" w:type="dxa"/>
              <w:end w:w="70" w:type="dxa"/>
            </w:tcMar>
            <w:vAlign w:val="center"/>
          </w:tcPr>
          <w:p>
            <w:r>
              <w:t>Incorrect. California law provides a qualifying minor-consent pathway.</w:t>
            </w:r>
          </w:p>
        </w:tc>
      </w:tr>
    </w:tbl>
    <w:p>
      <w:pPr>
        <w:pStyle w:val="Heading2"/>
      </w:pPr>
      <w:r>
        <w:t>Why the Key Controls</w:t>
      </w:r>
    </w:p>
    <w:p>
      <w:r>
        <w:t>California law permits qualifying minors age 12 or older to consent to specified outpatient mental-health services when mature enough to participate intelligently, while requiring a documented parent-involvement analysis after consultation with the minor.</w:t>
      </w:r>
    </w:p>
    <w:p>
      <w:pPr>
        <w:pStyle w:val="Heading2"/>
      </w:pPr>
      <w:r>
        <w:t>CTA Exam Strategy</w:t>
      </w:r>
    </w:p>
    <w:p>
      <w:r>
        <w:t>Identify authority, consent/confidentiality/privilege, the exact requester or decision-maker, and the required sequence before disclosing or acting.</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Minor Self-Consent and Parent Involvement</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Integrated Scenario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WB1-C6 Minor Consent Exceptions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MINOR-CONSENT-AUTHORITY</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Family Code 6924; Health &amp; Safety Code 124260; applicable confidentiality law.</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3 - Controlled Rationale</w:t>
      </w:r>
    </w:p>
    <w:p>
      <w:r>
        <w:rPr>
          <w:b/>
        </w:rPr>
        <w:t xml:space="preserve">Item ID: </w:t>
      </w:r>
      <w:r>
        <w:t>LPCC-LE-CUM-A-003</w:t>
      </w:r>
    </w:p>
    <w:p>
      <w:r>
        <w:rPr>
          <w:b/>
        </w:rPr>
        <w:t xml:space="preserve">Stem: </w:t>
      </w:r>
      <w:r>
        <w:t>An adult client’s parent pays the session fees and calls the LPCC demanding confirmation of the client’s diagnosis and attendance. The client has not authorized disclosure. What should the LPCC do FIRST?</w:t>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Confirm attendance but not diagnosis because attendance is administrative.</w:t>
            </w:r>
          </w:p>
        </w:tc>
        <w:tc>
          <w:tcPr>
            <w:tcW w:type="dxa" w:w="5040"/>
            <w:tcMar>
              <w:top w:w="70" w:type="dxa"/>
              <w:start w:w="70" w:type="dxa"/>
              <w:bottom w:w="70" w:type="dxa"/>
              <w:end w:w="70" w:type="dxa"/>
            </w:tcMar>
            <w:vAlign w:val="center"/>
          </w:tcPr>
          <w:p>
            <w:r>
              <w:t>Incorrect. Confirming attendance can itself disclose the existence of a confidential treatment relationship.</w:t>
            </w:r>
          </w:p>
        </w:tc>
      </w:tr>
      <w:tr>
        <w:tc>
          <w:tcPr>
            <w:tcW w:type="dxa" w:w="792"/>
            <w:tcMar>
              <w:top w:w="70" w:type="dxa"/>
              <w:start w:w="70" w:type="dxa"/>
              <w:bottom w:w="70" w:type="dxa"/>
              <w:end w:w="70" w:type="dxa"/>
            </w:tcMar>
            <w:vAlign w:val="center"/>
            <w:shd w:fill="E7F5F4"/>
          </w:tcPr>
          <w:p>
            <w:r>
              <w:rPr>
                <w:b/>
              </w:rPr>
              <w:t>B</w:t>
            </w:r>
          </w:p>
        </w:tc>
        <w:tc>
          <w:tcPr>
            <w:tcW w:type="dxa" w:w="4392"/>
            <w:tcMar>
              <w:top w:w="70" w:type="dxa"/>
              <w:start w:w="70" w:type="dxa"/>
              <w:bottom w:w="70" w:type="dxa"/>
              <w:end w:w="70" w:type="dxa"/>
            </w:tcMar>
            <w:vAlign w:val="center"/>
            <w:shd w:fill="E7F5F4"/>
          </w:tcPr>
          <w:p>
            <w:r>
              <w:t>Identify the client and any lawful authorization or other legal basis for disclosure before confirming treatment or releasing information.</w:t>
            </w:r>
          </w:p>
        </w:tc>
        <w:tc>
          <w:tcPr>
            <w:tcW w:type="dxa" w:w="5040"/>
            <w:tcMar>
              <w:top w:w="70" w:type="dxa"/>
              <w:start w:w="70" w:type="dxa"/>
              <w:bottom w:w="70" w:type="dxa"/>
              <w:end w:w="70" w:type="dxa"/>
            </w:tcMar>
            <w:vAlign w:val="center"/>
            <w:shd w:fill="E7F5F4"/>
          </w:tcPr>
          <w:p>
            <w:r>
              <w:t>Correct. Payment does not make the payer the client, privilege holder, or automatic recipient of confidential treatment information.</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Provide a verbal summary because only written records require authorization.</w:t>
            </w:r>
          </w:p>
        </w:tc>
        <w:tc>
          <w:tcPr>
            <w:tcW w:type="dxa" w:w="5040"/>
            <w:tcMar>
              <w:top w:w="70" w:type="dxa"/>
              <w:start w:w="70" w:type="dxa"/>
              <w:bottom w:w="70" w:type="dxa"/>
              <w:end w:w="70" w:type="dxa"/>
            </w:tcMar>
            <w:vAlign w:val="center"/>
          </w:tcPr>
          <w:p>
            <w:r>
              <w:t>Incorrect. Verbal disclosures are still disclosures and require a lawful basis.</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Release the information because the payer is financially responsible.</w:t>
            </w:r>
          </w:p>
        </w:tc>
        <w:tc>
          <w:tcPr>
            <w:tcW w:type="dxa" w:w="5040"/>
            <w:tcMar>
              <w:top w:w="70" w:type="dxa"/>
              <w:start w:w="70" w:type="dxa"/>
              <w:bottom w:w="70" w:type="dxa"/>
              <w:end w:w="70" w:type="dxa"/>
            </w:tcMar>
            <w:vAlign w:val="center"/>
          </w:tcPr>
          <w:p>
            <w:r>
              <w:t>Incorrect. Financial responsibility does not create treatment-information access rights.</w:t>
            </w:r>
          </w:p>
        </w:tc>
      </w:tr>
    </w:tbl>
    <w:p>
      <w:pPr>
        <w:pStyle w:val="Heading2"/>
      </w:pPr>
      <w:r>
        <w:t>Why the Key Controls</w:t>
      </w:r>
    </w:p>
    <w:p>
      <w:r>
        <w:t>Payment does not make the payer the client, privilege holder, or automatic recipient of confidential treatment information.</w:t>
      </w:r>
    </w:p>
    <w:p>
      <w:pPr>
        <w:pStyle w:val="Heading2"/>
      </w:pPr>
      <w:r>
        <w:t>CTA Exam Strategy</w:t>
      </w:r>
    </w:p>
    <w:p>
      <w:r>
        <w:t>Identify authority, consent/confidentiality/privilege, the exact requester or decision-maker, and the required sequence before disclosing or acting.</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Third-Party Payer and Confidentiality</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Scenario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WB8-C1 Confidentiality</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THIRD-PARTY-PAYER</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California CMIA/confidentiality law; Evidence Code psychotherapist-patient privilege as applicable.</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4 - Controlled Rationale</w:t>
      </w:r>
    </w:p>
    <w:p>
      <w:r>
        <w:rPr>
          <w:b/>
        </w:rPr>
        <w:t xml:space="preserve">Item ID: </w:t>
      </w:r>
      <w:r>
        <w:t>LPCC-LE-CUM-A-004</w:t>
      </w:r>
    </w:p>
    <w:p>
      <w:r>
        <w:rPr>
          <w:b/>
        </w:rPr>
        <w:t xml:space="preserve">Stem: </w:t>
      </w:r>
      <w:r>
        <w:t>At the start of a telehealth session, a returning client says, “I’m at the usual place.” What should the LPCC do under the current California telehealth regulation?</w:t>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Skip location verification when the client has attended at least three prior sessions.</w:t>
            </w:r>
          </w:p>
        </w:tc>
        <w:tc>
          <w:tcPr>
            <w:tcW w:type="dxa" w:w="5040"/>
            <w:tcMar>
              <w:top w:w="70" w:type="dxa"/>
              <w:start w:w="70" w:type="dxa"/>
              <w:bottom w:w="70" w:type="dxa"/>
              <w:end w:w="70" w:type="dxa"/>
            </w:tcMar>
            <w:vAlign w:val="center"/>
          </w:tcPr>
          <w:p>
            <w:r>
              <w:t>Incorrect. The each-session requirement does not expire after a number of visits.</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Document “usual location” because the permanent address is already in the chart.</w:t>
            </w:r>
          </w:p>
        </w:tc>
        <w:tc>
          <w:tcPr>
            <w:tcW w:type="dxa" w:w="5040"/>
            <w:tcMar>
              <w:top w:w="70" w:type="dxa"/>
              <w:start w:w="70" w:type="dxa"/>
              <w:bottom w:w="70" w:type="dxa"/>
              <w:end w:w="70" w:type="dxa"/>
            </w:tcMar>
            <w:vAlign w:val="center"/>
          </w:tcPr>
          <w:p>
            <w:r>
              <w:t>Incorrect. A prior permanent address does not substitute for the required current-session location information.</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Ask only for the city and state unless the client reports an emergency.</w:t>
            </w:r>
          </w:p>
        </w:tc>
        <w:tc>
          <w:tcPr>
            <w:tcW w:type="dxa" w:w="5040"/>
            <w:tcMar>
              <w:top w:w="70" w:type="dxa"/>
              <w:start w:w="70" w:type="dxa"/>
              <w:bottom w:w="70" w:type="dxa"/>
              <w:end w:w="70" w:type="dxa"/>
            </w:tcMar>
            <w:vAlign w:val="center"/>
          </w:tcPr>
          <w:p>
            <w:r>
              <w:t>Incorrect. The regulation calls for the address of the present location, not only city and state.</w:t>
            </w:r>
          </w:p>
        </w:tc>
      </w:tr>
      <w:tr>
        <w:tc>
          <w:tcPr>
            <w:tcW w:type="dxa" w:w="792"/>
            <w:tcMar>
              <w:top w:w="70" w:type="dxa"/>
              <w:start w:w="70" w:type="dxa"/>
              <w:bottom w:w="70" w:type="dxa"/>
              <w:end w:w="70" w:type="dxa"/>
            </w:tcMar>
            <w:vAlign w:val="center"/>
            <w:shd w:fill="E7F5F4"/>
          </w:tcPr>
          <w:p>
            <w:r>
              <w:rPr>
                <w:b/>
              </w:rPr>
              <w:t>D</w:t>
            </w:r>
          </w:p>
        </w:tc>
        <w:tc>
          <w:tcPr>
            <w:tcW w:type="dxa" w:w="4392"/>
            <w:tcMar>
              <w:top w:w="70" w:type="dxa"/>
              <w:start w:w="70" w:type="dxa"/>
              <w:bottom w:w="70" w:type="dxa"/>
              <w:end w:w="70" w:type="dxa"/>
            </w:tcMar>
            <w:vAlign w:val="center"/>
            <w:shd w:fill="E7F5F4"/>
          </w:tcPr>
          <w:p>
            <w:r>
              <w:t>Verbally obtain and document the client’s full name and address of the client’s present location at the beginning of the session.</w:t>
            </w:r>
          </w:p>
        </w:tc>
        <w:tc>
          <w:tcPr>
            <w:tcW w:type="dxa" w:w="5040"/>
            <w:tcMar>
              <w:top w:w="70" w:type="dxa"/>
              <w:start w:w="70" w:type="dxa"/>
              <w:bottom w:w="70" w:type="dxa"/>
              <w:end w:w="70" w:type="dxa"/>
            </w:tcMar>
            <w:vAlign w:val="center"/>
            <w:shd w:fill="E7F5F4"/>
          </w:tcPr>
          <w:p>
            <w:r>
              <w:t>Correct. 16 CCR 1815.5 requires the clinician to obtain and document the client’s full name and present-location address at the beginning of each telehealth session.</w:t>
            </w:r>
          </w:p>
        </w:tc>
      </w:tr>
    </w:tbl>
    <w:p>
      <w:pPr>
        <w:pStyle w:val="Heading2"/>
      </w:pPr>
      <w:r>
        <w:t>Why the Key Controls</w:t>
      </w:r>
    </w:p>
    <w:p>
      <w:r>
        <w:t>16 CCR 1815.5 requires the clinician to obtain and document the client’s full name and present-location address at the beginning of each telehealth session.</w:t>
      </w:r>
    </w:p>
    <w:p>
      <w:pPr>
        <w:pStyle w:val="Heading2"/>
      </w:pPr>
      <w:r>
        <w:t>CTA Exam Strategy</w:t>
      </w:r>
    </w:p>
    <w:p>
      <w:r>
        <w:t>Identify authority, consent/confidentiality/privilege, the exact requester or decision-maker, and the required sequence before disclosing or acting.</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Present Location in Telehealth</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Foundational Application / Direct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WB2-C1 Telehealth Foundations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TELEHEALTH-LOCATION</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16 CCR 1815.5(d)(1).</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5 - Controlled Rationale</w:t>
      </w:r>
    </w:p>
    <w:p>
      <w:r>
        <w:rPr>
          <w:b/>
        </w:rPr>
        <w:t xml:space="preserve">Item ID: </w:t>
      </w:r>
      <w:r>
        <w:t>LPCC-LE-CUM-A-005</w:t>
      </w:r>
    </w:p>
    <w:p>
      <w:r>
        <w:rPr>
          <w:b/>
        </w:rPr>
        <w:t xml:space="preserve">Stem: </w:t>
      </w:r>
      <w:r>
        <w:t>A client signs an authorization allowing the LPCC to send a treatment summary to a primary-care physician. The physician later asks for the entire psychotherapy record. What is the BEST response?</w:t>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Refuse all communication because treatment records can never be shared.</w:t>
            </w:r>
          </w:p>
        </w:tc>
        <w:tc>
          <w:tcPr>
            <w:tcW w:type="dxa" w:w="5040"/>
            <w:tcMar>
              <w:top w:w="70" w:type="dxa"/>
              <w:start w:w="70" w:type="dxa"/>
              <w:bottom w:w="70" w:type="dxa"/>
              <w:end w:w="70" w:type="dxa"/>
            </w:tcMar>
            <w:vAlign w:val="center"/>
          </w:tcPr>
          <w:p>
            <w:r>
              <w:t>Incorrect. Properly authorized and lawful disclosures are permitted.</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Send the full record but mark it confidential.</w:t>
            </w:r>
          </w:p>
        </w:tc>
        <w:tc>
          <w:tcPr>
            <w:tcW w:type="dxa" w:w="5040"/>
            <w:tcMar>
              <w:top w:w="70" w:type="dxa"/>
              <w:start w:w="70" w:type="dxa"/>
              <w:bottom w:w="70" w:type="dxa"/>
              <w:end w:w="70" w:type="dxa"/>
            </w:tcMar>
            <w:vAlign w:val="center"/>
          </w:tcPr>
          <w:p>
            <w:r>
              <w:t>Incorrect. A confidentiality label does not cure disclosure beyond the authorized scope.</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Send the full record because a physician requested it for treatment.</w:t>
            </w:r>
          </w:p>
        </w:tc>
        <w:tc>
          <w:tcPr>
            <w:tcW w:type="dxa" w:w="5040"/>
            <w:tcMar>
              <w:top w:w="70" w:type="dxa"/>
              <w:start w:w="70" w:type="dxa"/>
              <w:bottom w:w="70" w:type="dxa"/>
              <w:end w:w="70" w:type="dxa"/>
            </w:tcMar>
            <w:vAlign w:val="center"/>
          </w:tcPr>
          <w:p>
            <w:r>
              <w:t>Incorrect. Recipient status does not automatically enlarge the authorization.</w:t>
            </w:r>
          </w:p>
        </w:tc>
      </w:tr>
      <w:tr>
        <w:tc>
          <w:tcPr>
            <w:tcW w:type="dxa" w:w="792"/>
            <w:tcMar>
              <w:top w:w="70" w:type="dxa"/>
              <w:start w:w="70" w:type="dxa"/>
              <w:bottom w:w="70" w:type="dxa"/>
              <w:end w:w="70" w:type="dxa"/>
            </w:tcMar>
            <w:vAlign w:val="center"/>
            <w:shd w:fill="E7F5F4"/>
          </w:tcPr>
          <w:p>
            <w:r>
              <w:rPr>
                <w:b/>
              </w:rPr>
              <w:t>D</w:t>
            </w:r>
          </w:p>
        </w:tc>
        <w:tc>
          <w:tcPr>
            <w:tcW w:type="dxa" w:w="4392"/>
            <w:tcMar>
              <w:top w:w="70" w:type="dxa"/>
              <w:start w:w="70" w:type="dxa"/>
              <w:bottom w:w="70" w:type="dxa"/>
              <w:end w:w="70" w:type="dxa"/>
            </w:tcMar>
            <w:vAlign w:val="center"/>
            <w:shd w:fill="E7F5F4"/>
          </w:tcPr>
          <w:p>
            <w:r>
              <w:t>Disclose only information authorized by the client and otherwise permitted by law, and obtain a new or revised authorization if broader disclosure is appropriate and desired.</w:t>
            </w:r>
          </w:p>
        </w:tc>
        <w:tc>
          <w:tcPr>
            <w:tcW w:type="dxa" w:w="5040"/>
            <w:tcMar>
              <w:top w:w="70" w:type="dxa"/>
              <w:start w:w="70" w:type="dxa"/>
              <w:bottom w:w="70" w:type="dxa"/>
              <w:end w:w="70" w:type="dxa"/>
            </w:tcMar>
            <w:vAlign w:val="center"/>
            <w:shd w:fill="E7F5F4"/>
          </w:tcPr>
          <w:p>
            <w:r>
              <w:t>Correct. An authorization is limited by its scope; a request from the recipient does not expand the client’s authorization.</w:t>
            </w:r>
          </w:p>
        </w:tc>
      </w:tr>
    </w:tbl>
    <w:p>
      <w:pPr>
        <w:pStyle w:val="Heading2"/>
      </w:pPr>
      <w:r>
        <w:t>Why the Key Controls</w:t>
      </w:r>
    </w:p>
    <w:p>
      <w:r>
        <w:t>An authorization is limited by its scope; a request from the recipient does not expand the client’s authorization.</w:t>
      </w:r>
    </w:p>
    <w:p>
      <w:pPr>
        <w:pStyle w:val="Heading2"/>
      </w:pPr>
      <w:r>
        <w:t>CTA Exam Strategy</w:t>
      </w:r>
    </w:p>
    <w:p>
      <w:r>
        <w:t>Identify authority, consent/confidentiality/privilege, the exact requester or decision-maker, and the required sequence before disclosing or acting.</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Authorization Scope</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WB8-C2 Authorizations and Releases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AUTHORIZATION-SCOPE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Civil Code 56.11 and applicable CMIA/HIPAA authorization rules.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6 - Controlled Rationale</w:t>
      </w:r>
    </w:p>
    <w:p>
      <w:r>
        <w:rPr>
          <w:b/>
        </w:rPr>
        <w:t xml:space="preserve">Item ID: </w:t>
      </w:r>
      <w:r>
        <w:t>LPCC-LE-CUM-A-006</w:t>
      </w:r>
    </w:p>
    <w:p>
      <w:r>
        <w:rPr>
          <w:b/>
        </w:rPr>
        <w:t xml:space="preserve">Stem: </w:t>
      </w:r>
      <w:r>
        <w:t>An LPCC treating an adult client receives a subpoena from opposing counsel demanding the complete record. The client instructs the LPCC not to disclose anything. What is the BEST initial legal-ethical approach?</w:t>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Ignore the subpoena because psychotherapy records are always privileged.</w:t>
            </w:r>
          </w:p>
        </w:tc>
        <w:tc>
          <w:tcPr>
            <w:tcW w:type="dxa" w:w="5040"/>
            <w:tcMar>
              <w:top w:w="70" w:type="dxa"/>
              <w:start w:w="70" w:type="dxa"/>
              <w:bottom w:w="70" w:type="dxa"/>
              <w:end w:w="70" w:type="dxa"/>
            </w:tcMar>
            <w:vAlign w:val="center"/>
          </w:tcPr>
          <w:p>
            <w:r>
              <w:t>Incorrect. Legal process should be addressed rather than ignored, even when privilege may apply.</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Send the entire record because any subpoena eliminates privilege.</w:t>
            </w:r>
          </w:p>
        </w:tc>
        <w:tc>
          <w:tcPr>
            <w:tcW w:type="dxa" w:w="5040"/>
            <w:tcMar>
              <w:top w:w="70" w:type="dxa"/>
              <w:start w:w="70" w:type="dxa"/>
              <w:bottom w:w="70" w:type="dxa"/>
              <w:end w:w="70" w:type="dxa"/>
            </w:tcMar>
            <w:vAlign w:val="center"/>
          </w:tcPr>
          <w:p>
            <w:r>
              <w:t>Incorrect. A subpoena does not automatically eliminate privilege or require unrestricted production.</w:t>
            </w:r>
          </w:p>
        </w:tc>
      </w:tr>
      <w:tr>
        <w:tc>
          <w:tcPr>
            <w:tcW w:type="dxa" w:w="792"/>
            <w:tcMar>
              <w:top w:w="70" w:type="dxa"/>
              <w:start w:w="70" w:type="dxa"/>
              <w:bottom w:w="70" w:type="dxa"/>
              <w:end w:w="70" w:type="dxa"/>
            </w:tcMar>
            <w:vAlign w:val="center"/>
            <w:shd w:fill="E7F5F4"/>
          </w:tcPr>
          <w:p>
            <w:r>
              <w:rPr>
                <w:b/>
              </w:rPr>
              <w:t>C</w:t>
            </w:r>
          </w:p>
        </w:tc>
        <w:tc>
          <w:tcPr>
            <w:tcW w:type="dxa" w:w="4392"/>
            <w:tcMar>
              <w:top w:w="70" w:type="dxa"/>
              <w:start w:w="70" w:type="dxa"/>
              <w:bottom w:w="70" w:type="dxa"/>
              <w:end w:w="70" w:type="dxa"/>
            </w:tcMar>
            <w:vAlign w:val="center"/>
            <w:shd w:fill="E7F5F4"/>
          </w:tcPr>
          <w:p>
            <w:r>
              <w:t>Preserve the treatment role, evaluate the subpoena and psychotherapist-patient privilege through the appropriate legal process, communicate accurately with the client, and disclose only if lawfully authorized or ordered.</w:t>
            </w:r>
          </w:p>
        </w:tc>
        <w:tc>
          <w:tcPr>
            <w:tcW w:type="dxa" w:w="5040"/>
            <w:tcMar>
              <w:top w:w="70" w:type="dxa"/>
              <w:start w:w="70" w:type="dxa"/>
              <w:bottom w:w="70" w:type="dxa"/>
              <w:end w:w="70" w:type="dxa"/>
            </w:tcMar>
            <w:vAlign w:val="center"/>
            <w:shd w:fill="E7F5F4"/>
          </w:tcPr>
          <w:p>
            <w:r>
              <w:t>Correct. A subpoena is legal process that requires analysis; it is not automatically equivalent to a court order or blanket waiver of privilege.</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Terminate therapy and then release the record because privilege ends at termination.</w:t>
            </w:r>
          </w:p>
        </w:tc>
        <w:tc>
          <w:tcPr>
            <w:tcW w:type="dxa" w:w="5040"/>
            <w:tcMar>
              <w:top w:w="70" w:type="dxa"/>
              <w:start w:w="70" w:type="dxa"/>
              <w:bottom w:w="70" w:type="dxa"/>
              <w:end w:w="70" w:type="dxa"/>
            </w:tcMar>
            <w:vAlign w:val="center"/>
          </w:tcPr>
          <w:p>
            <w:r>
              <w:t>Incorrect. Termination does not automatically extinguish privilege or confidentiality obligations.</w:t>
            </w:r>
          </w:p>
        </w:tc>
      </w:tr>
    </w:tbl>
    <w:p>
      <w:pPr>
        <w:pStyle w:val="Heading2"/>
      </w:pPr>
      <w:r>
        <w:t>Why the Key Controls</w:t>
      </w:r>
    </w:p>
    <w:p>
      <w:r>
        <w:t>A subpoena is legal process that requires analysis; it is not automatically equivalent to a court order or blanket waiver of privilege.</w:t>
      </w:r>
    </w:p>
    <w:p>
      <w:pPr>
        <w:pStyle w:val="Heading2"/>
      </w:pPr>
      <w:r>
        <w:t>CTA Exam Strategy</w:t>
      </w:r>
    </w:p>
    <w:p>
      <w:r>
        <w:t>Identify authority, consent/confidentiality/privilege, the exact requester or decision-maker, and the required sequence before disclosing or acting.</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Subpoena, Privilege, and Role</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Integrated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WB3-C6 Professional Roles; WB8-C4 Record Requests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SUBPOENA-PRIVILEGE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Evidence Code 1014 and applicable California legal-process/confidentiality law.</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7 - Controlled Rationale</w:t>
      </w:r>
    </w:p>
    <w:p>
      <w:r>
        <w:rPr>
          <w:b/>
        </w:rPr>
        <w:t xml:space="preserve">Item ID: </w:t>
      </w:r>
      <w:r>
        <w:t>LPCC-LE-CUM-A-007</w:t>
      </w:r>
    </w:p>
    <w:p>
      <w:r>
        <w:rPr>
          <w:b/>
        </w:rPr>
        <w:t xml:space="preserve">Stem: </w:t>
      </w:r>
      <w:r>
        <w:t>A person claiming to be an adult client’s conservator asks an LPCC for the client’s treatment records but provides no documentation of authority. What should the LPCC do FIRST?</w:t>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rPr>
                <w:b/>
              </w:rPr>
              <w:t>A</w:t>
            </w:r>
          </w:p>
        </w:tc>
        <w:tc>
          <w:tcPr>
            <w:tcW w:type="dxa" w:w="4392"/>
            <w:tcMar>
              <w:top w:w="70" w:type="dxa"/>
              <w:start w:w="70" w:type="dxa"/>
              <w:bottom w:w="70" w:type="dxa"/>
              <w:end w:w="70" w:type="dxa"/>
            </w:tcMar>
            <w:vAlign w:val="center"/>
            <w:shd w:fill="E7F5F4"/>
          </w:tcPr>
          <w:p>
            <w:r>
              <w:t>Verify the requester’s identity and legal authority and determine the applicable access rules before confirming or releasing protected information.</w:t>
            </w:r>
          </w:p>
        </w:tc>
        <w:tc>
          <w:tcPr>
            <w:tcW w:type="dxa" w:w="5040"/>
            <w:tcMar>
              <w:top w:w="70" w:type="dxa"/>
              <w:start w:w="70" w:type="dxa"/>
              <w:bottom w:w="70" w:type="dxa"/>
              <w:end w:w="70" w:type="dxa"/>
            </w:tcMar>
            <w:vAlign w:val="center"/>
            <w:shd w:fill="E7F5F4"/>
          </w:tcPr>
          <w:p>
            <w:r>
              <w:t>Correct. Record access depends on the requester’s actual legal authority and the applicable access/confidentiality rules, not merely on a claimed relationship.</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Confirm the client is in treatment but withhold the notes.</w:t>
            </w:r>
          </w:p>
        </w:tc>
        <w:tc>
          <w:tcPr>
            <w:tcW w:type="dxa" w:w="5040"/>
            <w:tcMar>
              <w:top w:w="70" w:type="dxa"/>
              <w:start w:w="70" w:type="dxa"/>
              <w:bottom w:w="70" w:type="dxa"/>
              <w:end w:w="70" w:type="dxa"/>
            </w:tcMar>
            <w:vAlign w:val="center"/>
          </w:tcPr>
          <w:p>
            <w:r>
              <w:t>Incorrect. Confirming treatment is itself a disclosure that requires a lawful basis.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Release the records because conservators always have unrestricted access.</w:t>
            </w:r>
          </w:p>
        </w:tc>
        <w:tc>
          <w:tcPr>
            <w:tcW w:type="dxa" w:w="5040"/>
            <w:tcMar>
              <w:top w:w="70" w:type="dxa"/>
              <w:start w:w="70" w:type="dxa"/>
              <w:bottom w:w="70" w:type="dxa"/>
              <w:end w:w="70" w:type="dxa"/>
            </w:tcMar>
            <w:vAlign w:val="center"/>
          </w:tcPr>
          <w:p>
            <w:r>
              <w:t>Incorrect. Authority and scope must be verified; access can also be subject to specific legal limits.</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Ask the requester to describe the client’s diagnosis to prove the relationship.</w:t>
            </w:r>
          </w:p>
        </w:tc>
        <w:tc>
          <w:tcPr>
            <w:tcW w:type="dxa" w:w="5040"/>
            <w:tcMar>
              <w:top w:w="70" w:type="dxa"/>
              <w:start w:w="70" w:type="dxa"/>
              <w:bottom w:w="70" w:type="dxa"/>
              <w:end w:w="70" w:type="dxa"/>
            </w:tcMar>
            <w:vAlign w:val="center"/>
          </w:tcPr>
          <w:p>
            <w:r>
              <w:t>Incorrect. Knowledge of clinical details is not a substitute for legal authority and may invite further disclosure.</w:t>
            </w:r>
          </w:p>
        </w:tc>
      </w:tr>
    </w:tbl>
    <w:p>
      <w:pPr>
        <w:pStyle w:val="Heading2"/>
      </w:pPr>
      <w:r>
        <w:t>Why the Key Controls</w:t>
      </w:r>
    </w:p>
    <w:p>
      <w:r>
        <w:t>Record access depends on the requester’s actual legal authority and the applicable access/confidentiality rules, not merely on a claimed relationship.</w:t>
      </w:r>
    </w:p>
    <w:p>
      <w:pPr>
        <w:pStyle w:val="Heading2"/>
      </w:pPr>
      <w:r>
        <w:t>CTA Exam Strategy</w:t>
      </w:r>
    </w:p>
    <w:p>
      <w:r>
        <w:t>Identify authority, consent/confidentiality/privilege, the exact requester or decision-maker, and the required sequence before disclosing or acting.</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Record-Access Authority</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Scenario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WB8-C4 Client Access to Records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ACCESS-AUTHORITY</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Health &amp; Safety Code 123110 et seq.; Evidence Code 1013-1014; applicable CMIA/HIPAA rules.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8 - Controlled Rationale</w:t>
      </w:r>
    </w:p>
    <w:p>
      <w:r>
        <w:rPr>
          <w:b/>
        </w:rPr>
        <w:t xml:space="preserve">Item ID: </w:t>
      </w:r>
      <w:r>
        <w:t>LPCC-LE-CUM-A-008</w:t>
      </w:r>
    </w:p>
    <w:p>
      <w:r>
        <w:rPr>
          <w:b/>
        </w:rPr>
        <w:t xml:space="preserve">Stem: </w:t>
      </w:r>
      <w:r>
        <w:t>Which set of actions belongs to the California BBS telehealth initiation requirements for an LPCC beginning telehealth with a new client?</w:t>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rPr>
                <w:b/>
              </w:rPr>
              <w:t>A</w:t>
            </w:r>
          </w:p>
        </w:tc>
        <w:tc>
          <w:tcPr>
            <w:tcW w:type="dxa" w:w="4392"/>
            <w:tcMar>
              <w:top w:w="70" w:type="dxa"/>
              <w:start w:w="70" w:type="dxa"/>
              <w:bottom w:w="70" w:type="dxa"/>
              <w:end w:w="70" w:type="dxa"/>
            </w:tcMar>
            <w:vAlign w:val="center"/>
            <w:shd w:fill="E7F5F4"/>
          </w:tcPr>
          <w:p>
            <w:r>
              <w:t>Obtain informed consent, discuss potential risks and limitations, provide the license type and number, and document reasonable efforts to identify relevant resources in the client’s geographic area.</w:t>
            </w:r>
          </w:p>
        </w:tc>
        <w:tc>
          <w:tcPr>
            <w:tcW w:type="dxa" w:w="5040"/>
            <w:tcMar>
              <w:top w:w="70" w:type="dxa"/>
              <w:start w:w="70" w:type="dxa"/>
              <w:bottom w:w="70" w:type="dxa"/>
              <w:end w:w="70" w:type="dxa"/>
            </w:tcMar>
            <w:vAlign w:val="center"/>
            <w:shd w:fill="E7F5F4"/>
          </w:tcPr>
          <w:p>
            <w:r>
              <w:t>Correct. These are the core initiation duties stated in 16 CCR 1815.5(c), in addition to other applicable informed-consent and privacy requirements.</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Require a separate document titled “Telehealth Consent Form” in every case.</w:t>
            </w:r>
          </w:p>
        </w:tc>
        <w:tc>
          <w:tcPr>
            <w:tcW w:type="dxa" w:w="5040"/>
            <w:tcMar>
              <w:top w:w="70" w:type="dxa"/>
              <w:start w:w="70" w:type="dxa"/>
              <w:bottom w:w="70" w:type="dxa"/>
              <w:end w:w="70" w:type="dxa"/>
            </w:tcMar>
            <w:vAlign w:val="center"/>
          </w:tcPr>
          <w:p>
            <w:r>
              <w:t>Incorrect. California requires the consent process and documentation, not a specific form title.</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Wait until the second session to discuss telehealth risks if the client prefers remote care.</w:t>
            </w:r>
          </w:p>
        </w:tc>
        <w:tc>
          <w:tcPr>
            <w:tcW w:type="dxa" w:w="5040"/>
            <w:tcMar>
              <w:top w:w="70" w:type="dxa"/>
              <w:start w:w="70" w:type="dxa"/>
              <w:bottom w:w="70" w:type="dxa"/>
              <w:end w:w="70" w:type="dxa"/>
            </w:tcMar>
            <w:vAlign w:val="center"/>
          </w:tcPr>
          <w:p>
            <w:r>
              <w:t>Incorrect. The initiation duties apply when telehealth services are initiated.</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Use a secure platform and obtain an emergency contact; no other initiation disclosures are required.</w:t>
            </w:r>
          </w:p>
        </w:tc>
        <w:tc>
          <w:tcPr>
            <w:tcW w:type="dxa" w:w="5040"/>
            <w:tcMar>
              <w:top w:w="70" w:type="dxa"/>
              <w:start w:w="70" w:type="dxa"/>
              <w:bottom w:w="70" w:type="dxa"/>
              <w:end w:w="70" w:type="dxa"/>
            </w:tcMar>
            <w:vAlign w:val="center"/>
          </w:tcPr>
          <w:p>
            <w:r>
              <w:t>Incorrect. Platform security and emergency planning do not replace the listed BBS initiation duties.</w:t>
            </w:r>
          </w:p>
        </w:tc>
      </w:tr>
    </w:tbl>
    <w:p>
      <w:pPr>
        <w:pStyle w:val="Heading2"/>
      </w:pPr>
      <w:r>
        <w:t>Why the Key Controls</w:t>
      </w:r>
    </w:p>
    <w:p>
      <w:r>
        <w:t>These are the core initiation duties stated in 16 CCR 1815.5(c), in addition to other applicable informed-consent and privacy requirements.</w:t>
      </w:r>
    </w:p>
    <w:p>
      <w:pPr>
        <w:pStyle w:val="Heading2"/>
      </w:pPr>
      <w:r>
        <w:t>CTA Exam Strategy</w:t>
      </w:r>
    </w:p>
    <w:p>
      <w:r>
        <w:t>Identify authority, consent/confidentiality/privilege, the exact requester or decision-maker, and the required sequence before disclosing or acting.</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Telehealth Initiation Duties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Foundational Application / Direct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WB2-C2 Telehealth Informed Consent</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TELEHEALTH-INITIATION</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16 CCR 1815.5(c); BPC 2290.5.</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9 - Controlled Rationale</w:t>
      </w:r>
    </w:p>
    <w:p>
      <w:r>
        <w:rPr>
          <w:b/>
        </w:rPr>
        <w:t xml:space="preserve">Item ID: </w:t>
      </w:r>
      <w:r>
        <w:t>LPCC-LE-CUM-A-009</w:t>
      </w:r>
    </w:p>
    <w:p>
      <w:r>
        <w:rPr>
          <w:b/>
        </w:rPr>
        <w:t xml:space="preserve">Stem: </w:t>
      </w:r>
      <w:r>
        <w:t>During a counseling session, an APCC working under supervision develops reasonable suspicion that a child has been abused. The clinic director asks the APCC to wait until tomorrow’s team meeting so the agency can decide whether to report. What should occur FIRST?</w:t>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Wait for the director because supervisors control agency reporting decisions.</w:t>
            </w:r>
          </w:p>
        </w:tc>
        <w:tc>
          <w:tcPr>
            <w:tcW w:type="dxa" w:w="5040"/>
            <w:tcMar>
              <w:top w:w="70" w:type="dxa"/>
              <w:start w:w="70" w:type="dxa"/>
              <w:bottom w:w="70" w:type="dxa"/>
              <w:end w:w="70" w:type="dxa"/>
            </w:tcMar>
            <w:vAlign w:val="center"/>
          </w:tcPr>
          <w:p>
            <w:r>
              <w:t>Incorrect. Supervisors may not impede an individual mandated reporter’s duty.</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Investigate until the APCC can prove that abuse occurred.</w:t>
            </w:r>
          </w:p>
        </w:tc>
        <w:tc>
          <w:tcPr>
            <w:tcW w:type="dxa" w:w="5040"/>
            <w:tcMar>
              <w:top w:w="70" w:type="dxa"/>
              <w:start w:w="70" w:type="dxa"/>
              <w:bottom w:w="70" w:type="dxa"/>
              <w:end w:w="70" w:type="dxa"/>
            </w:tcMar>
            <w:vAlign w:val="center"/>
          </w:tcPr>
          <w:p>
            <w:r>
              <w:t>Incorrect. Reasonable suspicion, not proof, is the reporting threshold.</w:t>
            </w:r>
          </w:p>
        </w:tc>
      </w:tr>
      <w:tr>
        <w:tc>
          <w:tcPr>
            <w:tcW w:type="dxa" w:w="792"/>
            <w:tcMar>
              <w:top w:w="70" w:type="dxa"/>
              <w:start w:w="70" w:type="dxa"/>
              <w:bottom w:w="70" w:type="dxa"/>
              <w:end w:w="70" w:type="dxa"/>
            </w:tcMar>
            <w:vAlign w:val="center"/>
            <w:shd w:fill="E7F5F4"/>
          </w:tcPr>
          <w:p>
            <w:r>
              <w:rPr>
                <w:b/>
              </w:rPr>
              <w:t>C</w:t>
            </w:r>
          </w:p>
        </w:tc>
        <w:tc>
          <w:tcPr>
            <w:tcW w:type="dxa" w:w="4392"/>
            <w:tcMar>
              <w:top w:w="70" w:type="dxa"/>
              <w:start w:w="70" w:type="dxa"/>
              <w:bottom w:w="70" w:type="dxa"/>
              <w:end w:w="70" w:type="dxa"/>
            </w:tcMar>
            <w:vAlign w:val="center"/>
            <w:shd w:fill="E7F5F4"/>
          </w:tcPr>
          <w:p>
            <w:r>
              <w:t>Make the mandated report immediately or as soon as practicably possible and complete the written follow-up within the statutory period; internal procedures may not delay the individual duty.</w:t>
            </w:r>
          </w:p>
        </w:tc>
        <w:tc>
          <w:tcPr>
            <w:tcW w:type="dxa" w:w="5040"/>
            <w:tcMar>
              <w:top w:w="70" w:type="dxa"/>
              <w:start w:w="70" w:type="dxa"/>
              <w:bottom w:w="70" w:type="dxa"/>
              <w:end w:w="70" w:type="dxa"/>
            </w:tcMar>
            <w:vAlign w:val="center"/>
            <w:shd w:fill="E7F5F4"/>
          </w:tcPr>
          <w:p>
            <w:r>
              <w:t>Correct. Penal Code 11166 uses reasonable suspicion as the threshold, requires an initial report immediately or as soon as practicably possible and a written follow-up within 36 hours, and makes the reporting duty individual.</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Document the concern internally and allow the director to make the external report.</w:t>
            </w:r>
          </w:p>
        </w:tc>
        <w:tc>
          <w:tcPr>
            <w:tcW w:type="dxa" w:w="5040"/>
            <w:tcMar>
              <w:top w:w="70" w:type="dxa"/>
              <w:start w:w="70" w:type="dxa"/>
              <w:bottom w:w="70" w:type="dxa"/>
              <w:end w:w="70" w:type="dxa"/>
            </w:tcMar>
            <w:vAlign w:val="center"/>
          </w:tcPr>
          <w:p>
            <w:r>
              <w:t>Incorrect. Internal notice does not substitute for the mandated report.</w:t>
            </w:r>
          </w:p>
        </w:tc>
      </w:tr>
    </w:tbl>
    <w:p>
      <w:pPr>
        <w:pStyle w:val="Heading2"/>
      </w:pPr>
      <w:r>
        <w:t>Why the Key Controls</w:t>
      </w:r>
    </w:p>
    <w:p>
      <w:r>
        <w:t>Penal Code 11166 uses reasonable suspicion as the threshold, requires an initial report immediately or as soon as practicably possible and a written follow-up within 36 hours, and makes the reporting duty individual.</w:t>
      </w:r>
    </w:p>
    <w:p>
      <w:pPr>
        <w:pStyle w:val="Heading2"/>
      </w:pPr>
      <w:r>
        <w:t>CTA Exam Strategy</w:t>
      </w:r>
    </w:p>
    <w:p>
      <w:r>
        <w:t>Identify the legal threshold, who has the duty, the required timing or protective step, and the narrow scope of any disclosure.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Child-Abuse Reporting Threshold and Sequence</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Integrated Legal Scenario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WB5-C2 Avoiding and Preventing Client Harm</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CHILD-ABUSE-REPORTING</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Penal Code 11166 and 11165.9.</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10 - Controlled Rationale</w:t>
      </w:r>
    </w:p>
    <w:p>
      <w:r>
        <w:rPr>
          <w:b/>
        </w:rPr>
        <w:t xml:space="preserve">Item ID: </w:t>
      </w:r>
      <w:r>
        <w:t>LPCC-LE-CUM-A-010</w:t>
      </w:r>
    </w:p>
    <w:p>
      <w:r>
        <w:rPr>
          <w:b/>
        </w:rPr>
        <w:t xml:space="preserve">Stem: </w:t>
      </w:r>
      <w:r>
        <w:t>An LPCC in an outpatient community clinic reasonably suspects financial abuse of an older adult client. The suspected abuse did not occur in a long-term-care facility, state mental hospital, or state developmental center. What is the BEST reporting sequence?</w:t>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Notify the client’s family and let them decide whether to contact authorities.</w:t>
            </w:r>
          </w:p>
        </w:tc>
        <w:tc>
          <w:tcPr>
            <w:tcW w:type="dxa" w:w="5040"/>
            <w:tcMar>
              <w:top w:w="70" w:type="dxa"/>
              <w:start w:w="70" w:type="dxa"/>
              <w:bottom w:w="70" w:type="dxa"/>
              <w:end w:w="70" w:type="dxa"/>
            </w:tcMar>
            <w:vAlign w:val="center"/>
          </w:tcPr>
          <w:p>
            <w:r>
              <w:t>Incorrect. Family consultation does not replace the mandated reporter’s statutory duty.</w:t>
            </w:r>
          </w:p>
        </w:tc>
      </w:tr>
      <w:tr>
        <w:tc>
          <w:tcPr>
            <w:tcW w:type="dxa" w:w="792"/>
            <w:tcMar>
              <w:top w:w="70" w:type="dxa"/>
              <w:start w:w="70" w:type="dxa"/>
              <w:bottom w:w="70" w:type="dxa"/>
              <w:end w:w="70" w:type="dxa"/>
            </w:tcMar>
            <w:vAlign w:val="center"/>
            <w:shd w:fill="E7F5F4"/>
          </w:tcPr>
          <w:p>
            <w:r>
              <w:rPr>
                <w:b/>
              </w:rPr>
              <w:t>B</w:t>
            </w:r>
          </w:p>
        </w:tc>
        <w:tc>
          <w:tcPr>
            <w:tcW w:type="dxa" w:w="4392"/>
            <w:tcMar>
              <w:top w:w="70" w:type="dxa"/>
              <w:start w:w="70" w:type="dxa"/>
              <w:bottom w:w="70" w:type="dxa"/>
              <w:end w:w="70" w:type="dxa"/>
            </w:tcMar>
            <w:vAlign w:val="center"/>
            <w:shd w:fill="E7F5F4"/>
          </w:tcPr>
          <w:p>
            <w:r>
              <w:t>Report immediately or as soon as practicably possible to adult protective services or local law enforcement and, if the initial report is by telephone, send the required written report or confidential internet report within two working days.</w:t>
            </w:r>
          </w:p>
        </w:tc>
        <w:tc>
          <w:tcPr>
            <w:tcW w:type="dxa" w:w="5040"/>
            <w:tcMar>
              <w:top w:w="70" w:type="dxa"/>
              <w:start w:w="70" w:type="dxa"/>
              <w:bottom w:w="70" w:type="dxa"/>
              <w:end w:w="70" w:type="dxa"/>
            </w:tcMar>
            <w:vAlign w:val="center"/>
            <w:shd w:fill="E7F5F4"/>
          </w:tcPr>
          <w:p>
            <w:r>
              <w:t>Correct. WIC 15630 requires prompt reporting and specifies the agency and follow-up timing for abuse occurring outside the special facility categories.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Wait until the client provides documentary proof of the financial loss.</w:t>
            </w:r>
          </w:p>
        </w:tc>
        <w:tc>
          <w:tcPr>
            <w:tcW w:type="dxa" w:w="5040"/>
            <w:tcMar>
              <w:top w:w="70" w:type="dxa"/>
              <w:start w:w="70" w:type="dxa"/>
              <w:bottom w:w="70" w:type="dxa"/>
              <w:end w:w="70" w:type="dxa"/>
            </w:tcMar>
            <w:vAlign w:val="center"/>
          </w:tcPr>
          <w:p>
            <w:r>
              <w:t>Incorrect. Mandated reporting does not require proof beyond the statutory reporting threshold.</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Report only to the client’s bank because the concern is financial.</w:t>
            </w:r>
          </w:p>
        </w:tc>
        <w:tc>
          <w:tcPr>
            <w:tcW w:type="dxa" w:w="5040"/>
            <w:tcMar>
              <w:top w:w="70" w:type="dxa"/>
              <w:start w:w="70" w:type="dxa"/>
              <w:bottom w:w="70" w:type="dxa"/>
              <w:end w:w="70" w:type="dxa"/>
            </w:tcMar>
            <w:vAlign w:val="center"/>
          </w:tcPr>
          <w:p>
            <w:r>
              <w:t>Incorrect. The statutory reporting pathway is to APS or local law enforcement for this setting.</w:t>
            </w:r>
          </w:p>
        </w:tc>
      </w:tr>
    </w:tbl>
    <w:p>
      <w:pPr>
        <w:pStyle w:val="Heading2"/>
      </w:pPr>
      <w:r>
        <w:t>Why the Key Controls</w:t>
      </w:r>
    </w:p>
    <w:p>
      <w:r>
        <w:t>WIC 15630 requires prompt reporting and specifies the agency and follow-up timing for abuse occurring outside the special facility categories.</w:t>
      </w:r>
    </w:p>
    <w:p>
      <w:pPr>
        <w:pStyle w:val="Heading2"/>
      </w:pPr>
      <w:r>
        <w:t>CTA Exam Strategy</w:t>
      </w:r>
    </w:p>
    <w:p>
      <w:r>
        <w:t>Identify the legal threshold, who has the duty, the required timing or protective step, and the narrow scope of any disclosure.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Elder/Dependent-Adult Abuse Reporting</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Legal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WB5-C2 Avoiding and Preventing Client Harm</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ELDER-ABUSE-REPORTING</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Welfare &amp; Institutions Code 15630.</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11 - Controlled Rationale</w:t>
      </w:r>
    </w:p>
    <w:p>
      <w:r>
        <w:rPr>
          <w:b/>
        </w:rPr>
        <w:t xml:space="preserve">Item ID: </w:t>
      </w:r>
      <w:r>
        <w:t>LPCC-LE-CUM-A-011</w:t>
      </w:r>
    </w:p>
    <w:p>
      <w:r>
        <w:rPr>
          <w:b/>
        </w:rPr>
        <w:t xml:space="preserve">Stem: </w:t>
      </w:r>
      <w:r>
        <w:t>An LPCC’s client communicates a serious threat of physical violence against a specifically identified former supervisor and describes access to a weapon. What is the BEST response?</w:t>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Warn only the client’s family because they know the client best.</w:t>
            </w:r>
          </w:p>
        </w:tc>
        <w:tc>
          <w:tcPr>
            <w:tcW w:type="dxa" w:w="5040"/>
            <w:tcMar>
              <w:top w:w="70" w:type="dxa"/>
              <w:start w:w="70" w:type="dxa"/>
              <w:bottom w:w="70" w:type="dxa"/>
              <w:end w:w="70" w:type="dxa"/>
            </w:tcMar>
            <w:vAlign w:val="center"/>
          </w:tcPr>
          <w:p>
            <w:r>
              <w:t>Incorrect. Family notification alone does not satisfy the statutory duty-to-protect framework.</w:t>
            </w:r>
          </w:p>
        </w:tc>
      </w:tr>
      <w:tr>
        <w:tc>
          <w:tcPr>
            <w:tcW w:type="dxa" w:w="792"/>
            <w:tcMar>
              <w:top w:w="70" w:type="dxa"/>
              <w:start w:w="70" w:type="dxa"/>
              <w:bottom w:w="70" w:type="dxa"/>
              <w:end w:w="70" w:type="dxa"/>
            </w:tcMar>
            <w:vAlign w:val="center"/>
            <w:shd w:fill="E7F5F4"/>
          </w:tcPr>
          <w:p>
            <w:r>
              <w:rPr>
                <w:b/>
              </w:rPr>
              <w:t>B</w:t>
            </w:r>
          </w:p>
        </w:tc>
        <w:tc>
          <w:tcPr>
            <w:tcW w:type="dxa" w:w="4392"/>
            <w:tcMar>
              <w:top w:w="70" w:type="dxa"/>
              <w:start w:w="70" w:type="dxa"/>
              <w:bottom w:w="70" w:type="dxa"/>
              <w:end w:w="70" w:type="dxa"/>
            </w:tcMar>
            <w:vAlign w:val="center"/>
            <w:shd w:fill="E7F5F4"/>
          </w:tcPr>
          <w:p>
            <w:r>
              <w:t>Assess immediacy and safety, take the protective actions required by California law, including reasonable efforts to communicate the threat to the identifiable victim and law enforcement when the statutory conditions are met, and document the response.</w:t>
            </w:r>
          </w:p>
        </w:tc>
        <w:tc>
          <w:tcPr>
            <w:tcW w:type="dxa" w:w="5040"/>
            <w:tcMar>
              <w:top w:w="70" w:type="dxa"/>
              <w:start w:w="70" w:type="dxa"/>
              <w:bottom w:w="70" w:type="dxa"/>
              <w:end w:w="70" w:type="dxa"/>
            </w:tcMar>
            <w:vAlign w:val="center"/>
            <w:shd w:fill="E7F5F4"/>
          </w:tcPr>
          <w:p>
            <w:r>
              <w:t>Correct. Civil Code 43.92 defines the limited duty-to-protect circumstances and provides a statutory method of discharging that duty; immediate safety assessment and documentation remain essential.</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Wait until the threatened person contacts the therapist.</w:t>
            </w:r>
          </w:p>
        </w:tc>
        <w:tc>
          <w:tcPr>
            <w:tcW w:type="dxa" w:w="5040"/>
            <w:tcMar>
              <w:top w:w="70" w:type="dxa"/>
              <w:start w:w="70" w:type="dxa"/>
              <w:bottom w:w="70" w:type="dxa"/>
              <w:end w:w="70" w:type="dxa"/>
            </w:tcMar>
            <w:vAlign w:val="center"/>
          </w:tcPr>
          <w:p>
            <w:r>
              <w:t>Incorrect. The duty turns on the client’s communicated serious threat and identifiable victim, not on a request from the potential victim.</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Maintain confidentiality because threats discussed in psychotherapy are always privileged.</w:t>
            </w:r>
          </w:p>
        </w:tc>
        <w:tc>
          <w:tcPr>
            <w:tcW w:type="dxa" w:w="5040"/>
            <w:tcMar>
              <w:top w:w="70" w:type="dxa"/>
              <w:start w:w="70" w:type="dxa"/>
              <w:bottom w:w="70" w:type="dxa"/>
              <w:end w:w="70" w:type="dxa"/>
            </w:tcMar>
            <w:vAlign w:val="center"/>
          </w:tcPr>
          <w:p>
            <w:r>
              <w:t>Incorrect. California law recognizes circumstances in which protective disclosure is required or permitted.</w:t>
            </w:r>
          </w:p>
        </w:tc>
      </w:tr>
    </w:tbl>
    <w:p>
      <w:pPr>
        <w:pStyle w:val="Heading2"/>
      </w:pPr>
      <w:r>
        <w:t>Why the Key Controls</w:t>
      </w:r>
    </w:p>
    <w:p>
      <w:r>
        <w:t>Civil Code 43.92 defines the limited duty-to-protect circumstances and provides a statutory method of discharging that duty; immediate safety assessment and documentation remain essential.</w:t>
      </w:r>
    </w:p>
    <w:p>
      <w:pPr>
        <w:pStyle w:val="Heading2"/>
      </w:pPr>
      <w:r>
        <w:t>CTA Exam Strategy</w:t>
      </w:r>
    </w:p>
    <w:p>
      <w:r>
        <w:t>Identify the legal threshold, who has the duty, the required timing or protective step, and the narrow scope of any disclosure.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Serious Threat to Identifiable Victim</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Integrated Legal Scenario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WB5-C2 Avoiding and Preventing Client Harm</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DUTY-TO-PROTECT</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Civil Code 43.92; Evidence Code 1024; applicable crisis law.</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12 - Controlled Rationale</w:t>
      </w:r>
    </w:p>
    <w:p>
      <w:r>
        <w:rPr>
          <w:b/>
        </w:rPr>
        <w:t xml:space="preserve">Item ID: </w:t>
      </w:r>
      <w:r>
        <w:t>LPCC-LE-CUM-A-012</w:t>
      </w:r>
    </w:p>
    <w:p>
      <w:r>
        <w:rPr>
          <w:b/>
        </w:rPr>
        <w:t xml:space="preserve">Stem: </w:t>
      </w:r>
      <w:r>
        <w:t>A client tells an LPCC about current suicidal intent, a specific plan, and immediate access to lethal means. Which response BEST reflects the confidentiality and safety analysis?</w:t>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Promise secrecy because the client disclosed the plan in psychotherapy.</w:t>
            </w:r>
          </w:p>
        </w:tc>
        <w:tc>
          <w:tcPr>
            <w:tcW w:type="dxa" w:w="5040"/>
            <w:tcMar>
              <w:top w:w="70" w:type="dxa"/>
              <w:start w:w="70" w:type="dxa"/>
              <w:bottom w:w="70" w:type="dxa"/>
              <w:end w:w="70" w:type="dxa"/>
            </w:tcMar>
            <w:vAlign w:val="center"/>
          </w:tcPr>
          <w:p>
            <w:r>
              <w:t>Incorrect. Absolute secrecy is not appropriate when serious safety exceptions may apply.</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Disclose the entire psychotherapy record to everyone involved in the response.</w:t>
            </w:r>
          </w:p>
        </w:tc>
        <w:tc>
          <w:tcPr>
            <w:tcW w:type="dxa" w:w="5040"/>
            <w:tcMar>
              <w:top w:w="70" w:type="dxa"/>
              <w:start w:w="70" w:type="dxa"/>
              <w:bottom w:w="70" w:type="dxa"/>
              <w:end w:w="70" w:type="dxa"/>
            </w:tcMar>
            <w:vAlign w:val="center"/>
          </w:tcPr>
          <w:p>
            <w:r>
              <w:t>Incorrect. Protective disclosure should be limited to what is lawful and reasonably necessary.</w:t>
            </w:r>
          </w:p>
        </w:tc>
      </w:tr>
      <w:tr>
        <w:tc>
          <w:tcPr>
            <w:tcW w:type="dxa" w:w="792"/>
            <w:tcMar>
              <w:top w:w="70" w:type="dxa"/>
              <w:start w:w="70" w:type="dxa"/>
              <w:bottom w:w="70" w:type="dxa"/>
              <w:end w:w="70" w:type="dxa"/>
            </w:tcMar>
            <w:vAlign w:val="center"/>
            <w:shd w:fill="E7F5F4"/>
          </w:tcPr>
          <w:p>
            <w:r>
              <w:rPr>
                <w:b/>
              </w:rPr>
              <w:t>C</w:t>
            </w:r>
          </w:p>
        </w:tc>
        <w:tc>
          <w:tcPr>
            <w:tcW w:type="dxa" w:w="4392"/>
            <w:tcMar>
              <w:top w:w="70" w:type="dxa"/>
              <w:start w:w="70" w:type="dxa"/>
              <w:bottom w:w="70" w:type="dxa"/>
              <w:end w:w="70" w:type="dxa"/>
            </w:tcMar>
            <w:vAlign w:val="center"/>
            <w:shd w:fill="E7F5F4"/>
          </w:tcPr>
          <w:p>
            <w:r>
              <w:t>Address the imminent safety risk first, use the least necessary lawful disclosures and emergency resources to protect the client, and document the assessment, actions, and follow-up.</w:t>
            </w:r>
          </w:p>
        </w:tc>
        <w:tc>
          <w:tcPr>
            <w:tcW w:type="dxa" w:w="5040"/>
            <w:tcMar>
              <w:top w:w="70" w:type="dxa"/>
              <w:start w:w="70" w:type="dxa"/>
              <w:bottom w:w="70" w:type="dxa"/>
              <w:end w:w="70" w:type="dxa"/>
            </w:tcMar>
            <w:vAlign w:val="center"/>
            <w:shd w:fill="E7F5F4"/>
          </w:tcPr>
          <w:p>
            <w:r>
              <w:t>Correct. Serious self-harm risk requires safety-focused action; Evidence Code 1024 recognizes a privilege exception when disclosure is necessary to prevent threatened danger.</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Wait for the next scheduled session because only threats to other people permit action.</w:t>
            </w:r>
          </w:p>
        </w:tc>
        <w:tc>
          <w:tcPr>
            <w:tcW w:type="dxa" w:w="5040"/>
            <w:tcMar>
              <w:top w:w="70" w:type="dxa"/>
              <w:start w:w="70" w:type="dxa"/>
              <w:bottom w:w="70" w:type="dxa"/>
              <w:end w:w="70" w:type="dxa"/>
            </w:tcMar>
            <w:vAlign w:val="center"/>
          </w:tcPr>
          <w:p>
            <w:r>
              <w:t>Incorrect. California privilege law also addresses danger to self, and clinical safety duties require immediate assessment.</w:t>
            </w:r>
          </w:p>
        </w:tc>
      </w:tr>
    </w:tbl>
    <w:p>
      <w:pPr>
        <w:pStyle w:val="Heading2"/>
      </w:pPr>
      <w:r>
        <w:t>Why the Key Controls</w:t>
      </w:r>
    </w:p>
    <w:p>
      <w:r>
        <w:t>Serious self-harm risk requires safety-focused action; Evidence Code 1024 recognizes a privilege exception when disclosure is necessary to prevent threatened danger.</w:t>
      </w:r>
    </w:p>
    <w:p>
      <w:pPr>
        <w:pStyle w:val="Heading2"/>
      </w:pPr>
      <w:r>
        <w:t>CTA Exam Strategy</w:t>
      </w:r>
    </w:p>
    <w:p>
      <w:r>
        <w:t>Identify the legal threshold, who has the duty, the required timing or protective step, and the narrow scope of any disclosure.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Suicide Risk and Privilege Exception</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Crisis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WB5-C2 Avoiding and Preventing Client Harm</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SUICIDE-SAFETY-DISCLOSURE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Evidence Code 1024; applicable California crisis and confidentiality law.</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13 - Controlled Rationale</w:t>
      </w:r>
    </w:p>
    <w:p>
      <w:r>
        <w:rPr>
          <w:b/>
        </w:rPr>
        <w:t xml:space="preserve">Item ID: </w:t>
      </w:r>
      <w:r>
        <w:t>LPCC-LE-CUM-A-013</w:t>
      </w:r>
    </w:p>
    <w:p>
      <w:r>
        <w:rPr>
          <w:b/>
        </w:rPr>
        <w:t xml:space="preserve">Stem: </w:t>
      </w:r>
      <w:r>
        <w:t>An LPCC evaluates a client who appears unable to provide for basic personal safety because of a severe mental disorder. The LPCC is not personally designated by the county to initiate a 5150 detention. What should the LPCC do FIRST?</w:t>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Tell the client to return later if basic-needs problems continue for 72 hours.</w:t>
            </w:r>
          </w:p>
        </w:tc>
        <w:tc>
          <w:tcPr>
            <w:tcW w:type="dxa" w:w="5040"/>
            <w:tcMar>
              <w:top w:w="70" w:type="dxa"/>
              <w:start w:w="70" w:type="dxa"/>
              <w:bottom w:w="70" w:type="dxa"/>
              <w:end w:w="70" w:type="dxa"/>
            </w:tcMar>
            <w:vAlign w:val="center"/>
          </w:tcPr>
          <w:p>
            <w:r>
              <w:t>Incorrect. The decision depends on current risk and legal criteria, not an arbitrary waiting period.</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Complete a 5150 application solely because the LPCC holds a California license.</w:t>
            </w:r>
          </w:p>
        </w:tc>
        <w:tc>
          <w:tcPr>
            <w:tcW w:type="dxa" w:w="5040"/>
            <w:tcMar>
              <w:top w:w="70" w:type="dxa"/>
              <w:start w:w="70" w:type="dxa"/>
              <w:bottom w:w="70" w:type="dxa"/>
              <w:end w:w="70" w:type="dxa"/>
            </w:tcMar>
            <w:vAlign w:val="center"/>
          </w:tcPr>
          <w:p>
            <w:r>
              <w:t>Incorrect. Licensure alone does not automatically confer county-designated detention authority.</w:t>
            </w:r>
          </w:p>
        </w:tc>
      </w:tr>
      <w:tr>
        <w:tc>
          <w:tcPr>
            <w:tcW w:type="dxa" w:w="792"/>
            <w:tcMar>
              <w:top w:w="70" w:type="dxa"/>
              <w:start w:w="70" w:type="dxa"/>
              <w:bottom w:w="70" w:type="dxa"/>
              <w:end w:w="70" w:type="dxa"/>
            </w:tcMar>
            <w:vAlign w:val="center"/>
            <w:shd w:fill="E7F5F4"/>
          </w:tcPr>
          <w:p>
            <w:r>
              <w:rPr>
                <w:b/>
              </w:rPr>
              <w:t>C</w:t>
            </w:r>
          </w:p>
        </w:tc>
        <w:tc>
          <w:tcPr>
            <w:tcW w:type="dxa" w:w="4392"/>
            <w:tcMar>
              <w:top w:w="70" w:type="dxa"/>
              <w:start w:w="70" w:type="dxa"/>
              <w:bottom w:w="70" w:type="dxa"/>
              <w:end w:w="70" w:type="dxa"/>
            </w:tcMar>
            <w:vAlign w:val="center"/>
            <w:shd w:fill="E7F5F4"/>
          </w:tcPr>
          <w:p>
            <w:r>
              <w:t>Assess and document the factual risk, determine whether emergency evaluation is indicated, and activate the appropriate authorized county or emergency pathway rather than assuming detention authority the LPCC does not have.</w:t>
            </w:r>
          </w:p>
        </w:tc>
        <w:tc>
          <w:tcPr>
            <w:tcW w:type="dxa" w:w="5040"/>
            <w:tcMar>
              <w:top w:w="70" w:type="dxa"/>
              <w:start w:w="70" w:type="dxa"/>
              <w:bottom w:w="70" w:type="dxa"/>
              <w:end w:w="70" w:type="dxa"/>
            </w:tcMar>
            <w:vAlign w:val="center"/>
            <w:shd w:fill="E7F5F4"/>
          </w:tcPr>
          <w:p>
            <w:r>
              <w:t>Correct. Crisis reasoning separates clinical assessment from legal authority. Section 5150 detention authority belongs to persons authorized by statute/county designation; the LPCC should protect the client while using the lawful pathway.</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Avoid emergency consultation because involuntary care is outside counseling practice.</w:t>
            </w:r>
          </w:p>
        </w:tc>
        <w:tc>
          <w:tcPr>
            <w:tcW w:type="dxa" w:w="5040"/>
            <w:tcMar>
              <w:top w:w="70" w:type="dxa"/>
              <w:start w:w="70" w:type="dxa"/>
              <w:bottom w:w="70" w:type="dxa"/>
              <w:end w:w="70" w:type="dxa"/>
            </w:tcMar>
            <w:vAlign w:val="center"/>
          </w:tcPr>
          <w:p>
            <w:r>
              <w:t>Incorrect. An LPCC still has responsibility to assess risk and coordinate appropriate emergency care within role.</w:t>
            </w:r>
          </w:p>
        </w:tc>
      </w:tr>
    </w:tbl>
    <w:p>
      <w:pPr>
        <w:pStyle w:val="Heading2"/>
      </w:pPr>
      <w:r>
        <w:t>Why the Key Controls</w:t>
      </w:r>
    </w:p>
    <w:p>
      <w:r>
        <w:t>Crisis reasoning separates clinical assessment from legal authority. Section 5150 detention authority belongs to persons authorized by statute/county designation; the LPCC should protect the client while using the lawful pathway.</w:t>
      </w:r>
    </w:p>
    <w:p>
      <w:pPr>
        <w:pStyle w:val="Heading2"/>
      </w:pPr>
      <w:r>
        <w:t>CTA Exam Strategy</w:t>
      </w:r>
    </w:p>
    <w:p>
      <w:r>
        <w:t>Identify the legal threshold, who has the duty, the required timing or protective step, and the narrow scope of any disclosure.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Grave Disability and Crisis Escalation</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Crisis Scenario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WB5-C2 Avoiding and Preventing Client Harm</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GRAVE-DISABILITY-CRISIS</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Welfare &amp; Institutions Code 5150 and 5150.05; local county designation/procedure.</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14 - Controlled Rationale</w:t>
      </w:r>
    </w:p>
    <w:p>
      <w:r>
        <w:rPr>
          <w:b/>
        </w:rPr>
        <w:t xml:space="preserve">Item ID: </w:t>
      </w:r>
      <w:r>
        <w:t>LPCC-LE-CUM-A-014</w:t>
      </w:r>
    </w:p>
    <w:p>
      <w:r>
        <w:rPr>
          <w:b/>
        </w:rPr>
        <w:t xml:space="preserve">Stem: </w:t>
      </w:r>
      <w:r>
        <w:t>Two mandated reporters jointly learn facts creating reasonable suspicion of child abuse and agree that one of them will make the report. What remains true for the other reporter?</w:t>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rPr>
                <w:b/>
              </w:rPr>
              <w:t>A</w:t>
            </w:r>
          </w:p>
        </w:tc>
        <w:tc>
          <w:tcPr>
            <w:tcW w:type="dxa" w:w="4392"/>
            <w:tcMar>
              <w:top w:w="70" w:type="dxa"/>
              <w:start w:w="70" w:type="dxa"/>
              <w:bottom w:w="70" w:type="dxa"/>
              <w:end w:w="70" w:type="dxa"/>
            </w:tcMar>
            <w:vAlign w:val="center"/>
            <w:shd w:fill="E7F5F4"/>
          </w:tcPr>
          <w:p>
            <w:r>
              <w:t>If the designated reporter fails to make the report, the other mandated reporter who knows of the failure must make the report.</w:t>
            </w:r>
          </w:p>
        </w:tc>
        <w:tc>
          <w:tcPr>
            <w:tcW w:type="dxa" w:w="5040"/>
            <w:tcMar>
              <w:top w:w="70" w:type="dxa"/>
              <w:start w:w="70" w:type="dxa"/>
              <w:bottom w:w="70" w:type="dxa"/>
              <w:end w:w="70" w:type="dxa"/>
            </w:tcMar>
            <w:vAlign w:val="center"/>
            <w:shd w:fill="E7F5F4"/>
          </w:tcPr>
          <w:p>
            <w:r>
              <w:t>Correct. Penal Code 11166 permits a jointly selected reporter in specified circumstances but preserves individual responsibility when a designated reporter fails.</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The other reporter must always make a duplicate report even after confirming the designated report was made.</w:t>
            </w:r>
          </w:p>
        </w:tc>
        <w:tc>
          <w:tcPr>
            <w:tcW w:type="dxa" w:w="5040"/>
            <w:tcMar>
              <w:top w:w="70" w:type="dxa"/>
              <w:start w:w="70" w:type="dxa"/>
              <w:bottom w:w="70" w:type="dxa"/>
              <w:end w:w="70" w:type="dxa"/>
            </w:tcMar>
            <w:vAlign w:val="center"/>
          </w:tcPr>
          <w:p>
            <w:r>
              <w:t>Incorrect. A single jointly selected report may satisfy the reporting method when the statutory conditions are met.</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Only the supervisor may decide whether a team report counts.</w:t>
            </w:r>
          </w:p>
        </w:tc>
        <w:tc>
          <w:tcPr>
            <w:tcW w:type="dxa" w:w="5040"/>
            <w:tcMar>
              <w:top w:w="70" w:type="dxa"/>
              <w:start w:w="70" w:type="dxa"/>
              <w:bottom w:w="70" w:type="dxa"/>
              <w:end w:w="70" w:type="dxa"/>
            </w:tcMar>
            <w:vAlign w:val="center"/>
          </w:tcPr>
          <w:p>
            <w:r>
              <w:t>Incorrect. The reporting rules are statutory and the duty is individual; supervisor permission is not the controlling factor.</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The other reporter has no further responsibility once the team agrees on a reporter.</w:t>
            </w:r>
          </w:p>
        </w:tc>
        <w:tc>
          <w:tcPr>
            <w:tcW w:type="dxa" w:w="5040"/>
            <w:tcMar>
              <w:top w:w="70" w:type="dxa"/>
              <w:start w:w="70" w:type="dxa"/>
              <w:bottom w:w="70" w:type="dxa"/>
              <w:end w:w="70" w:type="dxa"/>
            </w:tcMar>
            <w:vAlign w:val="center"/>
          </w:tcPr>
          <w:p>
            <w:r>
              <w:t>Incorrect. The statute preserves a duty to act if the designated reporter fails.</w:t>
            </w:r>
          </w:p>
        </w:tc>
      </w:tr>
    </w:tbl>
    <w:p>
      <w:pPr>
        <w:pStyle w:val="Heading2"/>
      </w:pPr>
      <w:r>
        <w:t>Why the Key Controls</w:t>
      </w:r>
    </w:p>
    <w:p>
      <w:r>
        <w:t>Penal Code 11166 permits a jointly selected reporter in specified circumstances but preserves individual responsibility when a designated reporter fails.</w:t>
      </w:r>
    </w:p>
    <w:p>
      <w:pPr>
        <w:pStyle w:val="Heading2"/>
      </w:pPr>
      <w:r>
        <w:t>CTA Exam Strategy</w:t>
      </w:r>
    </w:p>
    <w:p>
      <w:r>
        <w:t>Identify the legal threshold, who has the duty, the required timing or protective step, and the narrow scope of any disclosure.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Individual Reporting Duty</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Foundational Legal Rule / Direct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WB5-C2 Avoiding and Preventing Client Harm</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REPORTING-INDIVIDUAL-DUTY</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Penal Code 11166(h)-(i).</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15 - Controlled Rationale</w:t>
      </w:r>
    </w:p>
    <w:p>
      <w:r>
        <w:rPr>
          <w:b/>
        </w:rPr>
        <w:t xml:space="preserve">Item ID: </w:t>
      </w:r>
      <w:r>
        <w:t>LPCC-LE-CUM-A-015</w:t>
      </w:r>
    </w:p>
    <w:p>
      <w:r>
        <w:rPr>
          <w:b/>
        </w:rPr>
        <w:t xml:space="preserve">Stem: </w:t>
      </w:r>
      <w:r>
        <w:t>An LPCC must make a legally authorized safety disclosure. Which principle BEST guides how much confidential information to disclose?</w:t>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rPr>
                <w:b/>
              </w:rPr>
              <w:t>A</w:t>
            </w:r>
          </w:p>
        </w:tc>
        <w:tc>
          <w:tcPr>
            <w:tcW w:type="dxa" w:w="4392"/>
            <w:tcMar>
              <w:top w:w="70" w:type="dxa"/>
              <w:start w:w="70" w:type="dxa"/>
              <w:bottom w:w="70" w:type="dxa"/>
              <w:end w:w="70" w:type="dxa"/>
            </w:tcMar>
            <w:vAlign w:val="center"/>
            <w:shd w:fill="E7F5F4"/>
          </w:tcPr>
          <w:p>
            <w:r>
              <w:t>Disclose the information reasonably necessary for the lawful protective purpose and avoid unrelated treatment details.</w:t>
            </w:r>
          </w:p>
        </w:tc>
        <w:tc>
          <w:tcPr>
            <w:tcW w:type="dxa" w:w="5040"/>
            <w:tcMar>
              <w:top w:w="70" w:type="dxa"/>
              <w:start w:w="70" w:type="dxa"/>
              <w:bottom w:w="70" w:type="dxa"/>
              <w:end w:w="70" w:type="dxa"/>
            </w:tcMar>
            <w:vAlign w:val="center"/>
            <w:shd w:fill="E7F5F4"/>
          </w:tcPr>
          <w:p>
            <w:r>
              <w:t>Correct. A safety exception does not convert the entire record into unrestricted information; disclosure should remain tied to the authorized purpose.</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Release the entire record whenever any confidentiality exception applies.</w:t>
            </w:r>
          </w:p>
        </w:tc>
        <w:tc>
          <w:tcPr>
            <w:tcW w:type="dxa" w:w="5040"/>
            <w:tcMar>
              <w:top w:w="70" w:type="dxa"/>
              <w:start w:w="70" w:type="dxa"/>
              <w:bottom w:w="70" w:type="dxa"/>
              <w:end w:w="70" w:type="dxa"/>
            </w:tcMar>
            <w:vAlign w:val="center"/>
          </w:tcPr>
          <w:p>
            <w:r>
              <w:t>Incorrect. An exception is not a blanket authorization for unrelated information.</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Disclose nothing unless the client signs a release.</w:t>
            </w:r>
          </w:p>
        </w:tc>
        <w:tc>
          <w:tcPr>
            <w:tcW w:type="dxa" w:w="5040"/>
            <w:tcMar>
              <w:top w:w="70" w:type="dxa"/>
              <w:start w:w="70" w:type="dxa"/>
              <w:bottom w:w="70" w:type="dxa"/>
              <w:end w:w="70" w:type="dxa"/>
            </w:tcMar>
            <w:vAlign w:val="center"/>
          </w:tcPr>
          <w:p>
            <w:r>
              <w:t>Incorrect. Some protective disclosures are authorized or required without client authorization.</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Post the concern in the shared organizational chat so the widest team can respond.</w:t>
            </w:r>
          </w:p>
        </w:tc>
        <w:tc>
          <w:tcPr>
            <w:tcW w:type="dxa" w:w="5040"/>
            <w:tcMar>
              <w:top w:w="70" w:type="dxa"/>
              <w:start w:w="70" w:type="dxa"/>
              <w:bottom w:w="70" w:type="dxa"/>
              <w:end w:w="70" w:type="dxa"/>
            </w:tcMar>
            <w:vAlign w:val="center"/>
          </w:tcPr>
          <w:p>
            <w:r>
              <w:t>Incorrect. Wider distribution is not automatically necessary or authorized.</w:t>
            </w:r>
          </w:p>
        </w:tc>
      </w:tr>
    </w:tbl>
    <w:p>
      <w:pPr>
        <w:pStyle w:val="Heading2"/>
      </w:pPr>
      <w:r>
        <w:t>Why the Key Controls</w:t>
      </w:r>
    </w:p>
    <w:p>
      <w:r>
        <w:t>A safety exception does not convert the entire record into unrestricted information; disclosure should remain tied to the authorized purpose.</w:t>
      </w:r>
    </w:p>
    <w:p>
      <w:pPr>
        <w:pStyle w:val="Heading2"/>
      </w:pPr>
      <w:r>
        <w:t>CTA Exam Strategy</w:t>
      </w:r>
    </w:p>
    <w:p>
      <w:r>
        <w:t>Identify the legal threshold, who has the duty, the required timing or protective step, and the narrow scope of any disclosure.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Necessary Scope of Protective Disclosure</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Foundational Application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WB8-C2 Limits on Disclosure</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DISCLOSURE-SCOPE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Applicable California confidentiality/mandated-reporting law; HIPAA minimum-necessary principles when applicable.</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16 - Controlled Rationale</w:t>
      </w:r>
    </w:p>
    <w:p>
      <w:r>
        <w:rPr>
          <w:b/>
        </w:rPr>
        <w:t xml:space="preserve">Item ID: </w:t>
      </w:r>
      <w:r>
        <w:t>LPCC-LE-CUM-A-016</w:t>
      </w:r>
    </w:p>
    <w:p>
      <w:r>
        <w:rPr>
          <w:b/>
        </w:rPr>
        <w:t xml:space="preserve">Stem: </w:t>
      </w:r>
      <w:r>
        <w:t>In litigation, counsel argues that every therapy communication is privileged and can never be disclosed, while another party argues that filing a lawsuit automatically waives all psychotherapy privilege. Which analysis is BEST?</w:t>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The therapist should decide based only on which party appears more credible.</w:t>
            </w:r>
          </w:p>
        </w:tc>
        <w:tc>
          <w:tcPr>
            <w:tcW w:type="dxa" w:w="5040"/>
            <w:tcMar>
              <w:top w:w="70" w:type="dxa"/>
              <w:start w:w="70" w:type="dxa"/>
              <w:bottom w:w="70" w:type="dxa"/>
              <w:end w:w="70" w:type="dxa"/>
            </w:tcMar>
            <w:vAlign w:val="center"/>
          </w:tcPr>
          <w:p>
            <w:r>
              <w:t>Incorrect. Privilege and disclosure are governed by legal authority, not the therapist’s preference between litigants.</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Privilege can never be limited once therapy begins.</w:t>
            </w:r>
          </w:p>
        </w:tc>
        <w:tc>
          <w:tcPr>
            <w:tcW w:type="dxa" w:w="5040"/>
            <w:tcMar>
              <w:top w:w="70" w:type="dxa"/>
              <w:start w:w="70" w:type="dxa"/>
              <w:bottom w:w="70" w:type="dxa"/>
              <w:end w:w="70" w:type="dxa"/>
            </w:tcMar>
            <w:vAlign w:val="center"/>
          </w:tcPr>
          <w:p>
            <w:r>
              <w:t>Incorrect. California Evidence Code includes specific exceptions.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Any lawsuit automatically makes the complete psychotherapy record discoverable.</w:t>
            </w:r>
          </w:p>
        </w:tc>
        <w:tc>
          <w:tcPr>
            <w:tcW w:type="dxa" w:w="5040"/>
            <w:tcMar>
              <w:top w:w="70" w:type="dxa"/>
              <w:start w:w="70" w:type="dxa"/>
              <w:bottom w:w="70" w:type="dxa"/>
              <w:end w:w="70" w:type="dxa"/>
            </w:tcMar>
            <w:vAlign w:val="center"/>
          </w:tcPr>
          <w:p>
            <w:r>
              <w:t>Incorrect. Filing litigation does not create a universal automatic waiver of every confidential communication.</w:t>
            </w:r>
          </w:p>
        </w:tc>
      </w:tr>
      <w:tr>
        <w:tc>
          <w:tcPr>
            <w:tcW w:type="dxa" w:w="792"/>
            <w:tcMar>
              <w:top w:w="70" w:type="dxa"/>
              <w:start w:w="70" w:type="dxa"/>
              <w:bottom w:w="70" w:type="dxa"/>
              <w:end w:w="70" w:type="dxa"/>
            </w:tcMar>
            <w:vAlign w:val="center"/>
            <w:shd w:fill="E7F5F4"/>
          </w:tcPr>
          <w:p>
            <w:r>
              <w:rPr>
                <w:b/>
              </w:rPr>
              <w:t>D</w:t>
            </w:r>
          </w:p>
        </w:tc>
        <w:tc>
          <w:tcPr>
            <w:tcW w:type="dxa" w:w="4392"/>
            <w:tcMar>
              <w:top w:w="70" w:type="dxa"/>
              <w:start w:w="70" w:type="dxa"/>
              <w:bottom w:w="70" w:type="dxa"/>
              <w:end w:w="70" w:type="dxa"/>
            </w:tcMar>
            <w:vAlign w:val="center"/>
            <w:shd w:fill="E7F5F4"/>
          </w:tcPr>
          <w:p>
            <w:r>
              <w:t>Identify the holder of privilege, the specific issue and legal process, and any applicable statutory exception or waiver; avoid both blanket nondisclosure and blanket disclosure.</w:t>
            </w:r>
          </w:p>
        </w:tc>
        <w:tc>
          <w:tcPr>
            <w:tcW w:type="dxa" w:w="5040"/>
            <w:tcMar>
              <w:top w:w="70" w:type="dxa"/>
              <w:start w:w="70" w:type="dxa"/>
              <w:bottom w:w="70" w:type="dxa"/>
              <w:end w:w="70" w:type="dxa"/>
            </w:tcMar>
            <w:vAlign w:val="center"/>
            <w:shd w:fill="E7F5F4"/>
          </w:tcPr>
          <w:p>
            <w:r>
              <w:t>Correct. Psychotherapist-patient privilege is strong but subject to defined exceptions and waiver rules. The proper response is issue-specific legal analysis rather than an absolute rule.</w:t>
            </w:r>
          </w:p>
        </w:tc>
      </w:tr>
    </w:tbl>
    <w:p>
      <w:pPr>
        <w:pStyle w:val="Heading2"/>
      </w:pPr>
      <w:r>
        <w:t>Why the Key Controls</w:t>
      </w:r>
    </w:p>
    <w:p>
      <w:r>
        <w:t>Psychotherapist-patient privilege is strong but subject to defined exceptions and waiver rules. The proper response is issue-specific legal analysis rather than an absolute rule.</w:t>
      </w:r>
    </w:p>
    <w:p>
      <w:pPr>
        <w:pStyle w:val="Heading2"/>
      </w:pPr>
      <w:r>
        <w:t>CTA Exam Strategy</w:t>
      </w:r>
    </w:p>
    <w:p>
      <w:r>
        <w:t>Identify the legal threshold, who has the duty, the required timing or protective step, and the narrow scope of any disclosure.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Privilege Exception and Legal Process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Integrated Legal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WB3-C6 Professional Roles; WB8-C4 Record Requests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PRIVILEGE-EXCEPTION</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Evidence Code 1014, 1020-1027 and applicable waiver/legal-process provisions.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17 - Controlled Rationale</w:t>
      </w:r>
    </w:p>
    <w:p>
      <w:r>
        <w:rPr>
          <w:b/>
        </w:rPr>
        <w:t xml:space="preserve">Item ID: </w:t>
      </w:r>
      <w:r>
        <w:t>LPCC-LE-CUM-A-017</w:t>
      </w:r>
    </w:p>
    <w:p>
      <w:r>
        <w:rPr>
          <w:b/>
        </w:rPr>
        <w:t xml:space="preserve">Stem: </w:t>
      </w:r>
      <w:r>
        <w:t>An APCC creates a professional directory profile that lists only “Jordan Lee, APCC” and a registration number. Which correction is BEST under the advertising rule operative April 1, 2026?</w:t>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Remove all online advertising because APCCs may never advertise.</w:t>
            </w:r>
          </w:p>
        </w:tc>
        <w:tc>
          <w:tcPr>
            <w:tcW w:type="dxa" w:w="5040"/>
            <w:tcMar>
              <w:top w:w="70" w:type="dxa"/>
              <w:start w:w="70" w:type="dxa"/>
              <w:bottom w:w="70" w:type="dxa"/>
              <w:end w:w="70" w:type="dxa"/>
            </w:tcMar>
            <w:vAlign w:val="center"/>
          </w:tcPr>
          <w:p>
            <w:r>
              <w:t>Incorrect. Registrants may advertise when the applicable requirements are met.</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Keep the profile unchanged because a registration number alone proves supervised status.</w:t>
            </w:r>
          </w:p>
        </w:tc>
        <w:tc>
          <w:tcPr>
            <w:tcW w:type="dxa" w:w="5040"/>
            <w:tcMar>
              <w:top w:w="70" w:type="dxa"/>
              <w:start w:w="70" w:type="dxa"/>
              <w:bottom w:w="70" w:type="dxa"/>
              <w:end w:w="70" w:type="dxa"/>
            </w:tcMar>
            <w:vAlign w:val="center"/>
          </w:tcPr>
          <w:p>
            <w:r>
              <w:t>Incorrect. The regulation requires more than a number and does not allow supervised status to be inferred.</w:t>
            </w:r>
          </w:p>
        </w:tc>
      </w:tr>
      <w:tr>
        <w:tc>
          <w:tcPr>
            <w:tcW w:type="dxa" w:w="792"/>
            <w:tcMar>
              <w:top w:w="70" w:type="dxa"/>
              <w:start w:w="70" w:type="dxa"/>
              <w:bottom w:w="70" w:type="dxa"/>
              <w:end w:w="70" w:type="dxa"/>
            </w:tcMar>
            <w:vAlign w:val="center"/>
            <w:shd w:fill="E7F5F4"/>
          </w:tcPr>
          <w:p>
            <w:r>
              <w:rPr>
                <w:b/>
              </w:rPr>
              <w:t>C</w:t>
            </w:r>
          </w:p>
        </w:tc>
        <w:tc>
          <w:tcPr>
            <w:tcW w:type="dxa" w:w="4392"/>
            <w:tcMar>
              <w:top w:w="70" w:type="dxa"/>
              <w:start w:w="70" w:type="dxa"/>
              <w:bottom w:w="70" w:type="dxa"/>
              <w:end w:w="70" w:type="dxa"/>
            </w:tcMar>
            <w:vAlign w:val="center"/>
            <w:shd w:fill="E7F5F4"/>
          </w:tcPr>
          <w:p>
            <w:r>
              <w:t>Include the Board-filed first and last name, complete registration title when using APCC, registration number, employer or volunteer entity, and a statement that the APCC is supervised by a licensed person.</w:t>
            </w:r>
          </w:p>
        </w:tc>
        <w:tc>
          <w:tcPr>
            <w:tcW w:type="dxa" w:w="5040"/>
            <w:tcMar>
              <w:top w:w="70" w:type="dxa"/>
              <w:start w:w="70" w:type="dxa"/>
              <w:bottom w:w="70" w:type="dxa"/>
              <w:end w:w="70" w:type="dxa"/>
            </w:tcMar>
            <w:vAlign w:val="center"/>
            <w:shd w:fill="E7F5F4"/>
          </w:tcPr>
          <w:p>
            <w:r>
              <w:t>Correct. 16 CCR 1811 requires identity, title, number, and additional employer/entity and supervised-status information for registrants; the APCC abbreviation has a complete-title condition.</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Add the supervisor’s home address and personal phone number.</w:t>
            </w:r>
          </w:p>
        </w:tc>
        <w:tc>
          <w:tcPr>
            <w:tcW w:type="dxa" w:w="5040"/>
            <w:tcMar>
              <w:top w:w="70" w:type="dxa"/>
              <w:start w:w="70" w:type="dxa"/>
              <w:bottom w:w="70" w:type="dxa"/>
              <w:end w:w="70" w:type="dxa"/>
            </w:tcMar>
            <w:vAlign w:val="center"/>
          </w:tcPr>
          <w:p>
            <w:r>
              <w:t>Incorrect. Those are not the minimum advertising elements required by the regulation.</w:t>
            </w:r>
          </w:p>
        </w:tc>
      </w:tr>
    </w:tbl>
    <w:p>
      <w:pPr>
        <w:pStyle w:val="Heading2"/>
      </w:pPr>
      <w:r>
        <w:t>Why the Key Controls</w:t>
      </w:r>
    </w:p>
    <w:p>
      <w:r>
        <w:t>16 CCR 1811 requires identity, title, number, and additional employer/entity and supervised-status information for registrants; the APCC abbreviation has a complete-title condition.</w:t>
      </w:r>
    </w:p>
    <w:p>
      <w:pPr>
        <w:pStyle w:val="Heading2"/>
      </w:pPr>
      <w:r>
        <w:t>CTA Exam Strategy</w:t>
      </w:r>
    </w:p>
    <w:p>
      <w:r>
        <w:t>Separate professional status, lawful setting/scope, representation, documentation, and conduct requirements; consent cannot expand legal authority.</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APCC Advertising Requirements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Foundational Legal Rule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License-Specific Module Unit 4; WB2-C5</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APCC-ADVERTISING</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16 CCR 1811 (operative April 1, 2026); BBS Advertising Guidelines.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18 - Controlled Rationale</w:t>
      </w:r>
    </w:p>
    <w:p>
      <w:r>
        <w:rPr>
          <w:b/>
        </w:rPr>
        <w:t xml:space="preserve">Item ID: </w:t>
      </w:r>
      <w:r>
        <w:t>LPCC-LE-CUM-A-018</w:t>
      </w:r>
    </w:p>
    <w:p>
      <w:r>
        <w:rPr>
          <w:b/>
        </w:rPr>
        <w:t xml:space="preserve">Stem: </w:t>
      </w:r>
      <w:r>
        <w:t>A private clinic offers an APCC a 1099 independent-contractor position. Clients would pay the APCC directly, the APCC would rent an office from the clinic, and a licensed clinician would be available for optional consultation. What is the BEST response?</w:t>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Accept because a 1099 classification is allowed if supervision is available.</w:t>
            </w:r>
          </w:p>
        </w:tc>
        <w:tc>
          <w:tcPr>
            <w:tcW w:type="dxa" w:w="5040"/>
            <w:tcMar>
              <w:top w:w="70" w:type="dxa"/>
              <w:start w:w="70" w:type="dxa"/>
              <w:bottom w:w="70" w:type="dxa"/>
              <w:end w:w="70" w:type="dxa"/>
            </w:tcMar>
            <w:vAlign w:val="center"/>
          </w:tcPr>
          <w:p>
            <w:r>
              <w:t>Incorrect. Independent-contractor mental-health practice is prohibited for an APCC.</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Accept if clients sign forms acknowledging that the APCC is unlicensed.</w:t>
            </w:r>
          </w:p>
        </w:tc>
        <w:tc>
          <w:tcPr>
            <w:tcW w:type="dxa" w:w="5040"/>
            <w:tcMar>
              <w:top w:w="70" w:type="dxa"/>
              <w:start w:w="70" w:type="dxa"/>
              <w:bottom w:w="70" w:type="dxa"/>
              <w:end w:w="70" w:type="dxa"/>
            </w:tcMar>
            <w:vAlign w:val="center"/>
          </w:tcPr>
          <w:p>
            <w:r>
              <w:t>Incorrect. Client disclosure does not legalize a prohibited employment/payment arrangement.</w:t>
            </w:r>
          </w:p>
        </w:tc>
      </w:tr>
      <w:tr>
        <w:tc>
          <w:tcPr>
            <w:tcW w:type="dxa" w:w="792"/>
            <w:tcMar>
              <w:top w:w="70" w:type="dxa"/>
              <w:start w:w="70" w:type="dxa"/>
              <w:bottom w:w="70" w:type="dxa"/>
              <w:end w:w="70" w:type="dxa"/>
            </w:tcMar>
            <w:vAlign w:val="center"/>
            <w:shd w:fill="E7F5F4"/>
          </w:tcPr>
          <w:p>
            <w:r>
              <w:rPr>
                <w:b/>
              </w:rPr>
              <w:t>C</w:t>
            </w:r>
          </w:p>
        </w:tc>
        <w:tc>
          <w:tcPr>
            <w:tcW w:type="dxa" w:w="4392"/>
            <w:tcMar>
              <w:top w:w="70" w:type="dxa"/>
              <w:start w:w="70" w:type="dxa"/>
              <w:bottom w:w="70" w:type="dxa"/>
              <w:end w:w="70" w:type="dxa"/>
            </w:tcMar>
            <w:vAlign w:val="center"/>
            <w:shd w:fill="E7F5F4"/>
          </w:tcPr>
          <w:p>
            <w:r>
              <w:t>Decline or restructure the arrangement so the APCC works as a lawful employee or volunteer, receives compensation only through the employer if paid, has no prohibited proprietary/rental arrangement, and receives qualifying supervision.</w:t>
            </w:r>
          </w:p>
        </w:tc>
        <w:tc>
          <w:tcPr>
            <w:tcW w:type="dxa" w:w="5040"/>
            <w:tcMar>
              <w:top w:w="70" w:type="dxa"/>
              <w:start w:w="70" w:type="dxa"/>
              <w:bottom w:w="70" w:type="dxa"/>
              <w:end w:w="70" w:type="dxa"/>
            </w:tcMar>
            <w:vAlign w:val="center"/>
            <w:shd w:fill="E7F5F4"/>
          </w:tcPr>
          <w:p>
            <w:r>
              <w:t>Correct. BPC 4999.46.3 prohibits independent-contractor practice for an APCC, direct remuneration from clients, and specified proprietary/rental arrangements; consultation is not a substitute for required supervision.</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Accept if the APCC does not count the hours toward licensure.</w:t>
            </w:r>
          </w:p>
        </w:tc>
        <w:tc>
          <w:tcPr>
            <w:tcW w:type="dxa" w:w="5040"/>
            <w:tcMar>
              <w:top w:w="70" w:type="dxa"/>
              <w:start w:w="70" w:type="dxa"/>
              <w:bottom w:w="70" w:type="dxa"/>
              <w:end w:w="70" w:type="dxa"/>
            </w:tcMar>
            <w:vAlign w:val="center"/>
          </w:tcPr>
          <w:p>
            <w:r>
              <w:t>Incorrect. The restrictions apply to the performance of professional services, not only to hours claimed for licensure.</w:t>
            </w:r>
          </w:p>
        </w:tc>
      </w:tr>
    </w:tbl>
    <w:p>
      <w:pPr>
        <w:pStyle w:val="Heading2"/>
      </w:pPr>
      <w:r>
        <w:t>Why the Key Controls</w:t>
      </w:r>
    </w:p>
    <w:p>
      <w:r>
        <w:t>BPC 4999.46.3 prohibits independent-contractor practice for an APCC, direct remuneration from clients, and specified proprietary/rental arrangements; consultation is not a substitute for required supervision.</w:t>
      </w:r>
    </w:p>
    <w:p>
      <w:pPr>
        <w:pStyle w:val="Heading2"/>
      </w:pPr>
      <w:r>
        <w:t>CTA Exam Strategy</w:t>
      </w:r>
    </w:p>
    <w:p>
      <w:r>
        <w:t>Separate professional status, lawful setting/scope, representation, documentation, and conduct requirements; consent cannot expand legal authority.</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APCC Employment, Payment, and Supervision</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Integrated Legal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License-Specific Module Unit 5; WB3-C5</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APCC-EMPLOYMENT-PAYMENT</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BPC 4999.46.3; applicable supervision regulations.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19 - Controlled Rationale</w:t>
      </w:r>
    </w:p>
    <w:p>
      <w:r>
        <w:rPr>
          <w:b/>
        </w:rPr>
        <w:t xml:space="preserve">Item ID: </w:t>
      </w:r>
      <w:r>
        <w:t>LPCC-LE-CUM-A-019</w:t>
      </w:r>
    </w:p>
    <w:p>
      <w:r>
        <w:rPr>
          <w:b/>
        </w:rPr>
        <w:t xml:space="preserve">Stem: </w:t>
      </w:r>
      <w:r>
        <w:t>An LPCC is asked to administer an individually administered intelligence test to answer a school-placement question. The LPCC is otherwise experienced with counseling assessments. What is the BEST response?</w:t>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Administer it after reading the manual because competence is the only issue.</w:t>
            </w:r>
          </w:p>
        </w:tc>
        <w:tc>
          <w:tcPr>
            <w:tcW w:type="dxa" w:w="5040"/>
            <w:tcMar>
              <w:top w:w="70" w:type="dxa"/>
              <w:start w:w="70" w:type="dxa"/>
              <w:bottom w:w="70" w:type="dxa"/>
              <w:end w:w="70" w:type="dxa"/>
            </w:tcMar>
            <w:vAlign w:val="center"/>
          </w:tcPr>
          <w:p>
            <w:r>
              <w:t>Incorrect. Training cannot convert an expressly excluded activity into LPCC scope.</w:t>
            </w:r>
          </w:p>
        </w:tc>
      </w:tr>
      <w:tr>
        <w:tc>
          <w:tcPr>
            <w:tcW w:type="dxa" w:w="792"/>
            <w:tcMar>
              <w:top w:w="70" w:type="dxa"/>
              <w:start w:w="70" w:type="dxa"/>
              <w:bottom w:w="70" w:type="dxa"/>
              <w:end w:w="70" w:type="dxa"/>
            </w:tcMar>
            <w:vAlign w:val="center"/>
            <w:shd w:fill="E7F5F4"/>
          </w:tcPr>
          <w:p>
            <w:r>
              <w:rPr>
                <w:b/>
              </w:rPr>
              <w:t>B</w:t>
            </w:r>
          </w:p>
        </w:tc>
        <w:tc>
          <w:tcPr>
            <w:tcW w:type="dxa" w:w="4392"/>
            <w:tcMar>
              <w:top w:w="70" w:type="dxa"/>
              <w:start w:w="70" w:type="dxa"/>
              <w:bottom w:w="70" w:type="dxa"/>
              <w:end w:w="70" w:type="dxa"/>
            </w:tcMar>
            <w:vAlign w:val="center"/>
            <w:shd w:fill="E7F5F4"/>
          </w:tcPr>
          <w:p>
            <w:r>
              <w:t>Decline the excluded testing activity and refer to an appropriately qualified professional rather than treating general assessment experience as authority for the test.</w:t>
            </w:r>
          </w:p>
        </w:tc>
        <w:tc>
          <w:tcPr>
            <w:tcW w:type="dxa" w:w="5040"/>
            <w:tcMar>
              <w:top w:w="70" w:type="dxa"/>
              <w:start w:w="70" w:type="dxa"/>
              <w:bottom w:w="70" w:type="dxa"/>
              <w:end w:w="70" w:type="dxa"/>
            </w:tcMar>
            <w:vAlign w:val="center"/>
            <w:shd w:fill="E7F5F4"/>
          </w:tcPr>
          <w:p>
            <w:r>
              <w:t>Correct. California’s LPCC assessment definition includes many assessment activities but expressly excludes individually administered intelligence tests and other specified methods.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Administer the test because LPCC licensure authorizes every psychological assessment.</w:t>
            </w:r>
          </w:p>
        </w:tc>
        <w:tc>
          <w:tcPr>
            <w:tcW w:type="dxa" w:w="5040"/>
            <w:tcMar>
              <w:top w:w="70" w:type="dxa"/>
              <w:start w:w="70" w:type="dxa"/>
              <w:bottom w:w="70" w:type="dxa"/>
              <w:end w:w="70" w:type="dxa"/>
            </w:tcMar>
            <w:vAlign w:val="center"/>
          </w:tcPr>
          <w:p>
            <w:r>
              <w:t>Incorrect. The statute expressly excludes certain testing activities from LPCC assessment.</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Administer it if the client signs informed consent.</w:t>
            </w:r>
          </w:p>
        </w:tc>
        <w:tc>
          <w:tcPr>
            <w:tcW w:type="dxa" w:w="5040"/>
            <w:tcMar>
              <w:top w:w="70" w:type="dxa"/>
              <w:start w:w="70" w:type="dxa"/>
              <w:bottom w:w="70" w:type="dxa"/>
              <w:end w:w="70" w:type="dxa"/>
            </w:tcMar>
            <w:vAlign w:val="center"/>
          </w:tcPr>
          <w:p>
            <w:r>
              <w:t>Incorrect. Consent cannot expand statutory scope.</w:t>
            </w:r>
          </w:p>
        </w:tc>
      </w:tr>
    </w:tbl>
    <w:p>
      <w:pPr>
        <w:pStyle w:val="Heading2"/>
      </w:pPr>
      <w:r>
        <w:t>Why the Key Controls</w:t>
      </w:r>
    </w:p>
    <w:p>
      <w:r>
        <w:t>California’s LPCC assessment definition includes many assessment activities but expressly excludes individually administered intelligence tests and other specified methods.</w:t>
      </w:r>
    </w:p>
    <w:p>
      <w:pPr>
        <w:pStyle w:val="Heading2"/>
      </w:pPr>
      <w:r>
        <w:t>CTA Exam Strategy</w:t>
      </w:r>
    </w:p>
    <w:p>
      <w:r>
        <w:t>Separate professional status, lawful setting/scope, representation, documentation, and conduct requirements; consent cannot expand legal authority.</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LPCC Assessment Scope and Exclusions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Legal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License-Specific Module Unit 3; WB3-C2</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ASSESSMENT-SCOPE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BPC 4999.20(c)-(d); current LPCC examination outline assessment/testing content.</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20 - Controlled Rationale</w:t>
      </w:r>
    </w:p>
    <w:p>
      <w:r>
        <w:rPr>
          <w:b/>
        </w:rPr>
        <w:t xml:space="preserve">Item ID: </w:t>
      </w:r>
      <w:r>
        <w:t>LPCC-LE-CUM-A-020</w:t>
      </w:r>
    </w:p>
    <w:p>
      <w:r>
        <w:rPr>
          <w:b/>
        </w:rPr>
        <w:t xml:space="preserve">Stem: </w:t>
      </w:r>
      <w:r>
        <w:t>A California LPCC closes a case with an adult client whose therapy ends in 2026. Which statement is most accurate about the statutory minimum record-retention rule?</w:t>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rPr>
                <w:b/>
              </w:rPr>
              <w:t>A</w:t>
            </w:r>
          </w:p>
        </w:tc>
        <w:tc>
          <w:tcPr>
            <w:tcW w:type="dxa" w:w="4392"/>
            <w:tcMar>
              <w:top w:w="70" w:type="dxa"/>
              <w:start w:w="70" w:type="dxa"/>
              <w:bottom w:w="70" w:type="dxa"/>
              <w:end w:w="70" w:type="dxa"/>
            </w:tcMar>
            <w:vAlign w:val="center"/>
            <w:shd w:fill="E7F5F4"/>
          </w:tcPr>
          <w:p>
            <w:r>
              <w:t>The LPCC must retain the client’s health-service records for at least seven years from the date therapy is terminated, subject to longer applicable legal holds or other controlling requirements.</w:t>
            </w:r>
          </w:p>
        </w:tc>
        <w:tc>
          <w:tcPr>
            <w:tcW w:type="dxa" w:w="5040"/>
            <w:tcMar>
              <w:top w:w="70" w:type="dxa"/>
              <w:start w:w="70" w:type="dxa"/>
              <w:bottom w:w="70" w:type="dxa"/>
              <w:end w:w="70" w:type="dxa"/>
            </w:tcMar>
            <w:vAlign w:val="center"/>
            <w:shd w:fill="E7F5F4"/>
          </w:tcPr>
          <w:p>
            <w:r>
              <w:t>Correct. BPC 4999.75 establishes a seven-year minimum from termination for adult clients; other legal obligations can require preservation beyond the ordinary minimum.</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Every record must be kept permanently.</w:t>
            </w:r>
          </w:p>
        </w:tc>
        <w:tc>
          <w:tcPr>
            <w:tcW w:type="dxa" w:w="5040"/>
            <w:tcMar>
              <w:top w:w="70" w:type="dxa"/>
              <w:start w:w="70" w:type="dxa"/>
              <w:bottom w:w="70" w:type="dxa"/>
              <w:end w:w="70" w:type="dxa"/>
            </w:tcMar>
            <w:vAlign w:val="center"/>
          </w:tcPr>
          <w:p>
            <w:r>
              <w:t>Incorrect. California law sets a minimum period but does not establish a universal permanent-retention rule.</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The record can be destroyed after one year if the client receives a copy.</w:t>
            </w:r>
          </w:p>
        </w:tc>
        <w:tc>
          <w:tcPr>
            <w:tcW w:type="dxa" w:w="5040"/>
            <w:tcMar>
              <w:top w:w="70" w:type="dxa"/>
              <w:start w:w="70" w:type="dxa"/>
              <w:bottom w:w="70" w:type="dxa"/>
              <w:end w:w="70" w:type="dxa"/>
            </w:tcMar>
            <w:vAlign w:val="center"/>
          </w:tcPr>
          <w:p>
            <w:r>
              <w:t>Incorrect. Giving a client a copy does not eliminate the professional retention duty.</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Records may be destroyed immediately after the final bill is paid.</w:t>
            </w:r>
          </w:p>
        </w:tc>
        <w:tc>
          <w:tcPr>
            <w:tcW w:type="dxa" w:w="5040"/>
            <w:tcMar>
              <w:top w:w="70" w:type="dxa"/>
              <w:start w:w="70" w:type="dxa"/>
              <w:bottom w:w="70" w:type="dxa"/>
              <w:end w:w="70" w:type="dxa"/>
            </w:tcMar>
            <w:vAlign w:val="center"/>
          </w:tcPr>
          <w:p>
            <w:r>
              <w:t>Incorrect. Payment status does not replace the statutory retention minimum.</w:t>
            </w:r>
          </w:p>
        </w:tc>
      </w:tr>
    </w:tbl>
    <w:p>
      <w:pPr>
        <w:pStyle w:val="Heading2"/>
      </w:pPr>
      <w:r>
        <w:t>Why the Key Controls</w:t>
      </w:r>
    </w:p>
    <w:p>
      <w:r>
        <w:t>BPC 4999.75 establishes a seven-year minimum from termination for adult clients; other legal obligations can require preservation beyond the ordinary minimum.</w:t>
      </w:r>
    </w:p>
    <w:p>
      <w:pPr>
        <w:pStyle w:val="Heading2"/>
      </w:pPr>
      <w:r>
        <w:t>CTA Exam Strategy</w:t>
      </w:r>
    </w:p>
    <w:p>
      <w:r>
        <w:t>Separate professional status, lawful setting/scope, representation, documentation, and conduct requirements; consent cannot expand legal authority.</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LPCC Record Retention</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Foundational Application / Direct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WB9-C3 Record Retention</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RECORD-RETENTION</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BPC 4999.75; applicable legal-hold requirements.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21 - Controlled Rationale</w:t>
      </w:r>
    </w:p>
    <w:p>
      <w:r>
        <w:rPr>
          <w:b/>
        </w:rPr>
        <w:t xml:space="preserve">Item ID: </w:t>
      </w:r>
      <w:r>
        <w:t>LPCC-LE-CUM-A-021</w:t>
      </w:r>
    </w:p>
    <w:p>
      <w:r>
        <w:rPr>
          <w:b/>
        </w:rPr>
        <w:t xml:space="preserve">Stem: </w:t>
      </w:r>
      <w:r>
        <w:t>A current client tells an LPCC that the client wants to begin a consensual sexual relationship with the counselor outside the office. Which response is most accurate?</w:t>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The relationship is allowed if the client initiates it.</w:t>
            </w:r>
          </w:p>
        </w:tc>
        <w:tc>
          <w:tcPr>
            <w:tcW w:type="dxa" w:w="5040"/>
            <w:tcMar>
              <w:top w:w="70" w:type="dxa"/>
              <w:start w:w="70" w:type="dxa"/>
              <w:bottom w:w="70" w:type="dxa"/>
              <w:end w:w="70" w:type="dxa"/>
            </w:tcMar>
            <w:vAlign w:val="center"/>
          </w:tcPr>
          <w:p>
            <w:r>
              <w:t>Incorrect. Client initiation does not eliminate the professional prohibition and power imbalance.</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The relationship is allowed if treatment is paused for one week.</w:t>
            </w:r>
          </w:p>
        </w:tc>
        <w:tc>
          <w:tcPr>
            <w:tcW w:type="dxa" w:w="5040"/>
            <w:tcMar>
              <w:top w:w="70" w:type="dxa"/>
              <w:start w:w="70" w:type="dxa"/>
              <w:bottom w:w="70" w:type="dxa"/>
              <w:end w:w="70" w:type="dxa"/>
            </w:tcMar>
            <w:vAlign w:val="center"/>
          </w:tcPr>
          <w:p>
            <w:r>
              <w:t>Incorrect. A brief pause does not transform a current therapeutic relationship into an ethically and legally acceptable sexual relationship.</w:t>
            </w:r>
          </w:p>
        </w:tc>
      </w:tr>
      <w:tr>
        <w:tc>
          <w:tcPr>
            <w:tcW w:type="dxa" w:w="792"/>
            <w:tcMar>
              <w:top w:w="70" w:type="dxa"/>
              <w:start w:w="70" w:type="dxa"/>
              <w:bottom w:w="70" w:type="dxa"/>
              <w:end w:w="70" w:type="dxa"/>
            </w:tcMar>
            <w:vAlign w:val="center"/>
            <w:shd w:fill="E7F5F4"/>
          </w:tcPr>
          <w:p>
            <w:r>
              <w:rPr>
                <w:b/>
              </w:rPr>
              <w:t>C</w:t>
            </w:r>
          </w:p>
        </w:tc>
        <w:tc>
          <w:tcPr>
            <w:tcW w:type="dxa" w:w="4392"/>
            <w:tcMar>
              <w:top w:w="70" w:type="dxa"/>
              <w:start w:w="70" w:type="dxa"/>
              <w:bottom w:w="70" w:type="dxa"/>
              <w:end w:w="70" w:type="dxa"/>
            </w:tcMar>
            <w:vAlign w:val="center"/>
            <w:shd w:fill="E7F5F4"/>
          </w:tcPr>
          <w:p>
            <w:r>
              <w:t>The LPCC must maintain the professional boundary; client consent and an off-site setting do not make sexual conduct with a current client permissible.</w:t>
            </w:r>
          </w:p>
        </w:tc>
        <w:tc>
          <w:tcPr>
            <w:tcW w:type="dxa" w:w="5040"/>
            <w:tcMar>
              <w:top w:w="70" w:type="dxa"/>
              <w:start w:w="70" w:type="dxa"/>
              <w:bottom w:w="70" w:type="dxa"/>
              <w:end w:w="70" w:type="dxa"/>
            </w:tcMar>
            <w:vAlign w:val="center"/>
            <w:shd w:fill="E7F5F4"/>
          </w:tcPr>
          <w:p>
            <w:r>
              <w:t>Correct. California professional-conduct law prohibits sexual misconduct with current patients/clients; consent and location do not cure the prohibition.</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The relationship is allowed if both parties sign a written waiver.</w:t>
            </w:r>
          </w:p>
        </w:tc>
        <w:tc>
          <w:tcPr>
            <w:tcW w:type="dxa" w:w="5040"/>
            <w:tcMar>
              <w:top w:w="70" w:type="dxa"/>
              <w:start w:w="70" w:type="dxa"/>
              <w:bottom w:w="70" w:type="dxa"/>
              <w:end w:w="70" w:type="dxa"/>
            </w:tcMar>
            <w:vAlign w:val="center"/>
          </w:tcPr>
          <w:p>
            <w:r>
              <w:t>Incorrect. A waiver cannot legalize prohibited professional conduct.</w:t>
            </w:r>
          </w:p>
        </w:tc>
      </w:tr>
    </w:tbl>
    <w:p>
      <w:pPr>
        <w:pStyle w:val="Heading2"/>
      </w:pPr>
      <w:r>
        <w:t>Why the Key Controls</w:t>
      </w:r>
    </w:p>
    <w:p>
      <w:r>
        <w:t>California professional-conduct law prohibits sexual misconduct with current patients/clients; consent and location do not cure the prohibition.</w:t>
      </w:r>
    </w:p>
    <w:p>
      <w:pPr>
        <w:pStyle w:val="Heading2"/>
      </w:pPr>
      <w:r>
        <w:t>CTA Exam Strategy</w:t>
      </w:r>
    </w:p>
    <w:p>
      <w:r>
        <w:t>Separate professional status, lawful setting/scope, representation, documentation, and conduct requirements; consent cannot expand legal authority.</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Sexual Conduct With Current Client</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Foundational Legal Rule / Direct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WB6-C5 Sexual Misconduct and Exploitation</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SEXUAL-MISCONDUCT</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BPC 726, 729 and 4999.90 as applicable; BBS client-protection materials.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22 - Controlled Rationale</w:t>
      </w:r>
    </w:p>
    <w:p>
      <w:r>
        <w:rPr>
          <w:b/>
        </w:rPr>
        <w:t xml:space="preserve">Item ID: </w:t>
      </w:r>
      <w:r>
        <w:t>LPCC-LE-CUM-A-022</w:t>
      </w:r>
    </w:p>
    <w:p>
      <w:r>
        <w:rPr>
          <w:b/>
        </w:rPr>
        <w:t xml:space="preserve">Stem: </w:t>
      </w:r>
      <w:r>
        <w:t>An APCC discovers that several claims were submitted using a diagnosis not supported by the current assessment. A manager suggests changing earlier notes so the claims “match.” What is the BEST response?</w:t>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rPr>
                <w:b/>
              </w:rPr>
              <w:t>A</w:t>
            </w:r>
          </w:p>
        </w:tc>
        <w:tc>
          <w:tcPr>
            <w:tcW w:type="dxa" w:w="4392"/>
            <w:tcMar>
              <w:top w:w="70" w:type="dxa"/>
              <w:start w:w="70" w:type="dxa"/>
              <w:bottom w:w="70" w:type="dxa"/>
              <w:end w:w="70" w:type="dxa"/>
            </w:tcMar>
            <w:vAlign w:val="center"/>
            <w:shd w:fill="E7F5F4"/>
          </w:tcPr>
          <w:p>
            <w:r>
              <w:t>Do not falsify the record; promptly involve the supervisor and appropriate billing/compliance resources, verify the clinical facts, correct records or claims through lawful procedures, address client impact, and document completion.</w:t>
            </w:r>
          </w:p>
        </w:tc>
        <w:tc>
          <w:tcPr>
            <w:tcW w:type="dxa" w:w="5040"/>
            <w:tcMar>
              <w:top w:w="70" w:type="dxa"/>
              <w:start w:w="70" w:type="dxa"/>
              <w:bottom w:w="70" w:type="dxa"/>
              <w:end w:w="70" w:type="dxa"/>
            </w:tcMar>
            <w:vAlign w:val="center"/>
            <w:shd w:fill="E7F5F4"/>
          </w:tcPr>
          <w:p>
            <w:r>
              <w:t>Correct. Accurate representation, supervision, record integrity, billing correction, and client impact must be handled together. Falsifying records would create additional professional misconduct.</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Delete the original diagnostic information and replace it without an audit trail.</w:t>
            </w:r>
          </w:p>
        </w:tc>
        <w:tc>
          <w:tcPr>
            <w:tcW w:type="dxa" w:w="5040"/>
            <w:tcMar>
              <w:top w:w="70" w:type="dxa"/>
              <w:start w:w="70" w:type="dxa"/>
              <w:bottom w:w="70" w:type="dxa"/>
              <w:end w:w="70" w:type="dxa"/>
            </w:tcMar>
            <w:vAlign w:val="center"/>
          </w:tcPr>
          <w:p>
            <w:r>
              <w:t>Incorrect. Concealed alteration undermines record integrity and accountability.</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Change the notes because the billing error has already occurred.</w:t>
            </w:r>
          </w:p>
        </w:tc>
        <w:tc>
          <w:tcPr>
            <w:tcW w:type="dxa" w:w="5040"/>
            <w:tcMar>
              <w:top w:w="70" w:type="dxa"/>
              <w:start w:w="70" w:type="dxa"/>
              <w:bottom w:w="70" w:type="dxa"/>
              <w:end w:w="70" w:type="dxa"/>
            </w:tcMar>
            <w:vAlign w:val="center"/>
          </w:tcPr>
          <w:p>
            <w:r>
              <w:t>Incorrect. A prior error does not justify creating inaccurate clinical documentation.</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Ignore the issue because billing staff submitted the claim.</w:t>
            </w:r>
          </w:p>
        </w:tc>
        <w:tc>
          <w:tcPr>
            <w:tcW w:type="dxa" w:w="5040"/>
            <w:tcMar>
              <w:top w:w="70" w:type="dxa"/>
              <w:start w:w="70" w:type="dxa"/>
              <w:bottom w:w="70" w:type="dxa"/>
              <w:end w:w="70" w:type="dxa"/>
            </w:tcMar>
            <w:vAlign w:val="center"/>
          </w:tcPr>
          <w:p>
            <w:r>
              <w:t>Incorrect. A clinician who learns of a material discrepancy has professional responsibilities to address it.</w:t>
            </w:r>
          </w:p>
        </w:tc>
      </w:tr>
    </w:tbl>
    <w:p>
      <w:pPr>
        <w:pStyle w:val="Heading2"/>
      </w:pPr>
      <w:r>
        <w:t>Why the Key Controls</w:t>
      </w:r>
    </w:p>
    <w:p>
      <w:r>
        <w:t>Accurate representation, supervision, record integrity, billing correction, and client impact must be handled together. Falsifying records would create additional professional misconduct.</w:t>
      </w:r>
    </w:p>
    <w:p>
      <w:pPr>
        <w:pStyle w:val="Heading2"/>
      </w:pPr>
      <w:r>
        <w:t>CTA Exam Strategy</w:t>
      </w:r>
    </w:p>
    <w:p>
      <w:r>
        <w:t>Separate professional status, lawful setting/scope, representation, documentation, and conduct requirements; consent cannot expand legal authority.</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Billing Error and Record Integrity</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Law 1.3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Integrated Legal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WB5-C4 Accountability; WB9-C2 Documentation Errors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BILLING-RECORD-INTEGRITY</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BPC 4999.90; California record-integrity and billing/compliance requirements; supervision rules.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23 - Controlled Rationale</w:t>
      </w:r>
    </w:p>
    <w:p>
      <w:r>
        <w:rPr>
          <w:b/>
        </w:rPr>
        <w:t xml:space="preserve">Item ID: </w:t>
      </w:r>
      <w:r>
        <w:t>LPCC-LE-CUM-A-023</w:t>
      </w:r>
    </w:p>
    <w:p>
      <w:r>
        <w:rPr>
          <w:b/>
        </w:rPr>
        <w:t xml:space="preserve">Stem: </w:t>
      </w:r>
      <w:r>
        <w:t>An LPCC wants to add an unfamiliar trauma intervention after attending a one-hour overview webinar. A client requests the method immediately. What should the LPCC do FIRST?</w:t>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Use the intervention once and decide afterward whether more training is needed.</w:t>
            </w:r>
          </w:p>
        </w:tc>
        <w:tc>
          <w:tcPr>
            <w:tcW w:type="dxa" w:w="5040"/>
            <w:tcMar>
              <w:top w:w="70" w:type="dxa"/>
              <w:start w:w="70" w:type="dxa"/>
              <w:bottom w:w="70" w:type="dxa"/>
              <w:end w:w="70" w:type="dxa"/>
            </w:tcMar>
            <w:vAlign w:val="center"/>
          </w:tcPr>
          <w:p>
            <w:r>
              <w:t>Incorrect. Competence should be addressed before exposing the client to an unfamiliar intervention.</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Refuse to learn any new method because competence can never expand after licensure.</w:t>
            </w:r>
          </w:p>
        </w:tc>
        <w:tc>
          <w:tcPr>
            <w:tcW w:type="dxa" w:w="5040"/>
            <w:tcMar>
              <w:top w:w="70" w:type="dxa"/>
              <w:start w:w="70" w:type="dxa"/>
              <w:bottom w:w="70" w:type="dxa"/>
              <w:end w:w="70" w:type="dxa"/>
            </w:tcMar>
            <w:vAlign w:val="center"/>
          </w:tcPr>
          <w:p>
            <w:r>
              <w:t>Incorrect. Competence can develop through appropriate education, training, supervision, and experience.</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Use the intervention because the client requested it.</w:t>
            </w:r>
          </w:p>
        </w:tc>
        <w:tc>
          <w:tcPr>
            <w:tcW w:type="dxa" w:w="5040"/>
            <w:tcMar>
              <w:top w:w="70" w:type="dxa"/>
              <w:start w:w="70" w:type="dxa"/>
              <w:bottom w:w="70" w:type="dxa"/>
              <w:end w:w="70" w:type="dxa"/>
            </w:tcMar>
            <w:vAlign w:val="center"/>
          </w:tcPr>
          <w:p>
            <w:r>
              <w:t>Incorrect. Client preference cannot substitute for counselor competence.</w:t>
            </w:r>
          </w:p>
        </w:tc>
      </w:tr>
      <w:tr>
        <w:tc>
          <w:tcPr>
            <w:tcW w:type="dxa" w:w="792"/>
            <w:tcMar>
              <w:top w:w="70" w:type="dxa"/>
              <w:start w:w="70" w:type="dxa"/>
              <w:bottom w:w="70" w:type="dxa"/>
              <w:end w:w="70" w:type="dxa"/>
            </w:tcMar>
            <w:vAlign w:val="center"/>
            <w:shd w:fill="E7F5F4"/>
          </w:tcPr>
          <w:p>
            <w:r>
              <w:rPr>
                <w:b/>
              </w:rPr>
              <w:t>D</w:t>
            </w:r>
          </w:p>
        </w:tc>
        <w:tc>
          <w:tcPr>
            <w:tcW w:type="dxa" w:w="4392"/>
            <w:tcMar>
              <w:top w:w="70" w:type="dxa"/>
              <w:start w:w="70" w:type="dxa"/>
              <w:bottom w:w="70" w:type="dxa"/>
              <w:end w:w="70" w:type="dxa"/>
            </w:tcMar>
            <w:vAlign w:val="center"/>
            <w:shd w:fill="E7F5F4"/>
          </w:tcPr>
          <w:p>
            <w:r>
              <w:t>Evaluate the competence required, obtain appropriate training, supervision or consultation, and use another competent approach or refer if adequate competence cannot be developed in time.</w:t>
            </w:r>
          </w:p>
        </w:tc>
        <w:tc>
          <w:tcPr>
            <w:tcW w:type="dxa" w:w="5040"/>
            <w:tcMar>
              <w:top w:w="70" w:type="dxa"/>
              <w:start w:w="70" w:type="dxa"/>
              <w:bottom w:w="70" w:type="dxa"/>
              <w:end w:w="70" w:type="dxa"/>
            </w:tcMar>
            <w:vAlign w:val="center"/>
            <w:shd w:fill="E7F5F4"/>
          </w:tcPr>
          <w:p>
            <w:r>
              <w:t>Correct. Client request and a brief introduction do not establish competence. The counselor must protect client welfare while building or obtaining the required competence.</w:t>
            </w:r>
          </w:p>
        </w:tc>
      </w:tr>
    </w:tbl>
    <w:p>
      <w:pPr>
        <w:pStyle w:val="Heading2"/>
      </w:pPr>
      <w:r>
        <w:t>Why the Key Controls</w:t>
      </w:r>
    </w:p>
    <w:p>
      <w:r>
        <w:t>Client request and a brief introduction do not establish competence. The counselor must protect client welfare while building or obtaining the required competence.</w:t>
      </w:r>
    </w:p>
    <w:p>
      <w:pPr>
        <w:pStyle w:val="Heading2"/>
      </w:pPr>
      <w:r>
        <w:t>CTA Exam Strategy</w:t>
      </w:r>
    </w:p>
    <w:p>
      <w:r>
        <w:t>Focus on competence, integrity, bias, impairment, and proportional safeguards; do not confuse an internal reaction or diagnosis with demonstrated functional impairment.</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New Modality Competence</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Ethics Scenario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WB3-C3 Maintaining Competence</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NEW-MODALITY-COMPETENCE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working source), professional competence standards; BPC 4999.90.</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24 - Controlled Rationale</w:t>
      </w:r>
    </w:p>
    <w:p>
      <w:r>
        <w:rPr>
          <w:b/>
        </w:rPr>
        <w:t xml:space="preserve">Item ID: </w:t>
      </w:r>
      <w:r>
        <w:t>LPCC-LE-CUM-A-024</w:t>
      </w:r>
    </w:p>
    <w:p>
      <w:r>
        <w:rPr>
          <w:b/>
        </w:rPr>
        <w:t xml:space="preserve">Stem: </w:t>
      </w:r>
      <w:r>
        <w:t>An LPCC notices increasing fatigue and reduced concentration but has not yet made a serious clinical error. Which response is BEST?</w:t>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Continue unchanged until a client complains.</w:t>
            </w:r>
          </w:p>
        </w:tc>
        <w:tc>
          <w:tcPr>
            <w:tcW w:type="dxa" w:w="5040"/>
            <w:tcMar>
              <w:top w:w="70" w:type="dxa"/>
              <w:start w:w="70" w:type="dxa"/>
              <w:bottom w:w="70" w:type="dxa"/>
              <w:end w:w="70" w:type="dxa"/>
            </w:tcMar>
            <w:vAlign w:val="center"/>
          </w:tcPr>
          <w:p>
            <w:r>
              <w:t>Incorrect. Client protection calls for earlier attention to emerging functional decline.</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Tell every client the counselor’s private health details.</w:t>
            </w:r>
          </w:p>
        </w:tc>
        <w:tc>
          <w:tcPr>
            <w:tcW w:type="dxa" w:w="5040"/>
            <w:tcMar>
              <w:top w:w="70" w:type="dxa"/>
              <w:start w:w="70" w:type="dxa"/>
              <w:bottom w:w="70" w:type="dxa"/>
              <w:end w:w="70" w:type="dxa"/>
            </w:tcMar>
            <w:vAlign w:val="center"/>
          </w:tcPr>
          <w:p>
            <w:r>
              <w:t>Incorrect. Clients generally do not need private diagnostic details to be protected from functional risk.</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Permanently leave the profession because any fatigue proves incompetence.</w:t>
            </w:r>
          </w:p>
        </w:tc>
        <w:tc>
          <w:tcPr>
            <w:tcW w:type="dxa" w:w="5040"/>
            <w:tcMar>
              <w:top w:w="70" w:type="dxa"/>
              <w:start w:w="70" w:type="dxa"/>
              <w:bottom w:w="70" w:type="dxa"/>
              <w:end w:w="70" w:type="dxa"/>
            </w:tcMar>
            <w:vAlign w:val="center"/>
          </w:tcPr>
          <w:p>
            <w:r>
              <w:t>Incorrect. The response should be proportionate to actual functioning and recovery, not stigmatizing or absolute.</w:t>
            </w:r>
          </w:p>
        </w:tc>
      </w:tr>
      <w:tr>
        <w:tc>
          <w:tcPr>
            <w:tcW w:type="dxa" w:w="792"/>
            <w:tcMar>
              <w:top w:w="70" w:type="dxa"/>
              <w:start w:w="70" w:type="dxa"/>
              <w:bottom w:w="70" w:type="dxa"/>
              <w:end w:w="70" w:type="dxa"/>
            </w:tcMar>
            <w:vAlign w:val="center"/>
            <w:shd w:fill="E7F5F4"/>
          </w:tcPr>
          <w:p>
            <w:r>
              <w:rPr>
                <w:b/>
              </w:rPr>
              <w:t>D</w:t>
            </w:r>
          </w:p>
        </w:tc>
        <w:tc>
          <w:tcPr>
            <w:tcW w:type="dxa" w:w="4392"/>
            <w:tcMar>
              <w:top w:w="70" w:type="dxa"/>
              <w:start w:w="70" w:type="dxa"/>
              <w:bottom w:w="70" w:type="dxa"/>
              <w:end w:w="70" w:type="dxa"/>
            </w:tcMar>
            <w:vAlign w:val="center"/>
            <w:shd w:fill="E7F5F4"/>
          </w:tcPr>
          <w:p>
            <w:r>
              <w:t>Assess current functioning, obtain support or consultation, adjust workload or duties as needed, and monitor client impact before harm occurs.</w:t>
            </w:r>
          </w:p>
        </w:tc>
        <w:tc>
          <w:tcPr>
            <w:tcW w:type="dxa" w:w="5040"/>
            <w:tcMar>
              <w:top w:w="70" w:type="dxa"/>
              <w:start w:w="70" w:type="dxa"/>
              <w:bottom w:w="70" w:type="dxa"/>
              <w:end w:w="70" w:type="dxa"/>
            </w:tcMar>
            <w:vAlign w:val="center"/>
            <w:shd w:fill="E7F5F4"/>
          </w:tcPr>
          <w:p>
            <w:r>
              <w:t>Correct. Ethical self-monitoring emphasizes current functioning and proportionate prevention rather than waiting for a complaint or assuming permanent incompetence.</w:t>
            </w:r>
          </w:p>
        </w:tc>
      </w:tr>
    </w:tbl>
    <w:p>
      <w:pPr>
        <w:pStyle w:val="Heading2"/>
      </w:pPr>
      <w:r>
        <w:t>Why the Key Controls</w:t>
      </w:r>
    </w:p>
    <w:p>
      <w:r>
        <w:t>Ethical self-monitoring emphasizes current functioning and proportionate prevention rather than waiting for a complaint or assuming permanent incompetence.</w:t>
      </w:r>
    </w:p>
    <w:p>
      <w:pPr>
        <w:pStyle w:val="Heading2"/>
      </w:pPr>
      <w:r>
        <w:t>CTA Exam Strategy</w:t>
      </w:r>
    </w:p>
    <w:p>
      <w:r>
        <w:t>Focus on competence, integrity, bias, impairment, and proportional safeguards; do not confuse an internal reaction or diagnosis with demonstrated functional impairment.</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Early Functional Decline</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Foundational Ethics Application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WB4-C1 Recognizing Impairment</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IMPAIRMENT-EARLY</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working source), competence/impairment standards; BPC 4999.90.</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25 - Controlled Rationale</w:t>
      </w:r>
    </w:p>
    <w:p>
      <w:r>
        <w:rPr>
          <w:b/>
        </w:rPr>
        <w:t xml:space="preserve">Item ID: </w:t>
      </w:r>
      <w:r>
        <w:t>LPCC-LE-CUM-A-025</w:t>
      </w:r>
    </w:p>
    <w:p>
      <w:r>
        <w:rPr>
          <w:b/>
        </w:rPr>
        <w:t xml:space="preserve">Stem: </w:t>
      </w:r>
      <w:r>
        <w:t>After leave for burnout, an LPCC reports feeling much better and asks to resume a full crisis caseload. Trial duties still show late notes, missed risk cues, and difficulty making urgent decisions. What is the BEST response?</w:t>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Ask clients to decide whether the LPCC is fit for crisis work.</w:t>
            </w:r>
          </w:p>
        </w:tc>
        <w:tc>
          <w:tcPr>
            <w:tcW w:type="dxa" w:w="5040"/>
            <w:tcMar>
              <w:top w:w="70" w:type="dxa"/>
              <w:start w:w="70" w:type="dxa"/>
              <w:bottom w:w="70" w:type="dxa"/>
              <w:end w:w="70" w:type="dxa"/>
            </w:tcMar>
            <w:vAlign w:val="center"/>
          </w:tcPr>
          <w:p>
            <w:r>
              <w:t>Incorrect. Professional fitness and assignment decisions cannot be delegated to clients.</w:t>
            </w:r>
          </w:p>
        </w:tc>
      </w:tr>
      <w:tr>
        <w:tc>
          <w:tcPr>
            <w:tcW w:type="dxa" w:w="792"/>
            <w:tcMar>
              <w:top w:w="70" w:type="dxa"/>
              <w:start w:w="70" w:type="dxa"/>
              <w:bottom w:w="70" w:type="dxa"/>
              <w:end w:w="70" w:type="dxa"/>
            </w:tcMar>
            <w:vAlign w:val="center"/>
            <w:shd w:fill="E7F5F4"/>
          </w:tcPr>
          <w:p>
            <w:r>
              <w:rPr>
                <w:b/>
              </w:rPr>
              <w:t>B</w:t>
            </w:r>
          </w:p>
        </w:tc>
        <w:tc>
          <w:tcPr>
            <w:tcW w:type="dxa" w:w="4392"/>
            <w:tcMar>
              <w:top w:w="70" w:type="dxa"/>
              <w:start w:w="70" w:type="dxa"/>
              <w:bottom w:w="70" w:type="dxa"/>
              <w:end w:w="70" w:type="dxa"/>
            </w:tcMar>
            <w:vAlign w:val="center"/>
            <w:shd w:fill="E7F5F4"/>
          </w:tcPr>
          <w:p>
            <w:r>
              <w:t>Continue limited or supported duties and base fuller return on demonstrated restoration of professional functioning and risk-management ability.</w:t>
            </w:r>
          </w:p>
        </w:tc>
        <w:tc>
          <w:tcPr>
            <w:tcW w:type="dxa" w:w="5040"/>
            <w:tcMar>
              <w:top w:w="70" w:type="dxa"/>
              <w:start w:w="70" w:type="dxa"/>
              <w:bottom w:w="70" w:type="dxa"/>
              <w:end w:w="70" w:type="dxa"/>
            </w:tcMar>
            <w:vAlign w:val="center"/>
            <w:shd w:fill="E7F5F4"/>
          </w:tcPr>
          <w:p>
            <w:r>
              <w:t>Correct. Subjective improvement is encouraging, but actual performance and client safety should govern return-to-practice decisions.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Restore the full caseload because the LPCC reports feeling better.</w:t>
            </w:r>
          </w:p>
        </w:tc>
        <w:tc>
          <w:tcPr>
            <w:tcW w:type="dxa" w:w="5040"/>
            <w:tcMar>
              <w:top w:w="70" w:type="dxa"/>
              <w:start w:w="70" w:type="dxa"/>
              <w:bottom w:w="70" w:type="dxa"/>
              <w:end w:w="70" w:type="dxa"/>
            </w:tcMar>
            <w:vAlign w:val="center"/>
          </w:tcPr>
          <w:p>
            <w:r>
              <w:t>Incorrect. Self-report alone does not resolve observable performance concerns.</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Permanently exclude the LPCC from clinical work because burnout occurred once.</w:t>
            </w:r>
          </w:p>
        </w:tc>
        <w:tc>
          <w:tcPr>
            <w:tcW w:type="dxa" w:w="5040"/>
            <w:tcMar>
              <w:top w:w="70" w:type="dxa"/>
              <w:start w:w="70" w:type="dxa"/>
              <w:bottom w:w="70" w:type="dxa"/>
              <w:end w:w="70" w:type="dxa"/>
            </w:tcMar>
            <w:vAlign w:val="center"/>
          </w:tcPr>
          <w:p>
            <w:r>
              <w:t>Incorrect. Prior impairment does not establish permanent incapacity.</w:t>
            </w:r>
          </w:p>
        </w:tc>
      </w:tr>
    </w:tbl>
    <w:p>
      <w:pPr>
        <w:pStyle w:val="Heading2"/>
      </w:pPr>
      <w:r>
        <w:t>Why the Key Controls</w:t>
      </w:r>
    </w:p>
    <w:p>
      <w:r>
        <w:t>Subjective improvement is encouraging, but actual performance and client safety should govern return-to-practice decisions.</w:t>
      </w:r>
    </w:p>
    <w:p>
      <w:pPr>
        <w:pStyle w:val="Heading2"/>
      </w:pPr>
      <w:r>
        <w:t>CTA Exam Strategy</w:t>
      </w:r>
    </w:p>
    <w:p>
      <w:r>
        <w:t>Focus on competence, integrity, bias, impairment, and proportional safeguards; do not confuse an internal reaction or diagnosis with demonstrated functional impairment.</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Return-to-Practice Readiness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Integrated Ethics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WB4-C3 Mental Health and Burnout</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RETURN-TO-PRACTICE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working source), impairment/competence standards; BBS fitness framework as applicable.</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26 - Controlled Rationale</w:t>
      </w:r>
    </w:p>
    <w:p>
      <w:r>
        <w:rPr>
          <w:b/>
        </w:rPr>
        <w:t xml:space="preserve">Item ID: </w:t>
      </w:r>
      <w:r>
        <w:t>LPCC-LE-CUM-A-026</w:t>
      </w:r>
    </w:p>
    <w:p>
      <w:r>
        <w:rPr>
          <w:b/>
        </w:rPr>
        <w:t xml:space="preserve">Stem: </w:t>
      </w:r>
      <w:r>
        <w:t>An LPCC notices feeling unusually protective and irritated with a client. Which statement is most accurate?</w:t>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The LPCC should disclose every emotional reaction to the client.</w:t>
            </w:r>
          </w:p>
        </w:tc>
        <w:tc>
          <w:tcPr>
            <w:tcW w:type="dxa" w:w="5040"/>
            <w:tcMar>
              <w:top w:w="70" w:type="dxa"/>
              <w:start w:w="70" w:type="dxa"/>
              <w:bottom w:w="70" w:type="dxa"/>
              <w:end w:w="70" w:type="dxa"/>
            </w:tcMar>
            <w:vAlign w:val="center"/>
          </w:tcPr>
          <w:p>
            <w:r>
              <w:t>Incorrect. Disclosure is not automatically helpful and may burden the client.</w:t>
            </w:r>
          </w:p>
        </w:tc>
      </w:tr>
      <w:tr>
        <w:tc>
          <w:tcPr>
            <w:tcW w:type="dxa" w:w="792"/>
            <w:tcMar>
              <w:top w:w="70" w:type="dxa"/>
              <w:start w:w="70" w:type="dxa"/>
              <w:bottom w:w="70" w:type="dxa"/>
              <w:end w:w="70" w:type="dxa"/>
            </w:tcMar>
            <w:vAlign w:val="center"/>
            <w:shd w:fill="E7F5F4"/>
          </w:tcPr>
          <w:p>
            <w:r>
              <w:rPr>
                <w:b/>
              </w:rPr>
              <w:t>B</w:t>
            </w:r>
          </w:p>
        </w:tc>
        <w:tc>
          <w:tcPr>
            <w:tcW w:type="dxa" w:w="4392"/>
            <w:tcMar>
              <w:top w:w="70" w:type="dxa"/>
              <w:start w:w="70" w:type="dxa"/>
              <w:bottom w:w="70" w:type="dxa"/>
              <w:end w:w="70" w:type="dxa"/>
            </w:tcMar>
            <w:vAlign w:val="center"/>
            <w:shd w:fill="E7F5F4"/>
          </w:tcPr>
          <w:p>
            <w:r>
              <w:t>The feelings themselves do not establish misconduct, but the LPCC should recognize and manage them if they could influence judgment, boundaries, or treatment.</w:t>
            </w:r>
          </w:p>
        </w:tc>
        <w:tc>
          <w:tcPr>
            <w:tcW w:type="dxa" w:w="5040"/>
            <w:tcMar>
              <w:top w:w="70" w:type="dxa"/>
              <w:start w:w="70" w:type="dxa"/>
              <w:bottom w:w="70" w:type="dxa"/>
              <w:end w:w="70" w:type="dxa"/>
            </w:tcMar>
            <w:vAlign w:val="center"/>
            <w:shd w:fill="E7F5F4"/>
          </w:tcPr>
          <w:p>
            <w:r>
              <w:t>Correct. Internal reactions are not automatically unethical; professional responsibility focuses on self-awareness and preventing those reactions from distorting care.</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Emotional reactions are irrelevant if the LPCC is licensed.</w:t>
            </w:r>
          </w:p>
        </w:tc>
        <w:tc>
          <w:tcPr>
            <w:tcW w:type="dxa" w:w="5040"/>
            <w:tcMar>
              <w:top w:w="70" w:type="dxa"/>
              <w:start w:w="70" w:type="dxa"/>
              <w:bottom w:w="70" w:type="dxa"/>
              <w:end w:w="70" w:type="dxa"/>
            </w:tcMar>
            <w:vAlign w:val="center"/>
          </w:tcPr>
          <w:p>
            <w:r>
              <w:t>Incorrect. Unexamined reactions can influence clinical judgment, boundaries, and decision-making.</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The LPCC has already committed a boundary violation by experiencing the feelings.</w:t>
            </w:r>
          </w:p>
        </w:tc>
        <w:tc>
          <w:tcPr>
            <w:tcW w:type="dxa" w:w="5040"/>
            <w:tcMar>
              <w:top w:w="70" w:type="dxa"/>
              <w:start w:w="70" w:type="dxa"/>
              <w:bottom w:w="70" w:type="dxa"/>
              <w:end w:w="70" w:type="dxa"/>
            </w:tcMar>
            <w:vAlign w:val="center"/>
          </w:tcPr>
          <w:p>
            <w:r>
              <w:t>Incorrect. Internal emotion is not the same as professional misconduct.</w:t>
            </w:r>
          </w:p>
        </w:tc>
      </w:tr>
    </w:tbl>
    <w:p>
      <w:pPr>
        <w:pStyle w:val="Heading2"/>
      </w:pPr>
      <w:r>
        <w:t>Why the Key Controls</w:t>
      </w:r>
    </w:p>
    <w:p>
      <w:r>
        <w:t>Internal reactions are not automatically unethical; professional responsibility focuses on self-awareness and preventing those reactions from distorting care.</w:t>
      </w:r>
    </w:p>
    <w:p>
      <w:pPr>
        <w:pStyle w:val="Heading2"/>
      </w:pPr>
      <w:r>
        <w:t>CTA Exam Strategy</w:t>
      </w:r>
    </w:p>
    <w:p>
      <w:r>
        <w:t>Focus on competence, integrity, bias, impairment, and proportional safeguards; do not confuse an internal reaction or diagnosis with demonstrated functional impairment.</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Emotional Reactions and Objectivity</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Foundational Ethics Application / Direct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WB6-C1 Professional Boundaries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COUNTERTRANSFERENCE-OBJECTIVITY</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working source), competence and boundary standards.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27 - Controlled Rationale</w:t>
      </w:r>
    </w:p>
    <w:p>
      <w:r>
        <w:rPr>
          <w:b/>
        </w:rPr>
        <w:t xml:space="preserve">Item ID: </w:t>
      </w:r>
      <w:r>
        <w:t>LPCC-LE-CUM-A-027</w:t>
      </w:r>
    </w:p>
    <w:p>
      <w:r>
        <w:rPr>
          <w:b/>
        </w:rPr>
        <w:t xml:space="preserve">Stem: </w:t>
      </w:r>
      <w:r>
        <w:t>An LPCC concludes that a client’s unfamiliar spiritual experiences prove psychosis without asking about cultural meaning, distress, functional impairment, safety, or alternative explanations. When the client objects, the LPCC becomes defensive. What is the BEST response?</w:t>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Retain the diagnosis because changing it would weaken professional authority.</w:t>
            </w:r>
          </w:p>
        </w:tc>
        <w:tc>
          <w:tcPr>
            <w:tcW w:type="dxa" w:w="5040"/>
            <w:tcMar>
              <w:top w:w="70" w:type="dxa"/>
              <w:start w:w="70" w:type="dxa"/>
              <w:bottom w:w="70" w:type="dxa"/>
              <w:end w:w="70" w:type="dxa"/>
            </w:tcMar>
            <w:vAlign w:val="center"/>
          </w:tcPr>
          <w:p>
            <w:r>
              <w:t>Incorrect. Professional integrity requires correction when the evidence does not support a conclusion.</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Refer solely because clinician and client have different spiritual beliefs.</w:t>
            </w:r>
          </w:p>
        </w:tc>
        <w:tc>
          <w:tcPr>
            <w:tcW w:type="dxa" w:w="5040"/>
            <w:tcMar>
              <w:top w:w="70" w:type="dxa"/>
              <w:start w:w="70" w:type="dxa"/>
              <w:bottom w:w="70" w:type="dxa"/>
              <w:end w:w="70" w:type="dxa"/>
            </w:tcMar>
            <w:vAlign w:val="center"/>
          </w:tcPr>
          <w:p>
            <w:r>
              <w:t>Incorrect. Identity or belief difference alone does not establish incompetence or require referral.</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Ask a spiritual leader to make the psychiatric diagnosis.</w:t>
            </w:r>
          </w:p>
        </w:tc>
        <w:tc>
          <w:tcPr>
            <w:tcW w:type="dxa" w:w="5040"/>
            <w:tcMar>
              <w:top w:w="70" w:type="dxa"/>
              <w:start w:w="70" w:type="dxa"/>
              <w:bottom w:w="70" w:type="dxa"/>
              <w:end w:w="70" w:type="dxa"/>
            </w:tcMar>
            <w:vAlign w:val="center"/>
          </w:tcPr>
          <w:p>
            <w:r>
              <w:t>Incorrect. Cultural consultation may add context with permission, but clinical assessment remains the clinician’s responsibility.</w:t>
            </w:r>
          </w:p>
        </w:tc>
      </w:tr>
      <w:tr>
        <w:tc>
          <w:tcPr>
            <w:tcW w:type="dxa" w:w="792"/>
            <w:tcMar>
              <w:top w:w="70" w:type="dxa"/>
              <w:start w:w="70" w:type="dxa"/>
              <w:bottom w:w="70" w:type="dxa"/>
              <w:end w:w="70" w:type="dxa"/>
            </w:tcMar>
            <w:vAlign w:val="center"/>
            <w:shd w:fill="E7F5F4"/>
          </w:tcPr>
          <w:p>
            <w:r>
              <w:rPr>
                <w:b/>
              </w:rPr>
              <w:t>D</w:t>
            </w:r>
          </w:p>
        </w:tc>
        <w:tc>
          <w:tcPr>
            <w:tcW w:type="dxa" w:w="4392"/>
            <w:tcMar>
              <w:top w:w="70" w:type="dxa"/>
              <w:start w:w="70" w:type="dxa"/>
              <w:bottom w:w="70" w:type="dxa"/>
              <w:end w:w="70" w:type="dxa"/>
            </w:tcMar>
            <w:vAlign w:val="center"/>
            <w:shd w:fill="E7F5F4"/>
          </w:tcPr>
          <w:p>
            <w:r>
              <w:t>Pause the unsupported conclusion, listen to the client, assess meaning and clinical impact in context, consider alternatives, obtain consultation or education, correct unsupported records when necessary, and repair the treatment relationship.</w:t>
            </w:r>
          </w:p>
        </w:tc>
        <w:tc>
          <w:tcPr>
            <w:tcW w:type="dxa" w:w="5040"/>
            <w:tcMar>
              <w:top w:w="70" w:type="dxa"/>
              <w:start w:w="70" w:type="dxa"/>
              <w:bottom w:w="70" w:type="dxa"/>
              <w:end w:w="70" w:type="dxa"/>
            </w:tcMar>
            <w:vAlign w:val="center"/>
            <w:shd w:fill="E7F5F4"/>
          </w:tcPr>
          <w:p>
            <w:r>
              <w:t>Correct. Cultural humility and competence require individualized assessment rather than pathologizing unfamiliar experiences based on clinician assumptions.</w:t>
            </w:r>
          </w:p>
        </w:tc>
      </w:tr>
    </w:tbl>
    <w:p>
      <w:pPr>
        <w:pStyle w:val="Heading2"/>
      </w:pPr>
      <w:r>
        <w:t>Why the Key Controls</w:t>
      </w:r>
    </w:p>
    <w:p>
      <w:r>
        <w:t>Cultural humility and competence require individualized assessment rather than pathologizing unfamiliar experiences based on clinician assumptions.</w:t>
      </w:r>
    </w:p>
    <w:p>
      <w:pPr>
        <w:pStyle w:val="Heading2"/>
      </w:pPr>
      <w:r>
        <w:t>CTA Exam Strategy</w:t>
      </w:r>
    </w:p>
    <w:p>
      <w:r>
        <w:t>Focus on competence, integrity, bias, impairment, and proportional safeguards; do not confuse an internal reaction or diagnosis with demonstrated functional impairment.</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Cultural and Spiritual Meaning</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Integrated Ethics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WB7-C1 Cultural Humility</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CULTURAL-ASSESSMENT-BIAS</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working source), multicultural/cultural competence and assessment standards.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28 - Controlled Rationale</w:t>
      </w:r>
    </w:p>
    <w:p>
      <w:r>
        <w:rPr>
          <w:b/>
        </w:rPr>
        <w:t xml:space="preserve">Item ID: </w:t>
      </w:r>
      <w:r>
        <w:t>LPCC-LE-CUM-A-028</w:t>
      </w:r>
    </w:p>
    <w:p>
      <w:r>
        <w:rPr>
          <w:b/>
        </w:rPr>
        <w:t xml:space="preserve">Stem: </w:t>
      </w:r>
      <w:r>
        <w:t>An APCC says, “I meet with an experienced licensed colleague once a month for optional advice, so I do not need a formal supervisor.” Which response is BEST?</w:t>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rPr>
                <w:b/>
              </w:rPr>
              <w:t>A</w:t>
            </w:r>
          </w:p>
        </w:tc>
        <w:tc>
          <w:tcPr>
            <w:tcW w:type="dxa" w:w="4392"/>
            <w:tcMar>
              <w:top w:w="70" w:type="dxa"/>
              <w:start w:w="70" w:type="dxa"/>
              <w:bottom w:w="70" w:type="dxa"/>
              <w:end w:w="70" w:type="dxa"/>
            </w:tcMar>
            <w:vAlign w:val="center"/>
            <w:shd w:fill="E7F5F4"/>
          </w:tcPr>
          <w:p>
            <w:r>
              <w:t>Clarify that consultation can supplement practice but does not replace the legally required supervision structure for an APCC.</w:t>
            </w:r>
          </w:p>
        </w:tc>
        <w:tc>
          <w:tcPr>
            <w:tcW w:type="dxa" w:w="5040"/>
            <w:tcMar>
              <w:top w:w="70" w:type="dxa"/>
              <w:start w:w="70" w:type="dxa"/>
              <w:bottom w:w="70" w:type="dxa"/>
              <w:end w:w="70" w:type="dxa"/>
            </w:tcMar>
            <w:vAlign w:val="center"/>
            <w:shd w:fill="E7F5F4"/>
          </w:tcPr>
          <w:p>
            <w:r>
              <w:t>Correct. Consultation and supervision serve different functions. APCC status requires qualifying supervision and related legal documentation/accountability.</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Tell the APCC that consultation is prohibited during supervised practice.</w:t>
            </w:r>
          </w:p>
        </w:tc>
        <w:tc>
          <w:tcPr>
            <w:tcW w:type="dxa" w:w="5040"/>
            <w:tcMar>
              <w:top w:w="70" w:type="dxa"/>
              <w:start w:w="70" w:type="dxa"/>
              <w:bottom w:w="70" w:type="dxa"/>
              <w:end w:w="70" w:type="dxa"/>
            </w:tcMar>
            <w:vAlign w:val="center"/>
          </w:tcPr>
          <w:p>
            <w:r>
              <w:t>Incorrect. Consultation may be useful; it simply cannot replace required supervision.</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Agree because any licensed colleague can serve as a consultant instead of a supervisor.</w:t>
            </w:r>
          </w:p>
        </w:tc>
        <w:tc>
          <w:tcPr>
            <w:tcW w:type="dxa" w:w="5040"/>
            <w:tcMar>
              <w:top w:w="70" w:type="dxa"/>
              <w:start w:w="70" w:type="dxa"/>
              <w:bottom w:w="70" w:type="dxa"/>
              <w:end w:w="70" w:type="dxa"/>
            </w:tcMar>
            <w:vAlign w:val="center"/>
          </w:tcPr>
          <w:p>
            <w:r>
              <w:t>Incorrect. Optional advice does not create the legal supervisory relationship required for an APCC.</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Agree if the colleague has more years of experience than the APCC’s former supervisor.</w:t>
            </w:r>
          </w:p>
        </w:tc>
        <w:tc>
          <w:tcPr>
            <w:tcW w:type="dxa" w:w="5040"/>
            <w:tcMar>
              <w:top w:w="70" w:type="dxa"/>
              <w:start w:w="70" w:type="dxa"/>
              <w:bottom w:w="70" w:type="dxa"/>
              <w:end w:w="70" w:type="dxa"/>
            </w:tcMar>
            <w:vAlign w:val="center"/>
          </w:tcPr>
          <w:p>
            <w:r>
              <w:t>Incorrect. Experience alone does not substitute for the legal qualifications and relationship requirements of supervision.</w:t>
            </w:r>
          </w:p>
        </w:tc>
      </w:tr>
    </w:tbl>
    <w:p>
      <w:pPr>
        <w:pStyle w:val="Heading2"/>
      </w:pPr>
      <w:r>
        <w:t>Why the Key Controls</w:t>
      </w:r>
    </w:p>
    <w:p>
      <w:r>
        <w:t>Consultation and supervision serve different functions. APCC status requires qualifying supervision and related legal documentation/accountability.</w:t>
      </w:r>
    </w:p>
    <w:p>
      <w:pPr>
        <w:pStyle w:val="Heading2"/>
      </w:pPr>
      <w:r>
        <w:t>CTA Exam Strategy</w:t>
      </w:r>
    </w:p>
    <w:p>
      <w:r>
        <w:t>Focus on competence, integrity, bias, impairment, and proportional safeguards; do not confuse an internal reaction or diagnosis with demonstrated functional impairment.</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Consultation Versus Required Supervision</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Ethics/Role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WB3-C4 Consultation; License-Specific Module Unit 5</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CONSULTATION-VS-SUPERVISION</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BPC 4999.46-4999.46.5; ACA Code of Ethics (2014 working source), supervision standards.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29 - Controlled Rationale</w:t>
      </w:r>
    </w:p>
    <w:p>
      <w:r>
        <w:rPr>
          <w:b/>
        </w:rPr>
        <w:t xml:space="preserve">Item ID: </w:t>
      </w:r>
      <w:r>
        <w:t>LPCC-LE-CUM-A-029</w:t>
      </w:r>
    </w:p>
    <w:p>
      <w:r>
        <w:rPr>
          <w:b/>
        </w:rPr>
        <w:t xml:space="preserve">Stem: </w:t>
      </w:r>
      <w:r>
        <w:t>An LPCC considers using an assessment instrument informally translated by a colleague for a client whose primary language is not English. The LPCC has not reviewed validity evidence or cultural/linguistic limitations. What should occur FIRST?</w:t>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Use it if the colleague says the translation is accurate.</w:t>
            </w:r>
          </w:p>
        </w:tc>
        <w:tc>
          <w:tcPr>
            <w:tcW w:type="dxa" w:w="5040"/>
            <w:tcMar>
              <w:top w:w="70" w:type="dxa"/>
              <w:start w:w="70" w:type="dxa"/>
              <w:bottom w:w="70" w:type="dxa"/>
              <w:end w:w="70" w:type="dxa"/>
            </w:tcMar>
            <w:vAlign w:val="center"/>
          </w:tcPr>
          <w:p>
            <w:r>
              <w:t>Incorrect. Informal assurance is not a substitute for evidence about the instrument and its use.</w:t>
            </w:r>
          </w:p>
        </w:tc>
      </w:tr>
      <w:tr>
        <w:tc>
          <w:tcPr>
            <w:tcW w:type="dxa" w:w="792"/>
            <w:tcMar>
              <w:top w:w="70" w:type="dxa"/>
              <w:start w:w="70" w:type="dxa"/>
              <w:bottom w:w="70" w:type="dxa"/>
              <w:end w:w="70" w:type="dxa"/>
            </w:tcMar>
            <w:vAlign w:val="center"/>
            <w:shd w:fill="E7F5F4"/>
          </w:tcPr>
          <w:p>
            <w:r>
              <w:rPr>
                <w:b/>
              </w:rPr>
              <w:t>B</w:t>
            </w:r>
          </w:p>
        </w:tc>
        <w:tc>
          <w:tcPr>
            <w:tcW w:type="dxa" w:w="4392"/>
            <w:tcMar>
              <w:top w:w="70" w:type="dxa"/>
              <w:start w:w="70" w:type="dxa"/>
              <w:bottom w:w="70" w:type="dxa"/>
              <w:end w:w="70" w:type="dxa"/>
            </w:tcMar>
            <w:vAlign w:val="center"/>
            <w:shd w:fill="E7F5F4"/>
          </w:tcPr>
          <w:p>
            <w:r>
              <w:t>Evaluate the instrument’s purpose, evidence, cultural and linguistic fit, and the LPCC’s competence; select an appropriate measure or refer if those conditions cannot be met.</w:t>
            </w:r>
          </w:p>
        </w:tc>
        <w:tc>
          <w:tcPr>
            <w:tcW w:type="dxa" w:w="5040"/>
            <w:tcMar>
              <w:top w:w="70" w:type="dxa"/>
              <w:start w:w="70" w:type="dxa"/>
              <w:bottom w:w="70" w:type="dxa"/>
              <w:end w:w="70" w:type="dxa"/>
            </w:tcMar>
            <w:vAlign w:val="center"/>
            <w:shd w:fill="E7F5F4"/>
          </w:tcPr>
          <w:p>
            <w:r>
              <w:t>Correct. Ethical assessment begins with appropriate instrument selection and competence before administration or interpretation.</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Administer it and add a disclaimer after scoring.</w:t>
            </w:r>
          </w:p>
        </w:tc>
        <w:tc>
          <w:tcPr>
            <w:tcW w:type="dxa" w:w="5040"/>
            <w:tcMar>
              <w:top w:w="70" w:type="dxa"/>
              <w:start w:w="70" w:type="dxa"/>
              <w:bottom w:w="70" w:type="dxa"/>
              <w:end w:w="70" w:type="dxa"/>
            </w:tcMar>
            <w:vAlign w:val="center"/>
          </w:tcPr>
          <w:p>
            <w:r>
              <w:t>Incorrect. A later disclaimer does not cure an unsound instrument-selection decision.</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Use it because the client asked for testing.</w:t>
            </w:r>
          </w:p>
        </w:tc>
        <w:tc>
          <w:tcPr>
            <w:tcW w:type="dxa" w:w="5040"/>
            <w:tcMar>
              <w:top w:w="70" w:type="dxa"/>
              <w:start w:w="70" w:type="dxa"/>
              <w:bottom w:w="70" w:type="dxa"/>
              <w:end w:w="70" w:type="dxa"/>
            </w:tcMar>
            <w:vAlign w:val="center"/>
          </w:tcPr>
          <w:p>
            <w:r>
              <w:t>Incorrect. Client preference does not establish validity, appropriateness, or competence.</w:t>
            </w:r>
          </w:p>
        </w:tc>
      </w:tr>
    </w:tbl>
    <w:p>
      <w:pPr>
        <w:pStyle w:val="Heading2"/>
      </w:pPr>
      <w:r>
        <w:t>Why the Key Controls</w:t>
      </w:r>
    </w:p>
    <w:p>
      <w:r>
        <w:t>Ethical assessment begins with appropriate instrument selection and competence before administration or interpretation.</w:t>
      </w:r>
    </w:p>
    <w:p>
      <w:pPr>
        <w:pStyle w:val="Heading2"/>
      </w:pPr>
      <w:r>
        <w:t>CTA Exam Strategy</w:t>
      </w:r>
    </w:p>
    <w:p>
      <w:r>
        <w:t>Focus on competence, integrity, bias, impairment, and proportional safeguards; do not confuse an internal reaction or diagnosis with demonstrated functional impairment.</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Assessment Instrument Fit</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Assessment Scenario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License-Specific Module Unit 3; WB3-C2</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ASSESSMENT-VALIDITY-CULTURE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BPC 4999.20(c)-(d); ACA Code of Ethics (2014 working source), assessment standards.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30 - Controlled Rationale</w:t>
      </w:r>
    </w:p>
    <w:p>
      <w:r>
        <w:rPr>
          <w:b/>
        </w:rPr>
        <w:t xml:space="preserve">Item ID: </w:t>
      </w:r>
      <w:r>
        <w:t>LPCC-LE-CUM-A-030</w:t>
      </w:r>
    </w:p>
    <w:p>
      <w:r>
        <w:rPr>
          <w:b/>
        </w:rPr>
        <w:t xml:space="preserve">Stem: </w:t>
      </w:r>
      <w:r>
        <w:t>An LPCC receives credible but incomplete information that a colleague may be practicing while impaired. No immediate client danger is established. What should the LPCC do FIRST?</w:t>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rPr>
                <w:b/>
              </w:rPr>
              <w:t>A</w:t>
            </w:r>
          </w:p>
        </w:tc>
        <w:tc>
          <w:tcPr>
            <w:tcW w:type="dxa" w:w="4392"/>
            <w:tcMar>
              <w:top w:w="70" w:type="dxa"/>
              <w:start w:w="70" w:type="dxa"/>
              <w:bottom w:w="70" w:type="dxa"/>
              <w:end w:w="70" w:type="dxa"/>
            </w:tcMar>
            <w:vAlign w:val="center"/>
            <w:shd w:fill="E7F5F4"/>
          </w:tcPr>
          <w:p>
            <w:r>
              <w:t>Clarify facts within role, assess client risk and applicable duties, and obtain timely ethical, supervisory, legal, or organizational consultation before selecting the appropriate channel.</w:t>
            </w:r>
          </w:p>
        </w:tc>
        <w:tc>
          <w:tcPr>
            <w:tcW w:type="dxa" w:w="5040"/>
            <w:tcMar>
              <w:top w:w="70" w:type="dxa"/>
              <w:start w:w="70" w:type="dxa"/>
              <w:bottom w:w="70" w:type="dxa"/>
              <w:end w:w="70" w:type="dxa"/>
            </w:tcMar>
            <w:vAlign w:val="center"/>
            <w:shd w:fill="E7F5F4"/>
          </w:tcPr>
          <w:p>
            <w:r>
              <w:t>Correct. In a nonurgent situation with incomplete information, a proportionate fact-based response protects clients without jumping to public accusation or indiscriminate reporting.</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Publicly accuse the colleague so clients can protect themselves.</w:t>
            </w:r>
          </w:p>
        </w:tc>
        <w:tc>
          <w:tcPr>
            <w:tcW w:type="dxa" w:w="5040"/>
            <w:tcMar>
              <w:top w:w="70" w:type="dxa"/>
              <w:start w:w="70" w:type="dxa"/>
              <w:bottom w:w="70" w:type="dxa"/>
              <w:end w:w="70" w:type="dxa"/>
            </w:tcMar>
            <w:vAlign w:val="center"/>
          </w:tcPr>
          <w:p>
            <w:r>
              <w:t>Incorrect. Public accusation can spread unverified information and bypass proper processes.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Ignore the concern because only a client may raise impairment issues.</w:t>
            </w:r>
          </w:p>
        </w:tc>
        <w:tc>
          <w:tcPr>
            <w:tcW w:type="dxa" w:w="5040"/>
            <w:tcMar>
              <w:top w:w="70" w:type="dxa"/>
              <w:start w:w="70" w:type="dxa"/>
              <w:bottom w:w="70" w:type="dxa"/>
              <w:end w:w="70" w:type="dxa"/>
            </w:tcMar>
            <w:vAlign w:val="center"/>
          </w:tcPr>
          <w:p>
            <w:r>
              <w:t>Incorrect. Credible information affecting client welfare may require professional attention.</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File complaints with every possible agency immediately.</w:t>
            </w:r>
          </w:p>
        </w:tc>
        <w:tc>
          <w:tcPr>
            <w:tcW w:type="dxa" w:w="5040"/>
            <w:tcMar>
              <w:top w:w="70" w:type="dxa"/>
              <w:start w:w="70" w:type="dxa"/>
              <w:bottom w:w="70" w:type="dxa"/>
              <w:end w:w="70" w:type="dxa"/>
            </w:tcMar>
            <w:vAlign w:val="center"/>
          </w:tcPr>
          <w:p>
            <w:r>
              <w:t>Incorrect. Indiscriminate reporting is not a substitute for identifying the applicable duty and authorized channel.</w:t>
            </w:r>
          </w:p>
        </w:tc>
      </w:tr>
    </w:tbl>
    <w:p>
      <w:pPr>
        <w:pStyle w:val="Heading2"/>
      </w:pPr>
      <w:r>
        <w:t>Why the Key Controls</w:t>
      </w:r>
    </w:p>
    <w:p>
      <w:r>
        <w:t>In a nonurgent situation with incomplete information, a proportionate fact-based response protects clients without jumping to public accusation or indiscriminate reporting.</w:t>
      </w:r>
    </w:p>
    <w:p>
      <w:pPr>
        <w:pStyle w:val="Heading2"/>
      </w:pPr>
      <w:r>
        <w:t>CTA Exam Strategy</w:t>
      </w:r>
    </w:p>
    <w:p>
      <w:r>
        <w:t>Focus on competence, integrity, bias, impairment, and proportional safeguards; do not confuse an internal reaction or diagnosis with demonstrated functional impairment.</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Colleague Impairment Concern</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2.1</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Ethics Scenario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WB4-C5 Responding to Impairment; WB5-C4 Accountability</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COLLEAGUE-IMPAIRMENT</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working source); BPC 4999.90; applicable organizational/reporting duties.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31 - Controlled Rationale</w:t>
      </w:r>
    </w:p>
    <w:p>
      <w:r>
        <w:rPr>
          <w:b/>
        </w:rPr>
        <w:t xml:space="preserve">Item ID: </w:t>
      </w:r>
      <w:r>
        <w:t>LPCC-LE-CUM-A-031</w:t>
      </w:r>
    </w:p>
    <w:p>
      <w:r>
        <w:rPr>
          <w:b/>
        </w:rPr>
        <w:t xml:space="preserve">Stem: </w:t>
      </w:r>
      <w:r>
        <w:t>An adult client understands the LPCC’s recommendation but chooses a different reasonable treatment option. No emergency or involuntary authority applies. What is the BEST response?</w:t>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Implement the preferred intervention without consent because it is clinically beneficial.</w:t>
            </w:r>
          </w:p>
        </w:tc>
        <w:tc>
          <w:tcPr>
            <w:tcW w:type="dxa" w:w="5040"/>
            <w:tcMar>
              <w:top w:w="70" w:type="dxa"/>
              <w:start w:w="70" w:type="dxa"/>
              <w:bottom w:w="70" w:type="dxa"/>
              <w:end w:w="70" w:type="dxa"/>
            </w:tcMar>
            <w:vAlign w:val="center"/>
          </w:tcPr>
          <w:p>
            <w:r>
              <w:t>Incorrect. Beneficence does not erase informed choice in voluntary treatment.</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Continue persuading until the client agrees with the LPCC.</w:t>
            </w:r>
          </w:p>
        </w:tc>
        <w:tc>
          <w:tcPr>
            <w:tcW w:type="dxa" w:w="5040"/>
            <w:tcMar>
              <w:top w:w="70" w:type="dxa"/>
              <w:start w:w="70" w:type="dxa"/>
              <w:bottom w:w="70" w:type="dxa"/>
              <w:end w:w="70" w:type="dxa"/>
            </w:tcMar>
            <w:vAlign w:val="center"/>
          </w:tcPr>
          <w:p>
            <w:r>
              <w:t>Incorrect. Persistent pressure after informed decision-making can undermine voluntariness.</w:t>
            </w:r>
          </w:p>
        </w:tc>
      </w:tr>
      <w:tr>
        <w:tc>
          <w:tcPr>
            <w:tcW w:type="dxa" w:w="792"/>
            <w:tcMar>
              <w:top w:w="70" w:type="dxa"/>
              <w:start w:w="70" w:type="dxa"/>
              <w:bottom w:w="70" w:type="dxa"/>
              <w:end w:w="70" w:type="dxa"/>
            </w:tcMar>
            <w:vAlign w:val="center"/>
            <w:shd w:fill="E7F5F4"/>
          </w:tcPr>
          <w:p>
            <w:r>
              <w:rPr>
                <w:b/>
              </w:rPr>
              <w:t>C</w:t>
            </w:r>
          </w:p>
        </w:tc>
        <w:tc>
          <w:tcPr>
            <w:tcW w:type="dxa" w:w="4392"/>
            <w:tcMar>
              <w:top w:w="70" w:type="dxa"/>
              <w:start w:w="70" w:type="dxa"/>
              <w:bottom w:w="70" w:type="dxa"/>
              <w:end w:w="70" w:type="dxa"/>
            </w:tcMar>
            <w:vAlign w:val="center"/>
            <w:shd w:fill="E7F5F4"/>
          </w:tcPr>
          <w:p>
            <w:r>
              <w:t>Respect the informed choice, discuss benefits and limitations of reasonable options, and continue or arrange appropriate care consistent with client welfare.</w:t>
            </w:r>
          </w:p>
        </w:tc>
        <w:tc>
          <w:tcPr>
            <w:tcW w:type="dxa" w:w="5040"/>
            <w:tcMar>
              <w:top w:w="70" w:type="dxa"/>
              <w:start w:w="70" w:type="dxa"/>
              <w:bottom w:w="70" w:type="dxa"/>
              <w:end w:w="70" w:type="dxa"/>
            </w:tcMar>
            <w:vAlign w:val="center"/>
            <w:shd w:fill="E7F5F4"/>
          </w:tcPr>
          <w:p>
            <w:r>
              <w:t>Correct. Client welfare includes respect for informed self-determination; beneficence does not ordinarily authorize overriding a competent client’s voluntary choice.</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Terminate immediately because disagreement proves noncompliance.</w:t>
            </w:r>
          </w:p>
        </w:tc>
        <w:tc>
          <w:tcPr>
            <w:tcW w:type="dxa" w:w="5040"/>
            <w:tcMar>
              <w:top w:w="70" w:type="dxa"/>
              <w:start w:w="70" w:type="dxa"/>
              <w:bottom w:w="70" w:type="dxa"/>
              <w:end w:w="70" w:type="dxa"/>
            </w:tcMar>
            <w:vAlign w:val="center"/>
          </w:tcPr>
          <w:p>
            <w:r>
              <w:t>Incorrect. Disagreement with one recommendation does not automatically require termination.</w:t>
            </w:r>
          </w:p>
        </w:tc>
      </w:tr>
    </w:tbl>
    <w:p>
      <w:pPr>
        <w:pStyle w:val="Heading2"/>
      </w:pPr>
      <w:r>
        <w:t>Why the Key Controls</w:t>
      </w:r>
    </w:p>
    <w:p>
      <w:r>
        <w:t>Client welfare includes respect for informed self-determination; beneficence does not ordinarily authorize overriding a competent client’s voluntary choice.</w:t>
      </w:r>
    </w:p>
    <w:p>
      <w:pPr>
        <w:pStyle w:val="Heading2"/>
      </w:pPr>
      <w:r>
        <w:t>CTA Exam Strategy</w:t>
      </w:r>
    </w:p>
    <w:p>
      <w:r>
        <w:t>Center client welfare, autonomy, access, relationship power, and continuity; avoid both paternalistic overreach and passive under-response.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Beneficence and Autonomy</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Foundational Ethics Application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WB5-C3 Beneficence and Client Welfare</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AUTONOMY-BENEFICENCE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working source), counseling relationship/autonomy standards.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32 - Controlled Rationale</w:t>
      </w:r>
    </w:p>
    <w:p>
      <w:r>
        <w:rPr>
          <w:b/>
        </w:rPr>
        <w:t xml:space="preserve">Item ID: </w:t>
      </w:r>
      <w:r>
        <w:t>LPCC-LE-CUM-A-032</w:t>
      </w:r>
    </w:p>
    <w:p>
      <w:r>
        <w:rPr>
          <w:b/>
        </w:rPr>
        <w:t xml:space="preserve">Stem: </w:t>
      </w:r>
      <w:r>
        <w:t>A client wants to reduce anxiety enough to return to work. The LPCC personally believes the client should instead end a romantic relationship and repeatedly redirects sessions toward that goal. What is the BEST corrective response?</w:t>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Terminate because counselor and client values differ.</w:t>
            </w:r>
          </w:p>
        </w:tc>
        <w:tc>
          <w:tcPr>
            <w:tcW w:type="dxa" w:w="5040"/>
            <w:tcMar>
              <w:top w:w="70" w:type="dxa"/>
              <w:start w:w="70" w:type="dxa"/>
              <w:bottom w:w="70" w:type="dxa"/>
              <w:end w:w="70" w:type="dxa"/>
            </w:tcMar>
            <w:vAlign w:val="center"/>
          </w:tcPr>
          <w:p>
            <w:r>
              <w:t>Incorrect. Value differences alone do not require termination when competent, fair care can be provided.</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Hide the counselor’s agenda while continuing to steer the client toward the preferred choice.</w:t>
            </w:r>
          </w:p>
        </w:tc>
        <w:tc>
          <w:tcPr>
            <w:tcW w:type="dxa" w:w="5040"/>
            <w:tcMar>
              <w:top w:w="70" w:type="dxa"/>
              <w:start w:w="70" w:type="dxa"/>
              <w:bottom w:w="70" w:type="dxa"/>
              <w:end w:w="70" w:type="dxa"/>
            </w:tcMar>
            <w:vAlign w:val="center"/>
          </w:tcPr>
          <w:p>
            <w:r>
              <w:t>Incorrect. Covert value imposition is inconsistent with client-centered practice and informed collaboration.</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Continue because counselors may substitute their values whenever they believe the client is making a poor life choice.</w:t>
            </w:r>
          </w:p>
        </w:tc>
        <w:tc>
          <w:tcPr>
            <w:tcW w:type="dxa" w:w="5040"/>
            <w:tcMar>
              <w:top w:w="70" w:type="dxa"/>
              <w:start w:w="70" w:type="dxa"/>
              <w:bottom w:w="70" w:type="dxa"/>
              <w:end w:w="70" w:type="dxa"/>
            </w:tcMar>
            <w:vAlign w:val="center"/>
          </w:tcPr>
          <w:p>
            <w:r>
              <w:t>Incorrect. Professional influence must not become value imposition.</w:t>
            </w:r>
          </w:p>
        </w:tc>
      </w:tr>
      <w:tr>
        <w:tc>
          <w:tcPr>
            <w:tcW w:type="dxa" w:w="792"/>
            <w:tcMar>
              <w:top w:w="70" w:type="dxa"/>
              <w:start w:w="70" w:type="dxa"/>
              <w:bottom w:w="70" w:type="dxa"/>
              <w:end w:w="70" w:type="dxa"/>
            </w:tcMar>
            <w:vAlign w:val="center"/>
            <w:shd w:fill="E7F5F4"/>
          </w:tcPr>
          <w:p>
            <w:r>
              <w:rPr>
                <w:b/>
              </w:rPr>
              <w:t>D</w:t>
            </w:r>
          </w:p>
        </w:tc>
        <w:tc>
          <w:tcPr>
            <w:tcW w:type="dxa" w:w="4392"/>
            <w:tcMar>
              <w:top w:w="70" w:type="dxa"/>
              <w:start w:w="70" w:type="dxa"/>
              <w:bottom w:w="70" w:type="dxa"/>
              <w:end w:w="70" w:type="dxa"/>
            </w:tcMar>
            <w:vAlign w:val="center"/>
            <w:shd w:fill="E7F5F4"/>
          </w:tcPr>
          <w:p>
            <w:r>
              <w:t>Return to the client-defined treatment goals, examine the counselor’s values and influence, and revise the plan collaboratively unless safety, law, or another legitimate clinical issue requires a different focus.</w:t>
            </w:r>
          </w:p>
        </w:tc>
        <w:tc>
          <w:tcPr>
            <w:tcW w:type="dxa" w:w="5040"/>
            <w:tcMar>
              <w:top w:w="70" w:type="dxa"/>
              <w:start w:w="70" w:type="dxa"/>
              <w:bottom w:w="70" w:type="dxa"/>
              <w:end w:w="70" w:type="dxa"/>
            </w:tcMar>
            <w:vAlign w:val="center"/>
            <w:shd w:fill="E7F5F4"/>
          </w:tcPr>
          <w:p>
            <w:r>
              <w:t>Correct. Counseling should not become a vehicle for imposing the counselor’s personal values when the client’s lawful, clinically appropriate goals can be pursued.</w:t>
            </w:r>
          </w:p>
        </w:tc>
      </w:tr>
    </w:tbl>
    <w:p>
      <w:pPr>
        <w:pStyle w:val="Heading2"/>
      </w:pPr>
      <w:r>
        <w:t>Why the Key Controls</w:t>
      </w:r>
    </w:p>
    <w:p>
      <w:r>
        <w:t>Counseling should not become a vehicle for imposing the counselor’s personal values when the client’s lawful, clinically appropriate goals can be pursued.</w:t>
      </w:r>
    </w:p>
    <w:p>
      <w:pPr>
        <w:pStyle w:val="Heading2"/>
      </w:pPr>
      <w:r>
        <w:t>CTA Exam Strategy</w:t>
      </w:r>
    </w:p>
    <w:p>
      <w:r>
        <w:t>Center client welfare, autonomy, access, relationship power, and continuity; avoid both paternalistic overreach and passive under-response.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Client Goals Versus Counselor Values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Ethics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WB5-C3 Client Welfare; WB7-C2 Bias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VALUES-IMPOSITION</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working source), values and client autonomy standards.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33 - Controlled Rationale</w:t>
      </w:r>
    </w:p>
    <w:p>
      <w:r>
        <w:rPr>
          <w:b/>
        </w:rPr>
        <w:t xml:space="preserve">Item ID: </w:t>
      </w:r>
      <w:r>
        <w:t>LPCC-LE-CUM-A-033</w:t>
      </w:r>
    </w:p>
    <w:p>
      <w:r>
        <w:rPr>
          <w:b/>
        </w:rPr>
        <w:t xml:space="preserve">Stem: </w:t>
      </w:r>
      <w:r>
        <w:t>An LPCC determines that treatment is no longer effective and that another provider has specialized expertise the client needs. The client is clinically stable. What is the BEST response?</w:t>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rPr>
                <w:b/>
              </w:rPr>
              <w:t>A</w:t>
            </w:r>
          </w:p>
        </w:tc>
        <w:tc>
          <w:tcPr>
            <w:tcW w:type="dxa" w:w="4392"/>
            <w:tcMar>
              <w:top w:w="70" w:type="dxa"/>
              <w:start w:w="70" w:type="dxa"/>
              <w:bottom w:w="70" w:type="dxa"/>
              <w:end w:w="70" w:type="dxa"/>
            </w:tcMar>
            <w:vAlign w:val="center"/>
            <w:shd w:fill="E7F5F4"/>
          </w:tcPr>
          <w:p>
            <w:r>
              <w:t>Discuss the concern and options with the client, plan an appropriate referral or transfer, address records and communication with authorization, and protect continuity rather than ending abruptly.</w:t>
            </w:r>
          </w:p>
        </w:tc>
        <w:tc>
          <w:tcPr>
            <w:tcW w:type="dxa" w:w="5040"/>
            <w:tcMar>
              <w:top w:w="70" w:type="dxa"/>
              <w:start w:w="70" w:type="dxa"/>
              <w:bottom w:w="70" w:type="dxa"/>
              <w:end w:w="70" w:type="dxa"/>
            </w:tcMar>
            <w:vAlign w:val="center"/>
            <w:shd w:fill="E7F5F4"/>
          </w:tcPr>
          <w:p>
            <w:r>
              <w:t>Correct. Ethical termination focuses on client welfare, communication, transition, and continuity rather than abandonment.</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Stop scheduling immediately so the client understands the need to find someone else.</w:t>
            </w:r>
          </w:p>
        </w:tc>
        <w:tc>
          <w:tcPr>
            <w:tcW w:type="dxa" w:w="5040"/>
            <w:tcMar>
              <w:top w:w="70" w:type="dxa"/>
              <w:start w:w="70" w:type="dxa"/>
              <w:bottom w:w="70" w:type="dxa"/>
              <w:end w:w="70" w:type="dxa"/>
            </w:tcMar>
            <w:vAlign w:val="center"/>
          </w:tcPr>
          <w:p>
            <w:r>
              <w:t>Incorrect. Abrupt cessation can create avoidable continuity and abandonment concerns.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Continue indefinitely because referral may feel rejecting.</w:t>
            </w:r>
          </w:p>
        </w:tc>
        <w:tc>
          <w:tcPr>
            <w:tcW w:type="dxa" w:w="5040"/>
            <w:tcMar>
              <w:top w:w="70" w:type="dxa"/>
              <w:start w:w="70" w:type="dxa"/>
              <w:bottom w:w="70" w:type="dxa"/>
              <w:end w:w="70" w:type="dxa"/>
            </w:tcMar>
            <w:vAlign w:val="center"/>
          </w:tcPr>
          <w:p>
            <w:r>
              <w:t>Incorrect. Continuing ineffective care may also harm the client.</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Send the complete record to a specialist before discussing referral with the client.</w:t>
            </w:r>
          </w:p>
        </w:tc>
        <w:tc>
          <w:tcPr>
            <w:tcW w:type="dxa" w:w="5040"/>
            <w:tcMar>
              <w:top w:w="70" w:type="dxa"/>
              <w:start w:w="70" w:type="dxa"/>
              <w:bottom w:w="70" w:type="dxa"/>
              <w:end w:w="70" w:type="dxa"/>
            </w:tcMar>
            <w:vAlign w:val="center"/>
          </w:tcPr>
          <w:p>
            <w:r>
              <w:t>Incorrect. Referral does not automatically authorize disclosure of the record.</w:t>
            </w:r>
          </w:p>
        </w:tc>
      </w:tr>
    </w:tbl>
    <w:p>
      <w:pPr>
        <w:pStyle w:val="Heading2"/>
      </w:pPr>
      <w:r>
        <w:t>Why the Key Controls</w:t>
      </w:r>
    </w:p>
    <w:p>
      <w:r>
        <w:t>Ethical termination focuses on client welfare, communication, transition, and continuity rather than abandonment.</w:t>
      </w:r>
    </w:p>
    <w:p>
      <w:pPr>
        <w:pStyle w:val="Heading2"/>
      </w:pPr>
      <w:r>
        <w:t>CTA Exam Strategy</w:t>
      </w:r>
    </w:p>
    <w:p>
      <w:r>
        <w:t>Center client welfare, autonomy, access, relationship power, and continuity; avoid both paternalistic overreach and passive under-response.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Termination and Continuity</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Ethics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WB5-C3 Client Welfare</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TERMINATION-CONTINUITY</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working source), termination/referral standards; applicable confidentiality law.</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34 - Controlled Rationale</w:t>
      </w:r>
    </w:p>
    <w:p>
      <w:r>
        <w:rPr>
          <w:b/>
        </w:rPr>
        <w:t xml:space="preserve">Item ID: </w:t>
      </w:r>
      <w:r>
        <w:t>LPCC-LE-CUM-A-034</w:t>
      </w:r>
    </w:p>
    <w:p>
      <w:r>
        <w:rPr>
          <w:b/>
        </w:rPr>
        <w:t xml:space="preserve">Stem: </w:t>
      </w:r>
      <w:r>
        <w:t>An LPCC in a small rural community is asked to serve on the only local disaster-response committee, where a current client also serves. Declining would leave the committee without any behavioral-health professional. What is the BEST response?</w:t>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Ask the client to keep therapy secret from everyone on the committee.</w:t>
            </w:r>
          </w:p>
        </w:tc>
        <w:tc>
          <w:tcPr>
            <w:tcW w:type="dxa" w:w="5040"/>
            <w:tcMar>
              <w:top w:w="70" w:type="dxa"/>
              <w:start w:w="70" w:type="dxa"/>
              <w:bottom w:w="70" w:type="dxa"/>
              <w:end w:w="70" w:type="dxa"/>
            </w:tcMar>
            <w:vAlign w:val="center"/>
          </w:tcPr>
          <w:p>
            <w:r>
              <w:t>Incorrect. Secrecy does not resolve the role conflict and may increase shame or boundary strain.</w:t>
            </w:r>
          </w:p>
        </w:tc>
      </w:tr>
      <w:tr>
        <w:tc>
          <w:tcPr>
            <w:tcW w:type="dxa" w:w="792"/>
            <w:tcMar>
              <w:top w:w="70" w:type="dxa"/>
              <w:start w:w="70" w:type="dxa"/>
              <w:bottom w:w="70" w:type="dxa"/>
              <w:end w:w="70" w:type="dxa"/>
            </w:tcMar>
            <w:vAlign w:val="center"/>
            <w:shd w:fill="E7F5F4"/>
          </w:tcPr>
          <w:p>
            <w:r>
              <w:rPr>
                <w:b/>
              </w:rPr>
              <w:t>B</w:t>
            </w:r>
          </w:p>
        </w:tc>
        <w:tc>
          <w:tcPr>
            <w:tcW w:type="dxa" w:w="4392"/>
            <w:tcMar>
              <w:top w:w="70" w:type="dxa"/>
              <w:start w:w="70" w:type="dxa"/>
              <w:bottom w:w="70" w:type="dxa"/>
              <w:end w:w="70" w:type="dxa"/>
            </w:tcMar>
            <w:vAlign w:val="center"/>
            <w:shd w:fill="E7F5F4"/>
          </w:tcPr>
          <w:p>
            <w:r>
              <w:t>Assess alternatives, discuss foreseeable role and confidentiality risks when appropriate, establish safeguards, document the reasoning, and monitor whether the overlap affects treatment or professional judgment.</w:t>
            </w:r>
          </w:p>
        </w:tc>
        <w:tc>
          <w:tcPr>
            <w:tcW w:type="dxa" w:w="5040"/>
            <w:tcMar>
              <w:top w:w="70" w:type="dxa"/>
              <w:start w:w="70" w:type="dxa"/>
              <w:bottom w:w="70" w:type="dxa"/>
              <w:end w:w="70" w:type="dxa"/>
            </w:tcMar>
            <w:vAlign w:val="center"/>
            <w:shd w:fill="E7F5F4"/>
          </w:tcPr>
          <w:p>
            <w:r>
              <w:t>Correct. Some community overlaps may be difficult to avoid. The ethical task is contextual risk analysis and safeguards, not automatic acceptance or automatic termination.</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Accept without analysis because community service is separate from therapy.</w:t>
            </w:r>
          </w:p>
        </w:tc>
        <w:tc>
          <w:tcPr>
            <w:tcW w:type="dxa" w:w="5040"/>
            <w:tcMar>
              <w:top w:w="70" w:type="dxa"/>
              <w:start w:w="70" w:type="dxa"/>
              <w:bottom w:w="70" w:type="dxa"/>
              <w:end w:w="70" w:type="dxa"/>
            </w:tcMar>
            <w:vAlign w:val="center"/>
          </w:tcPr>
          <w:p>
            <w:r>
              <w:t>Incorrect. The overlap can still affect confidentiality, power, boundaries, and judgment.</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Terminate the client immediately before joining the committee.</w:t>
            </w:r>
          </w:p>
        </w:tc>
        <w:tc>
          <w:tcPr>
            <w:tcW w:type="dxa" w:w="5040"/>
            <w:tcMar>
              <w:top w:w="70" w:type="dxa"/>
              <w:start w:w="70" w:type="dxa"/>
              <w:bottom w:w="70" w:type="dxa"/>
              <w:end w:w="70" w:type="dxa"/>
            </w:tcMar>
            <w:vAlign w:val="center"/>
          </w:tcPr>
          <w:p>
            <w:r>
              <w:t>Incorrect. Termination may harm the client and does not necessarily erase the prior relationship or conflict.</w:t>
            </w:r>
          </w:p>
        </w:tc>
      </w:tr>
    </w:tbl>
    <w:p>
      <w:pPr>
        <w:pStyle w:val="Heading2"/>
      </w:pPr>
      <w:r>
        <w:t>Why the Key Controls</w:t>
      </w:r>
    </w:p>
    <w:p>
      <w:r>
        <w:t>Some community overlaps may be difficult to avoid. The ethical task is contextual risk analysis and safeguards, not automatic acceptance or automatic termination.</w:t>
      </w:r>
    </w:p>
    <w:p>
      <w:pPr>
        <w:pStyle w:val="Heading2"/>
      </w:pPr>
      <w:r>
        <w:t>CTA Exam Strategy</w:t>
      </w:r>
    </w:p>
    <w:p>
      <w:r>
        <w:t>Center client welfare, autonomy, access, relationship power, and continuity; avoid both paternalistic overreach and passive under-response.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Unavoidable Community Overlap</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Integrated Boundary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WB6-C3 Multiple Relationships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COMMUNITY-MULTIPLE-RELATIONSHIP</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working source), multiple-relationship/boundary standards.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35 - Controlled Rationale</w:t>
      </w:r>
    </w:p>
    <w:p>
      <w:r>
        <w:rPr>
          <w:b/>
        </w:rPr>
        <w:t xml:space="preserve">Item ID: </w:t>
      </w:r>
      <w:r>
        <w:t>LPCC-LE-CUM-A-035</w:t>
      </w:r>
    </w:p>
    <w:p>
      <w:r>
        <w:rPr>
          <w:b/>
        </w:rPr>
        <w:t xml:space="preserve">Stem: </w:t>
      </w:r>
      <w:r>
        <w:t>At the final session, a client offers an LPCC a valuable handmade object and explains that refusing it would carry significant cultural meaning. What is the BEST response?</w:t>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Refuse immediately because every client gift is unethical.</w:t>
            </w:r>
          </w:p>
        </w:tc>
        <w:tc>
          <w:tcPr>
            <w:tcW w:type="dxa" w:w="5040"/>
            <w:tcMar>
              <w:top w:w="70" w:type="dxa"/>
              <w:start w:w="70" w:type="dxa"/>
              <w:bottom w:w="70" w:type="dxa"/>
              <w:end w:w="70" w:type="dxa"/>
            </w:tcMar>
            <w:vAlign w:val="center"/>
          </w:tcPr>
          <w:p>
            <w:r>
              <w:t>Incorrect. A categorical rule can ignore context and may itself harm the relationship.</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Accept the gift and secretly donate it later.</w:t>
            </w:r>
          </w:p>
        </w:tc>
        <w:tc>
          <w:tcPr>
            <w:tcW w:type="dxa" w:w="5040"/>
            <w:tcMar>
              <w:top w:w="70" w:type="dxa"/>
              <w:start w:w="70" w:type="dxa"/>
              <w:bottom w:w="70" w:type="dxa"/>
              <w:end w:w="70" w:type="dxa"/>
            </w:tcMar>
            <w:vAlign w:val="center"/>
          </w:tcPr>
          <w:p>
            <w:r>
              <w:t>Incorrect. Secretly changing the disposition does not address meaning, ownership, or boundary impact with the client.</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Accept automatically because cultural respect always overrides boundary concerns.</w:t>
            </w:r>
          </w:p>
        </w:tc>
        <w:tc>
          <w:tcPr>
            <w:tcW w:type="dxa" w:w="5040"/>
            <w:tcMar>
              <w:top w:w="70" w:type="dxa"/>
              <w:start w:w="70" w:type="dxa"/>
              <w:bottom w:w="70" w:type="dxa"/>
              <w:end w:w="70" w:type="dxa"/>
            </w:tcMar>
            <w:vAlign w:val="center"/>
          </w:tcPr>
          <w:p>
            <w:r>
              <w:t>Incorrect. Cultural meaning matters but does not erase power, value, or exploitation risks.</w:t>
            </w:r>
          </w:p>
        </w:tc>
      </w:tr>
      <w:tr>
        <w:tc>
          <w:tcPr>
            <w:tcW w:type="dxa" w:w="792"/>
            <w:tcMar>
              <w:top w:w="70" w:type="dxa"/>
              <w:start w:w="70" w:type="dxa"/>
              <w:bottom w:w="70" w:type="dxa"/>
              <w:end w:w="70" w:type="dxa"/>
            </w:tcMar>
            <w:vAlign w:val="center"/>
            <w:shd w:fill="E7F5F4"/>
          </w:tcPr>
          <w:p>
            <w:r>
              <w:rPr>
                <w:b/>
              </w:rPr>
              <w:t>D</w:t>
            </w:r>
          </w:p>
        </w:tc>
        <w:tc>
          <w:tcPr>
            <w:tcW w:type="dxa" w:w="4392"/>
            <w:tcMar>
              <w:top w:w="70" w:type="dxa"/>
              <w:start w:w="70" w:type="dxa"/>
              <w:bottom w:w="70" w:type="dxa"/>
              <w:end w:w="70" w:type="dxa"/>
            </w:tcMar>
            <w:vAlign w:val="center"/>
            <w:shd w:fill="E7F5F4"/>
          </w:tcPr>
          <w:p>
            <w:r>
              <w:t>Explore the meaning, value, timing, cultural context, treatment impact, policy, and exploitation/boundary risks, then respond in the way that best protects the client and professional relationship.</w:t>
            </w:r>
          </w:p>
        </w:tc>
        <w:tc>
          <w:tcPr>
            <w:tcW w:type="dxa" w:w="5040"/>
            <w:tcMar>
              <w:top w:w="70" w:type="dxa"/>
              <w:start w:w="70" w:type="dxa"/>
              <w:bottom w:w="70" w:type="dxa"/>
              <w:end w:w="70" w:type="dxa"/>
            </w:tcMar>
            <w:vAlign w:val="center"/>
            <w:shd w:fill="E7F5F4"/>
          </w:tcPr>
          <w:p>
            <w:r>
              <w:t>Correct. Gift decisions are contextual. Neither culture nor value alone controls; the counselor should assess meaning, power, policy, and treatment impact.</w:t>
            </w:r>
          </w:p>
        </w:tc>
      </w:tr>
    </w:tbl>
    <w:p>
      <w:pPr>
        <w:pStyle w:val="Heading2"/>
      </w:pPr>
      <w:r>
        <w:t>Why the Key Controls</w:t>
      </w:r>
    </w:p>
    <w:p>
      <w:r>
        <w:t>Gift decisions are contextual. Neither culture nor value alone controls; the counselor should assess meaning, power, policy, and treatment impact.</w:t>
      </w:r>
    </w:p>
    <w:p>
      <w:pPr>
        <w:pStyle w:val="Heading2"/>
      </w:pPr>
      <w:r>
        <w:t>CTA Exam Strategy</w:t>
      </w:r>
    </w:p>
    <w:p>
      <w:r>
        <w:t>Center client welfare, autonomy, access, relationship power, and continuity; avoid both paternalistic overreach and passive under-response.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Culturally Meaningful Gift</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Boundary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WB6-C4 Gifts and Financial Relationships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GIFT-BOUNDARY</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working source), gifts/boundary and cultural-responsiveness standards.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36 - Controlled Rationale</w:t>
      </w:r>
    </w:p>
    <w:p>
      <w:r>
        <w:rPr>
          <w:b/>
        </w:rPr>
        <w:t xml:space="preserve">Item ID: </w:t>
      </w:r>
      <w:r>
        <w:t>LPCC-LE-CUM-A-036</w:t>
      </w:r>
    </w:p>
    <w:p>
      <w:r>
        <w:rPr>
          <w:b/>
        </w:rPr>
        <w:t xml:space="preserve">Stem: </w:t>
      </w:r>
      <w:r>
        <w:t>An LPCC providing individual therapy to one partner is asked to add the other partner and convert the work into ongoing conjoint treatment. What should the LPCC do FIRST?</w:t>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Begin conjoint sessions because the original client already consented to psychotherapy.</w:t>
            </w:r>
          </w:p>
        </w:tc>
        <w:tc>
          <w:tcPr>
            <w:tcW w:type="dxa" w:w="5040"/>
            <w:tcMar>
              <w:top w:w="70" w:type="dxa"/>
              <w:start w:w="70" w:type="dxa"/>
              <w:bottom w:w="70" w:type="dxa"/>
              <w:end w:w="70" w:type="dxa"/>
            </w:tcMar>
            <w:vAlign w:val="center"/>
          </w:tcPr>
          <w:p>
            <w:r>
              <w:t>Incorrect. The new participant and changed treatment structure require fresh role and consent analysis.</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Tell the new participant that the original client controls all confidentiality decisions.</w:t>
            </w:r>
          </w:p>
        </w:tc>
        <w:tc>
          <w:tcPr>
            <w:tcW w:type="dxa" w:w="5040"/>
            <w:tcMar>
              <w:top w:w="70" w:type="dxa"/>
              <w:start w:w="70" w:type="dxa"/>
              <w:bottom w:w="70" w:type="dxa"/>
              <w:end w:w="70" w:type="dxa"/>
            </w:tcMar>
            <w:vAlign w:val="center"/>
          </w:tcPr>
          <w:p>
            <w:r>
              <w:t>Incorrect. Multi-person treatment requires a clear, lawful policy and cannot be resolved by assumption.</w:t>
            </w:r>
          </w:p>
        </w:tc>
      </w:tr>
      <w:tr>
        <w:tc>
          <w:tcPr>
            <w:tcW w:type="dxa" w:w="792"/>
            <w:tcMar>
              <w:top w:w="70" w:type="dxa"/>
              <w:start w:w="70" w:type="dxa"/>
              <w:bottom w:w="70" w:type="dxa"/>
              <w:end w:w="70" w:type="dxa"/>
            </w:tcMar>
            <w:vAlign w:val="center"/>
            <w:shd w:fill="E7F5F4"/>
          </w:tcPr>
          <w:p>
            <w:r>
              <w:rPr>
                <w:b/>
              </w:rPr>
              <w:t>C</w:t>
            </w:r>
          </w:p>
        </w:tc>
        <w:tc>
          <w:tcPr>
            <w:tcW w:type="dxa" w:w="4392"/>
            <w:tcMar>
              <w:top w:w="70" w:type="dxa"/>
              <w:start w:w="70" w:type="dxa"/>
              <w:bottom w:w="70" w:type="dxa"/>
              <w:end w:w="70" w:type="dxa"/>
            </w:tcMar>
            <w:vAlign w:val="center"/>
            <w:shd w:fill="E7F5F4"/>
          </w:tcPr>
          <w:p>
            <w:r>
              <w:t>Clarify the proposed treatment purpose, who will be clients, each person’s role, informed consent, confidentiality and record expectations, competence, and whether the role change is clinically appropriate before converting the treatment.</w:t>
            </w:r>
          </w:p>
        </w:tc>
        <w:tc>
          <w:tcPr>
            <w:tcW w:type="dxa" w:w="5040"/>
            <w:tcMar>
              <w:top w:w="70" w:type="dxa"/>
              <w:start w:w="70" w:type="dxa"/>
              <w:bottom w:w="70" w:type="dxa"/>
              <w:end w:w="70" w:type="dxa"/>
            </w:tcMar>
            <w:vAlign w:val="center"/>
            <w:shd w:fill="E7F5F4"/>
          </w:tcPr>
          <w:p>
            <w:r>
              <w:t>Correct. Moving from individual to conjoint treatment can change the client unit, roles, confidentiality, records, expectations, and conflicts. Those issues should be addressed before the change.</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End individual therapy immediately and begin conjoint work the same day.</w:t>
            </w:r>
          </w:p>
        </w:tc>
        <w:tc>
          <w:tcPr>
            <w:tcW w:type="dxa" w:w="5040"/>
            <w:tcMar>
              <w:top w:w="70" w:type="dxa"/>
              <w:start w:w="70" w:type="dxa"/>
              <w:bottom w:w="70" w:type="dxa"/>
              <w:end w:w="70" w:type="dxa"/>
            </w:tcMar>
            <w:vAlign w:val="center"/>
          </w:tcPr>
          <w:p>
            <w:r>
              <w:t>Incorrect. Abrupt role conversion does not resolve competence, consent, confidentiality, and continuity concerns.</w:t>
            </w:r>
          </w:p>
        </w:tc>
      </w:tr>
    </w:tbl>
    <w:p>
      <w:pPr>
        <w:pStyle w:val="Heading2"/>
      </w:pPr>
      <w:r>
        <w:t>Why the Key Controls</w:t>
      </w:r>
    </w:p>
    <w:p>
      <w:r>
        <w:t>Moving from individual to conjoint treatment can change the client unit, roles, confidentiality, records, expectations, and conflicts. Those issues should be addressed before the change.</w:t>
      </w:r>
    </w:p>
    <w:p>
      <w:pPr>
        <w:pStyle w:val="Heading2"/>
      </w:pPr>
      <w:r>
        <w:t>CTA Exam Strategy</w:t>
      </w:r>
    </w:p>
    <w:p>
      <w:r>
        <w:t>Center client welfare, autonomy, access, relationship power, and continuity; avoid both paternalistic overreach and passive under-response.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Conjoint Treatment Role Clarification</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Integrated Relationship Scenario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WB1-C3 Ongoing Consent; WB8-C1 Multi-Person Confidentiality</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CONJOINT-ROLE-CLARITY</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working source), counseling relationship/confidentiality standards; applicable California law.</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37 - Controlled Rationale</w:t>
      </w:r>
    </w:p>
    <w:p>
      <w:r>
        <w:rPr>
          <w:b/>
        </w:rPr>
        <w:t xml:space="preserve">Item ID: </w:t>
      </w:r>
      <w:r>
        <w:t>LPCC-LE-CUM-A-037</w:t>
      </w:r>
    </w:p>
    <w:p>
      <w:r>
        <w:rPr>
          <w:b/>
        </w:rPr>
        <w:t xml:space="preserve">Stem: </w:t>
      </w:r>
      <w:r>
        <w:t>A current client sends an LPCC a friend request on the counselor’s personal social-media account. What is the BEST response?</w:t>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Ignore the request permanently because discussing it would be unethical.</w:t>
            </w:r>
          </w:p>
        </w:tc>
        <w:tc>
          <w:tcPr>
            <w:tcW w:type="dxa" w:w="5040"/>
            <w:tcMar>
              <w:top w:w="70" w:type="dxa"/>
              <w:start w:w="70" w:type="dxa"/>
              <w:bottom w:w="70" w:type="dxa"/>
              <w:end w:w="70" w:type="dxa"/>
            </w:tcMar>
            <w:vAlign w:val="center"/>
          </w:tcPr>
          <w:p>
            <w:r>
              <w:t>Incorrect. A clinically appropriate discussion may clarify expectations and prevent misunderstanding.</w:t>
            </w:r>
          </w:p>
        </w:tc>
      </w:tr>
      <w:tr>
        <w:tc>
          <w:tcPr>
            <w:tcW w:type="dxa" w:w="792"/>
            <w:tcMar>
              <w:top w:w="70" w:type="dxa"/>
              <w:start w:w="70" w:type="dxa"/>
              <w:bottom w:w="70" w:type="dxa"/>
              <w:end w:w="70" w:type="dxa"/>
            </w:tcMar>
            <w:vAlign w:val="center"/>
            <w:shd w:fill="E7F5F4"/>
          </w:tcPr>
          <w:p>
            <w:r>
              <w:rPr>
                <w:b/>
              </w:rPr>
              <w:t>B</w:t>
            </w:r>
          </w:p>
        </w:tc>
        <w:tc>
          <w:tcPr>
            <w:tcW w:type="dxa" w:w="4392"/>
            <w:tcMar>
              <w:top w:w="70" w:type="dxa"/>
              <w:start w:w="70" w:type="dxa"/>
              <w:bottom w:w="70" w:type="dxa"/>
              <w:end w:w="70" w:type="dxa"/>
            </w:tcMar>
            <w:vAlign w:val="center"/>
            <w:shd w:fill="E7F5F4"/>
          </w:tcPr>
          <w:p>
            <w:r>
              <w:t>Assess the boundary, confidentiality, treatment, policy, and client-welfare implications; follow the established policy and discuss the issue clinically when useful.</w:t>
            </w:r>
          </w:p>
        </w:tc>
        <w:tc>
          <w:tcPr>
            <w:tcW w:type="dxa" w:w="5040"/>
            <w:tcMar>
              <w:top w:w="70" w:type="dxa"/>
              <w:start w:w="70" w:type="dxa"/>
              <w:bottom w:w="70" w:type="dxa"/>
              <w:end w:w="70" w:type="dxa"/>
            </w:tcMar>
            <w:vAlign w:val="center"/>
            <w:shd w:fill="E7F5F4"/>
          </w:tcPr>
          <w:p>
            <w:r>
              <w:t>Correct. A thoughtful, policy-consistent response is stronger than automatic acceptance, blocking, or termination.</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Accept automatically to avoid hurting the client’s feelings.</w:t>
            </w:r>
          </w:p>
        </w:tc>
        <w:tc>
          <w:tcPr>
            <w:tcW w:type="dxa" w:w="5040"/>
            <w:tcMar>
              <w:top w:w="70" w:type="dxa"/>
              <w:start w:w="70" w:type="dxa"/>
              <w:bottom w:w="70" w:type="dxa"/>
              <w:end w:w="70" w:type="dxa"/>
            </w:tcMar>
            <w:vAlign w:val="center"/>
          </w:tcPr>
          <w:p>
            <w:r>
              <w:t>Incorrect. Automatic acceptance can create confidentiality and boundary complications.</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Block the client and terminate treatment because any online contact is a prohibited dual relationship.</w:t>
            </w:r>
          </w:p>
        </w:tc>
        <w:tc>
          <w:tcPr>
            <w:tcW w:type="dxa" w:w="5040"/>
            <w:tcMar>
              <w:top w:w="70" w:type="dxa"/>
              <w:start w:w="70" w:type="dxa"/>
              <w:bottom w:w="70" w:type="dxa"/>
              <w:end w:w="70" w:type="dxa"/>
            </w:tcMar>
            <w:vAlign w:val="center"/>
          </w:tcPr>
          <w:p>
            <w:r>
              <w:t>Incorrect. A friend request does not automatically require termination or establish prohibited conduct.</w:t>
            </w:r>
          </w:p>
        </w:tc>
      </w:tr>
    </w:tbl>
    <w:p>
      <w:pPr>
        <w:pStyle w:val="Heading2"/>
      </w:pPr>
      <w:r>
        <w:t>Why the Key Controls</w:t>
      </w:r>
    </w:p>
    <w:p>
      <w:r>
        <w:t>A thoughtful, policy-consistent response is stronger than automatic acceptance, blocking, or termination.</w:t>
      </w:r>
    </w:p>
    <w:p>
      <w:pPr>
        <w:pStyle w:val="Heading2"/>
      </w:pPr>
      <w:r>
        <w:t>CTA Exam Strategy</w:t>
      </w:r>
    </w:p>
    <w:p>
      <w:r>
        <w:t>Center client welfare, autonomy, access, relationship power, and continuity; avoid both paternalistic overreach and passive under-response.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Social-Media Friend Request</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Foundational Boundary Application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WB2-C5 Social Media and Digital Ethics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DIGITAL-BOUNDARY</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working source), technology/boundary standards; BPC 4999.90.</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38 - Controlled Rationale</w:t>
      </w:r>
    </w:p>
    <w:p>
      <w:r>
        <w:rPr>
          <w:b/>
        </w:rPr>
        <w:t xml:space="preserve">Item ID: </w:t>
      </w:r>
      <w:r>
        <w:t>LPCC-LE-CUM-A-038</w:t>
      </w:r>
    </w:p>
    <w:p>
      <w:r>
        <w:rPr>
          <w:b/>
        </w:rPr>
        <w:t xml:space="preserve">Stem: </w:t>
      </w:r>
      <w:r>
        <w:t>A long-term client loses insurance and says the current fee is no longer affordable. The LPCC’s practice has limited reduced-fee capacity. What is the BEST response?</w:t>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rPr>
                <w:b/>
              </w:rPr>
              <w:t>A</w:t>
            </w:r>
          </w:p>
        </w:tc>
        <w:tc>
          <w:tcPr>
            <w:tcW w:type="dxa" w:w="4392"/>
            <w:tcMar>
              <w:top w:w="70" w:type="dxa"/>
              <w:start w:w="70" w:type="dxa"/>
              <w:bottom w:w="70" w:type="dxa"/>
              <w:end w:w="70" w:type="dxa"/>
            </w:tcMar>
            <w:vAlign w:val="center"/>
            <w:shd w:fill="E7F5F4"/>
          </w:tcPr>
          <w:p>
            <w:r>
              <w:t>Discuss the financial change transparently, review available lawful options and resources, avoid coercive pressure, and plan continuity or referral if an affordable arrangement cannot be sustained.</w:t>
            </w:r>
          </w:p>
        </w:tc>
        <w:tc>
          <w:tcPr>
            <w:tcW w:type="dxa" w:w="5040"/>
            <w:tcMar>
              <w:top w:w="70" w:type="dxa"/>
              <w:start w:w="70" w:type="dxa"/>
              <w:bottom w:w="70" w:type="dxa"/>
              <w:end w:w="70" w:type="dxa"/>
            </w:tcMar>
            <w:vAlign w:val="center"/>
            <w:shd w:fill="E7F5F4"/>
          </w:tcPr>
          <w:p>
            <w:r>
              <w:t>Correct. Client welfare and access call for transparent discussion and proportionate continuity planning, not a promise the practice cannot keep or abrupt abandonment.</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Terminate immediately at the end of the current session.</w:t>
            </w:r>
          </w:p>
        </w:tc>
        <w:tc>
          <w:tcPr>
            <w:tcW w:type="dxa" w:w="5040"/>
            <w:tcMar>
              <w:top w:w="70" w:type="dxa"/>
              <w:start w:w="70" w:type="dxa"/>
              <w:bottom w:w="70" w:type="dxa"/>
              <w:end w:w="70" w:type="dxa"/>
            </w:tcMar>
            <w:vAlign w:val="center"/>
          </w:tcPr>
          <w:p>
            <w:r>
              <w:t>Incorrect. Abrupt termination may create preventable continuity problems.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Require the client to borrow money before discussing alternatives.</w:t>
            </w:r>
          </w:p>
        </w:tc>
        <w:tc>
          <w:tcPr>
            <w:tcW w:type="dxa" w:w="5040"/>
            <w:tcMar>
              <w:top w:w="70" w:type="dxa"/>
              <w:start w:w="70" w:type="dxa"/>
              <w:bottom w:w="70" w:type="dxa"/>
              <w:end w:w="70" w:type="dxa"/>
            </w:tcMar>
            <w:vAlign w:val="center"/>
          </w:tcPr>
          <w:p>
            <w:r>
              <w:t>Incorrect. Coercive financial pressure is inconsistent with client welfare and professional boundaries.</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Continue indefinitely without discussing payment even if the practice cannot sustain it.</w:t>
            </w:r>
          </w:p>
        </w:tc>
        <w:tc>
          <w:tcPr>
            <w:tcW w:type="dxa" w:w="5040"/>
            <w:tcMar>
              <w:top w:w="70" w:type="dxa"/>
              <w:start w:w="70" w:type="dxa"/>
              <w:bottom w:w="70" w:type="dxa"/>
              <w:end w:w="70" w:type="dxa"/>
            </w:tcMar>
            <w:vAlign w:val="center"/>
          </w:tcPr>
          <w:p>
            <w:r>
              <w:t>Incorrect. Avoiding the financial issue can create later disruption and unclear expectations.</w:t>
            </w:r>
          </w:p>
        </w:tc>
      </w:tr>
    </w:tbl>
    <w:p>
      <w:pPr>
        <w:pStyle w:val="Heading2"/>
      </w:pPr>
      <w:r>
        <w:t>Why the Key Controls</w:t>
      </w:r>
    </w:p>
    <w:p>
      <w:r>
        <w:t>Client welfare and access call for transparent discussion and proportionate continuity planning, not a promise the practice cannot keep or abrupt abandonment.</w:t>
      </w:r>
    </w:p>
    <w:p>
      <w:pPr>
        <w:pStyle w:val="Heading2"/>
      </w:pPr>
      <w:r>
        <w:t>CTA Exam Strategy</w:t>
      </w:r>
    </w:p>
    <w:p>
      <w:r>
        <w:t>Center client welfare, autonomy, access, relationship power, and continuity; avoid both paternalistic overreach and passive under-response.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Financial Hardship and Access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Client-Welfare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WB5-C3 Client Welfare; WB6-C4 Financial Relationships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FINANCIAL-ACCESS</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working source), fees/access/termination standards; applicable California fee rules.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39 - Controlled Rationale</w:t>
      </w:r>
    </w:p>
    <w:p>
      <w:r>
        <w:rPr>
          <w:b/>
        </w:rPr>
        <w:t xml:space="preserve">Item ID: </w:t>
      </w:r>
      <w:r>
        <w:t>LPCC-LE-CUM-A-039</w:t>
      </w:r>
    </w:p>
    <w:p>
      <w:r>
        <w:rPr>
          <w:b/>
        </w:rPr>
        <w:t xml:space="preserve">Stem: </w:t>
      </w:r>
      <w:r>
        <w:t>After several months, outcome data and client feedback show that counseling is not improving the target problem and the alliance is worsening. What should the LPCC do NEXT?</w:t>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Continue the same plan because changing course would undermine confidence.</w:t>
            </w:r>
          </w:p>
        </w:tc>
        <w:tc>
          <w:tcPr>
            <w:tcW w:type="dxa" w:w="5040"/>
            <w:tcMar>
              <w:top w:w="70" w:type="dxa"/>
              <w:start w:w="70" w:type="dxa"/>
              <w:bottom w:w="70" w:type="dxa"/>
              <w:end w:w="70" w:type="dxa"/>
            </w:tcMar>
            <w:vAlign w:val="center"/>
          </w:tcPr>
          <w:p>
            <w:r>
              <w:t>Incorrect. Persisting despite poor response can increase harm and ignore feedback.</w:t>
            </w:r>
          </w:p>
        </w:tc>
      </w:tr>
      <w:tr>
        <w:tc>
          <w:tcPr>
            <w:tcW w:type="dxa" w:w="792"/>
            <w:tcMar>
              <w:top w:w="70" w:type="dxa"/>
              <w:start w:w="70" w:type="dxa"/>
              <w:bottom w:w="70" w:type="dxa"/>
              <w:end w:w="70" w:type="dxa"/>
            </w:tcMar>
            <w:vAlign w:val="center"/>
            <w:shd w:fill="E7F5F4"/>
          </w:tcPr>
          <w:p>
            <w:r>
              <w:rPr>
                <w:b/>
              </w:rPr>
              <w:t>B</w:t>
            </w:r>
          </w:p>
        </w:tc>
        <w:tc>
          <w:tcPr>
            <w:tcW w:type="dxa" w:w="4392"/>
            <w:tcMar>
              <w:top w:w="70" w:type="dxa"/>
              <w:start w:w="70" w:type="dxa"/>
              <w:bottom w:w="70" w:type="dxa"/>
              <w:end w:w="70" w:type="dxa"/>
            </w:tcMar>
            <w:vAlign w:val="center"/>
            <w:shd w:fill="E7F5F4"/>
          </w:tcPr>
          <w:p>
            <w:r>
              <w:t>Reassess the formulation, goals, intervention fit, client preferences, barriers, and competence; consult or modify, refer, or transfer as indicated rather than simply continuing unchanged.</w:t>
            </w:r>
          </w:p>
        </w:tc>
        <w:tc>
          <w:tcPr>
            <w:tcW w:type="dxa" w:w="5040"/>
            <w:tcMar>
              <w:top w:w="70" w:type="dxa"/>
              <w:start w:w="70" w:type="dxa"/>
              <w:bottom w:w="70" w:type="dxa"/>
              <w:end w:w="70" w:type="dxa"/>
            </w:tcMar>
            <w:vAlign w:val="center"/>
            <w:shd w:fill="E7F5F4"/>
          </w:tcPr>
          <w:p>
            <w:r>
              <w:t>Correct. Beneficence and nonmaleficence require attention to treatment response and willingness to revise a plan that is not working.</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Label the client resistant and document noncompliance without reassessment.</w:t>
            </w:r>
          </w:p>
        </w:tc>
        <w:tc>
          <w:tcPr>
            <w:tcW w:type="dxa" w:w="5040"/>
            <w:tcMar>
              <w:top w:w="70" w:type="dxa"/>
              <w:start w:w="70" w:type="dxa"/>
              <w:bottom w:w="70" w:type="dxa"/>
              <w:end w:w="70" w:type="dxa"/>
            </w:tcMar>
            <w:vAlign w:val="center"/>
          </w:tcPr>
          <w:p>
            <w:r>
              <w:t>Incorrect. A client-blaming label can obscure treatment mismatch and clinician factors.</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End treatment immediately without discussing the findings.</w:t>
            </w:r>
          </w:p>
        </w:tc>
        <w:tc>
          <w:tcPr>
            <w:tcW w:type="dxa" w:w="5040"/>
            <w:tcMar>
              <w:top w:w="70" w:type="dxa"/>
              <w:start w:w="70" w:type="dxa"/>
              <w:bottom w:w="70" w:type="dxa"/>
              <w:end w:w="70" w:type="dxa"/>
            </w:tcMar>
            <w:vAlign w:val="center"/>
          </w:tcPr>
          <w:p>
            <w:r>
              <w:t>Incorrect. Reassessment and collaborative planning usually come before abrupt termination when no emergency requires immediate action.</w:t>
            </w:r>
          </w:p>
        </w:tc>
      </w:tr>
    </w:tbl>
    <w:p>
      <w:pPr>
        <w:pStyle w:val="Heading2"/>
      </w:pPr>
      <w:r>
        <w:t>Why the Key Controls</w:t>
      </w:r>
    </w:p>
    <w:p>
      <w:r>
        <w:t>Beneficence and nonmaleficence require attention to treatment response and willingness to revise a plan that is not working.</w:t>
      </w:r>
    </w:p>
    <w:p>
      <w:pPr>
        <w:pStyle w:val="Heading2"/>
      </w:pPr>
      <w:r>
        <w:t>CTA Exam Strategy</w:t>
      </w:r>
    </w:p>
    <w:p>
      <w:r>
        <w:t>Center client welfare, autonomy, access, relationship power, and continuity; avoid both paternalistic overreach and passive under-response.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Ineffective Treatment and Reassessment</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Client-Welfare Scenario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WB5-C2 Avoiding Harm; WB5-C3 Beneficence</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TREATMENT-INEFFECTIVE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working source), client-welfare/competence standards.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40 - Controlled Rationale</w:t>
      </w:r>
    </w:p>
    <w:p>
      <w:r>
        <w:rPr>
          <w:b/>
        </w:rPr>
        <w:t xml:space="preserve">Item ID: </w:t>
      </w:r>
      <w:r>
        <w:t>LPCC-LE-CUM-A-040</w:t>
      </w:r>
    </w:p>
    <w:p>
      <w:r>
        <w:rPr>
          <w:b/>
        </w:rPr>
        <w:t xml:space="preserve">Stem: </w:t>
      </w:r>
      <w:r>
        <w:t>A competent adult client understands the material information and voluntarily refuses an LPCC’s recommended intervention. No emergency or involuntary authority applies. What is the appropriate response?</w:t>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Ask a family member to override the client’s decision.</w:t>
            </w:r>
          </w:p>
        </w:tc>
        <w:tc>
          <w:tcPr>
            <w:tcW w:type="dxa" w:w="5040"/>
            <w:tcMar>
              <w:top w:w="70" w:type="dxa"/>
              <w:start w:w="70" w:type="dxa"/>
              <w:bottom w:w="70" w:type="dxa"/>
              <w:end w:w="70" w:type="dxa"/>
            </w:tcMar>
            <w:vAlign w:val="center"/>
          </w:tcPr>
          <w:p>
            <w:r>
              <w:t>Incorrect. Family preference does not replace the competent adult client’s decision-making authority.</w:t>
            </w:r>
          </w:p>
        </w:tc>
      </w:tr>
      <w:tr>
        <w:tc>
          <w:tcPr>
            <w:tcW w:type="dxa" w:w="792"/>
            <w:tcMar>
              <w:top w:w="70" w:type="dxa"/>
              <w:start w:w="70" w:type="dxa"/>
              <w:bottom w:w="70" w:type="dxa"/>
              <w:end w:w="70" w:type="dxa"/>
            </w:tcMar>
            <w:vAlign w:val="center"/>
            <w:shd w:fill="E7F5F4"/>
          </w:tcPr>
          <w:p>
            <w:r>
              <w:rPr>
                <w:b/>
              </w:rPr>
              <w:t>B</w:t>
            </w:r>
          </w:p>
        </w:tc>
        <w:tc>
          <w:tcPr>
            <w:tcW w:type="dxa" w:w="4392"/>
            <w:tcMar>
              <w:top w:w="70" w:type="dxa"/>
              <w:start w:w="70" w:type="dxa"/>
              <w:bottom w:w="70" w:type="dxa"/>
              <w:end w:w="70" w:type="dxa"/>
            </w:tcMar>
            <w:vAlign w:val="center"/>
            <w:shd w:fill="E7F5F4"/>
          </w:tcPr>
          <w:p>
            <w:r>
              <w:t>Respect the informed refusal, discuss reasonable alternatives and foreseeable consequences, and document the decision-making process.</w:t>
            </w:r>
          </w:p>
        </w:tc>
        <w:tc>
          <w:tcPr>
            <w:tcW w:type="dxa" w:w="5040"/>
            <w:tcMar>
              <w:top w:w="70" w:type="dxa"/>
              <w:start w:w="70" w:type="dxa"/>
              <w:bottom w:w="70" w:type="dxa"/>
              <w:end w:w="70" w:type="dxa"/>
            </w:tcMar>
            <w:vAlign w:val="center"/>
            <w:shd w:fill="E7F5F4"/>
          </w:tcPr>
          <w:p>
            <w:r>
              <w:t>Correct. In voluntary treatment, a competent client may generally refuse a proposed intervention after meaningful informed discussion.</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Begin the intervention anyway because the LPCC believes it is best.</w:t>
            </w:r>
          </w:p>
        </w:tc>
        <w:tc>
          <w:tcPr>
            <w:tcW w:type="dxa" w:w="5040"/>
            <w:tcMar>
              <w:top w:w="70" w:type="dxa"/>
              <w:start w:w="70" w:type="dxa"/>
              <w:bottom w:w="70" w:type="dxa"/>
              <w:end w:w="70" w:type="dxa"/>
            </w:tcMar>
            <w:vAlign w:val="center"/>
          </w:tcPr>
          <w:p>
            <w:r>
              <w:t>Incorrect. Professional preference does not ordinarily override a competent client’s informed refusal.</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End all services because refusal of one intervention proves the client is unwilling to participate.</w:t>
            </w:r>
          </w:p>
        </w:tc>
        <w:tc>
          <w:tcPr>
            <w:tcW w:type="dxa" w:w="5040"/>
            <w:tcMar>
              <w:top w:w="70" w:type="dxa"/>
              <w:start w:w="70" w:type="dxa"/>
              <w:bottom w:w="70" w:type="dxa"/>
              <w:end w:w="70" w:type="dxa"/>
            </w:tcMar>
            <w:vAlign w:val="center"/>
          </w:tcPr>
          <w:p>
            <w:r>
              <w:t>Incorrect. Other appropriate treatment options may remain.</w:t>
            </w:r>
          </w:p>
        </w:tc>
      </w:tr>
    </w:tbl>
    <w:p>
      <w:pPr>
        <w:pStyle w:val="Heading2"/>
      </w:pPr>
      <w:r>
        <w:t>Why the Key Controls</w:t>
      </w:r>
    </w:p>
    <w:p>
      <w:r>
        <w:t>In voluntary treatment, a competent client may generally refuse a proposed intervention after meaningful informed discussion.</w:t>
      </w:r>
    </w:p>
    <w:p>
      <w:pPr>
        <w:pStyle w:val="Heading2"/>
      </w:pPr>
      <w:r>
        <w:t>CTA Exam Strategy</w:t>
      </w:r>
    </w:p>
    <w:p>
      <w:r>
        <w:t>Center client welfare, autonomy, access, relationship power, and continuity; avoid both paternalistic overreach and passive under-response.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Informed Refusal</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Foundational Ethics Application / Direct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WB1-C1/C2 Informed Consent</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INFORMED-REFUSAL</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working source), autonomy/informed-consent standards.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41 - Controlled Rationale</w:t>
      </w:r>
    </w:p>
    <w:p>
      <w:r>
        <w:rPr>
          <w:b/>
        </w:rPr>
        <w:t xml:space="preserve">Item ID: </w:t>
      </w:r>
      <w:r>
        <w:t>LPCC-LE-CUM-A-041</w:t>
      </w:r>
    </w:p>
    <w:p>
      <w:r>
        <w:rPr>
          <w:b/>
        </w:rPr>
        <w:t xml:space="preserve">Stem: </w:t>
      </w:r>
      <w:r>
        <w:t>A clinic tells every client with limited English proficiency to bring a family member to interpret or the clinic will refuse service. An LPCC sees that this rule is preventing one client from discussing trauma safely. What is the BEST response?</w:t>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Tell the family member to sign a confidentiality form and assume the problem is solved.</w:t>
            </w:r>
          </w:p>
        </w:tc>
        <w:tc>
          <w:tcPr>
            <w:tcW w:type="dxa" w:w="5040"/>
            <w:tcMar>
              <w:top w:w="70" w:type="dxa"/>
              <w:start w:w="70" w:type="dxa"/>
              <w:bottom w:w="70" w:type="dxa"/>
              <w:end w:w="70" w:type="dxa"/>
            </w:tcMar>
            <w:vAlign w:val="center"/>
          </w:tcPr>
          <w:p>
            <w:r>
              <w:t>Incorrect. A form does not establish interpreter competence, neutrality, or freedom from coercion.</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Terminate the client because the clinic lacks a bilingual clinician.</w:t>
            </w:r>
          </w:p>
        </w:tc>
        <w:tc>
          <w:tcPr>
            <w:tcW w:type="dxa" w:w="5040"/>
            <w:tcMar>
              <w:top w:w="70" w:type="dxa"/>
              <w:start w:w="70" w:type="dxa"/>
              <w:bottom w:w="70" w:type="dxa"/>
              <w:end w:w="70" w:type="dxa"/>
            </w:tcMar>
            <w:vAlign w:val="center"/>
          </w:tcPr>
          <w:p>
            <w:r>
              <w:t>Incorrect. Lack of a bilingual clinician does not automatically justify refusing care without exploring appropriate language-access options.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Follow the rule because applying the same policy to everyone is always fair.</w:t>
            </w:r>
          </w:p>
        </w:tc>
        <w:tc>
          <w:tcPr>
            <w:tcW w:type="dxa" w:w="5040"/>
            <w:tcMar>
              <w:top w:w="70" w:type="dxa"/>
              <w:start w:w="70" w:type="dxa"/>
              <w:bottom w:w="70" w:type="dxa"/>
              <w:end w:w="70" w:type="dxa"/>
            </w:tcMar>
            <w:vAlign w:val="center"/>
          </w:tcPr>
          <w:p>
            <w:r>
              <w:t>Incorrect. A uniform policy can still create discriminatory or clinically unsafe barriers.</w:t>
            </w:r>
          </w:p>
        </w:tc>
      </w:tr>
      <w:tr>
        <w:tc>
          <w:tcPr>
            <w:tcW w:type="dxa" w:w="792"/>
            <w:tcMar>
              <w:top w:w="70" w:type="dxa"/>
              <w:start w:w="70" w:type="dxa"/>
              <w:bottom w:w="70" w:type="dxa"/>
              <w:end w:w="70" w:type="dxa"/>
            </w:tcMar>
            <w:vAlign w:val="center"/>
            <w:shd w:fill="E7F5F4"/>
          </w:tcPr>
          <w:p>
            <w:r>
              <w:rPr>
                <w:b/>
              </w:rPr>
              <w:t>D</w:t>
            </w:r>
          </w:p>
        </w:tc>
        <w:tc>
          <w:tcPr>
            <w:tcW w:type="dxa" w:w="4392"/>
            <w:tcMar>
              <w:top w:w="70" w:type="dxa"/>
              <w:start w:w="70" w:type="dxa"/>
              <w:bottom w:w="70" w:type="dxa"/>
              <w:end w:w="70" w:type="dxa"/>
            </w:tcMar>
            <w:vAlign w:val="center"/>
            <w:shd w:fill="E7F5F4"/>
          </w:tcPr>
          <w:p>
            <w:r>
              <w:t>Address the client’s immediate communication and confidentiality needs using an appropriate language-access solution and raise the blanket policy for organizational review and correction.</w:t>
            </w:r>
          </w:p>
        </w:tc>
        <w:tc>
          <w:tcPr>
            <w:tcW w:type="dxa" w:w="5040"/>
            <w:tcMar>
              <w:top w:w="70" w:type="dxa"/>
              <w:start w:w="70" w:type="dxa"/>
              <w:bottom w:w="70" w:type="dxa"/>
              <w:end w:w="70" w:type="dxa"/>
            </w:tcMar>
            <w:vAlign w:val="center"/>
            <w:shd w:fill="E7F5F4"/>
          </w:tcPr>
          <w:p>
            <w:r>
              <w:t>Correct. The problem includes both individual access/confidentiality risk and a structural policy barrier. Equal rules are not always equitable when they prevent meaningful care.</w:t>
            </w:r>
          </w:p>
        </w:tc>
      </w:tr>
    </w:tbl>
    <w:p>
      <w:pPr>
        <w:pStyle w:val="Heading2"/>
      </w:pPr>
      <w:r>
        <w:t>Why the Key Controls</w:t>
      </w:r>
    </w:p>
    <w:p>
      <w:r>
        <w:t>The problem includes both individual access/confidentiality risk and a structural policy barrier. Equal rules are not always equitable when they prevent meaningful care.</w:t>
      </w:r>
    </w:p>
    <w:p>
      <w:pPr>
        <w:pStyle w:val="Heading2"/>
      </w:pPr>
      <w:r>
        <w:t>CTA Exam Strategy</w:t>
      </w:r>
    </w:p>
    <w:p>
      <w:r>
        <w:t>Center client welfare, autonomy, access, relationship power, and continuity; avoid both paternalistic overreach and passive under-response.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Language Access and Confidentiality</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Difficult / Integrated Access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WB7-C3 Diverse Populations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LANGUAGE-ACCESS</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working source), cultural/access standards; applicable federal/California language-access law.</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42 - Controlled Rationale</w:t>
      </w:r>
    </w:p>
    <w:p>
      <w:r>
        <w:rPr>
          <w:b/>
        </w:rPr>
        <w:t xml:space="preserve">Item ID: </w:t>
      </w:r>
      <w:r>
        <w:t>LPCC-LE-CUM-A-042</w:t>
      </w:r>
    </w:p>
    <w:p>
      <w:r>
        <w:rPr>
          <w:b/>
        </w:rPr>
        <w:t xml:space="preserve">Stem: </w:t>
      </w:r>
      <w:r>
        <w:t>An LPCC wants to advocate for a client’s workplace accommodation. The client has not authorized disclosure to the employer. What is the BEST approach?</w:t>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rPr>
                <w:b/>
              </w:rPr>
              <w:t>A</w:t>
            </w:r>
          </w:p>
        </w:tc>
        <w:tc>
          <w:tcPr>
            <w:tcW w:type="dxa" w:w="4392"/>
            <w:tcMar>
              <w:top w:w="70" w:type="dxa"/>
              <w:start w:w="70" w:type="dxa"/>
              <w:bottom w:w="70" w:type="dxa"/>
              <w:end w:w="70" w:type="dxa"/>
            </w:tcMar>
            <w:vAlign w:val="center"/>
            <w:shd w:fill="E7F5F4"/>
          </w:tcPr>
          <w:p>
            <w:r>
              <w:t>Clarify the client’s goals and preferred advocacy role, obtain appropriate authorization before disclosing protected information, and share only what is necessary for the agreed purpose.</w:t>
            </w:r>
          </w:p>
        </w:tc>
        <w:tc>
          <w:tcPr>
            <w:tcW w:type="dxa" w:w="5040"/>
            <w:tcMar>
              <w:top w:w="70" w:type="dxa"/>
              <w:start w:w="70" w:type="dxa"/>
              <w:bottom w:w="70" w:type="dxa"/>
              <w:end w:w="70" w:type="dxa"/>
            </w:tcMar>
            <w:vAlign w:val="center"/>
            <w:shd w:fill="E7F5F4"/>
          </w:tcPr>
          <w:p>
            <w:r>
              <w:t>Correct. Advocacy supports client welfare and self-determination but does not eliminate confidentiality or authorization requirements.</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Contact the employer immediately because advocacy always overrides confidentiality.</w:t>
            </w:r>
          </w:p>
        </w:tc>
        <w:tc>
          <w:tcPr>
            <w:tcW w:type="dxa" w:w="5040"/>
            <w:tcMar>
              <w:top w:w="70" w:type="dxa"/>
              <w:start w:w="70" w:type="dxa"/>
              <w:bottom w:w="70" w:type="dxa"/>
              <w:end w:w="70" w:type="dxa"/>
            </w:tcMar>
            <w:vAlign w:val="center"/>
          </w:tcPr>
          <w:p>
            <w:r>
              <w:t>Incorrect. Advocacy must still operate within privacy and disclosure rules.</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Refuse any advocacy because counselors may never communicate with employers.</w:t>
            </w:r>
          </w:p>
        </w:tc>
        <w:tc>
          <w:tcPr>
            <w:tcW w:type="dxa" w:w="5040"/>
            <w:tcMar>
              <w:top w:w="70" w:type="dxa"/>
              <w:start w:w="70" w:type="dxa"/>
              <w:bottom w:w="70" w:type="dxa"/>
              <w:end w:w="70" w:type="dxa"/>
            </w:tcMar>
            <w:vAlign w:val="center"/>
          </w:tcPr>
          <w:p>
            <w:r>
              <w:t>Incorrect. Appropriate advocacy may be part of care when authorized and within role.</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Send the complete record so the employer understands the client’s history.</w:t>
            </w:r>
          </w:p>
        </w:tc>
        <w:tc>
          <w:tcPr>
            <w:tcW w:type="dxa" w:w="5040"/>
            <w:tcMar>
              <w:top w:w="70" w:type="dxa"/>
              <w:start w:w="70" w:type="dxa"/>
              <w:bottom w:w="70" w:type="dxa"/>
              <w:end w:w="70" w:type="dxa"/>
            </w:tcMar>
            <w:vAlign w:val="center"/>
          </w:tcPr>
          <w:p>
            <w:r>
              <w:t>Incorrect. Broad disclosure is unnecessary and risks violating confidentiality and client choice.</w:t>
            </w:r>
          </w:p>
        </w:tc>
      </w:tr>
    </w:tbl>
    <w:p>
      <w:pPr>
        <w:pStyle w:val="Heading2"/>
      </w:pPr>
      <w:r>
        <w:t>Why the Key Controls</w:t>
      </w:r>
    </w:p>
    <w:p>
      <w:r>
        <w:t>Advocacy supports client welfare and self-determination but does not eliminate confidentiality or authorization requirements.</w:t>
      </w:r>
    </w:p>
    <w:p>
      <w:pPr>
        <w:pStyle w:val="Heading2"/>
      </w:pPr>
      <w:r>
        <w:t>CTA Exam Strategy</w:t>
      </w:r>
    </w:p>
    <w:p>
      <w:r>
        <w:t>Center client welfare, autonomy, access, relationship power, and continuity; avoid both paternalistic overreach and passive under-response.</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Advocacy and Confidentiality</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2.2</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Advocacy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WB7-C3 Diverse Populations; WB8-C2 Authorizations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ADVOCACY-CONFIDENTIALITY</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ACA Code of Ethics (2014 working source), advocacy/confidentiality standards; California confidentiality law.</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43 - Controlled Rationale</w:t>
      </w:r>
    </w:p>
    <w:p>
      <w:r>
        <w:rPr>
          <w:b/>
        </w:rPr>
        <w:t xml:space="preserve">Item ID: </w:t>
      </w:r>
      <w:r>
        <w:t>LPCC-LE-CUM-A-043</w:t>
      </w:r>
    </w:p>
    <w:p>
      <w:r>
        <w:rPr>
          <w:b/>
        </w:rPr>
        <w:t xml:space="preserve">Stem: </w:t>
      </w:r>
      <w:r>
        <w:t>An LPCC discovers that yesterday’s progress note contains a material factual error. What is the BEST correction method?</w:t>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Leave the error because completed notes can never be corrected.</w:t>
            </w:r>
          </w:p>
        </w:tc>
        <w:tc>
          <w:tcPr>
            <w:tcW w:type="dxa" w:w="5040"/>
            <w:tcMar>
              <w:top w:w="70" w:type="dxa"/>
              <w:start w:w="70" w:type="dxa"/>
              <w:bottom w:w="70" w:type="dxa"/>
              <w:end w:w="70" w:type="dxa"/>
            </w:tcMar>
            <w:vAlign w:val="center"/>
          </w:tcPr>
          <w:p>
            <w:r>
              <w:t>Incorrect. Records can be corrected through a transparent, attributable method.</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Delete the original note and replace it without showing a change.</w:t>
            </w:r>
          </w:p>
        </w:tc>
        <w:tc>
          <w:tcPr>
            <w:tcW w:type="dxa" w:w="5040"/>
            <w:tcMar>
              <w:top w:w="70" w:type="dxa"/>
              <w:start w:w="70" w:type="dxa"/>
              <w:bottom w:w="70" w:type="dxa"/>
              <w:end w:w="70" w:type="dxa"/>
            </w:tcMar>
            <w:vAlign w:val="center"/>
          </w:tcPr>
          <w:p>
            <w:r>
              <w:t>Incorrect. Silent deletion can undermine record integrity and appear deceptive.</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Ask administrative staff to edit the clinician’s note under the staff member’s login.</w:t>
            </w:r>
          </w:p>
        </w:tc>
        <w:tc>
          <w:tcPr>
            <w:tcW w:type="dxa" w:w="5040"/>
            <w:tcMar>
              <w:top w:w="70" w:type="dxa"/>
              <w:start w:w="70" w:type="dxa"/>
              <w:bottom w:w="70" w:type="dxa"/>
              <w:end w:w="70" w:type="dxa"/>
            </w:tcMar>
            <w:vAlign w:val="center"/>
          </w:tcPr>
          <w:p>
            <w:r>
              <w:t>Incorrect. Corrections should be attributable to the appropriate author and follow the record system’s procedure.</w:t>
            </w:r>
          </w:p>
        </w:tc>
      </w:tr>
      <w:tr>
        <w:tc>
          <w:tcPr>
            <w:tcW w:type="dxa" w:w="792"/>
            <w:tcMar>
              <w:top w:w="70" w:type="dxa"/>
              <w:start w:w="70" w:type="dxa"/>
              <w:bottom w:w="70" w:type="dxa"/>
              <w:end w:w="70" w:type="dxa"/>
            </w:tcMar>
            <w:vAlign w:val="center"/>
            <w:shd w:fill="E7F5F4"/>
          </w:tcPr>
          <w:p>
            <w:r>
              <w:rPr>
                <w:b/>
              </w:rPr>
              <w:t>D</w:t>
            </w:r>
          </w:p>
        </w:tc>
        <w:tc>
          <w:tcPr>
            <w:tcW w:type="dxa" w:w="4392"/>
            <w:tcMar>
              <w:top w:w="70" w:type="dxa"/>
              <w:start w:w="70" w:type="dxa"/>
              <w:bottom w:w="70" w:type="dxa"/>
              <w:end w:w="70" w:type="dxa"/>
            </w:tcMar>
            <w:vAlign w:val="center"/>
            <w:shd w:fill="E7F5F4"/>
          </w:tcPr>
          <w:p>
            <w:r>
              <w:t>Preserve the original entry and add a dated, attributable correction or addendum that states the accurate information according to the record system’s lawful procedure.</w:t>
            </w:r>
          </w:p>
        </w:tc>
        <w:tc>
          <w:tcPr>
            <w:tcW w:type="dxa" w:w="5040"/>
            <w:tcMar>
              <w:top w:w="70" w:type="dxa"/>
              <w:start w:w="70" w:type="dxa"/>
              <w:bottom w:w="70" w:type="dxa"/>
              <w:end w:w="70" w:type="dxa"/>
            </w:tcMar>
            <w:vAlign w:val="center"/>
            <w:shd w:fill="E7F5F4"/>
          </w:tcPr>
          <w:p>
            <w:r>
              <w:t>Correct. Transparent correction preserves record integrity and an audit trail rather than concealing the original entry.</w:t>
            </w:r>
          </w:p>
        </w:tc>
      </w:tr>
    </w:tbl>
    <w:p>
      <w:pPr>
        <w:pStyle w:val="Heading2"/>
      </w:pPr>
      <w:r>
        <w:t>Why the Key Controls</w:t>
      </w:r>
    </w:p>
    <w:p>
      <w:r>
        <w:t>Transparent correction preserves record integrity and an audit trail rather than concealing the original entry.</w:t>
      </w:r>
    </w:p>
    <w:p>
      <w:pPr>
        <w:pStyle w:val="Heading2"/>
      </w:pPr>
      <w:r>
        <w:t>CTA Exam Strategy</w:t>
      </w:r>
    </w:p>
    <w:p>
      <w:r>
        <w:t>Look for the practice-system response: clear policy, accurate records, lawful information flow, supervision, technology safeguards, and documented follow-through.</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Correcting a Clinical Record</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Foundational Documentation Application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WB9-C2 Documentation Errors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RECORD-CORRECTION</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BPC 4999.90; professional record-integrity standards; applicable organizational record policy.</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44 - Controlled Rationale</w:t>
      </w:r>
    </w:p>
    <w:p>
      <w:r>
        <w:rPr>
          <w:b/>
        </w:rPr>
        <w:t xml:space="preserve">Item ID: </w:t>
      </w:r>
      <w:r>
        <w:t>LPCC-LE-CUM-A-044</w:t>
      </w:r>
    </w:p>
    <w:p>
      <w:r>
        <w:rPr>
          <w:b/>
        </w:rPr>
        <w:t xml:space="preserve">Stem: </w:t>
      </w:r>
      <w:r>
        <w:t>A former client posts a harsh public review. The LPCC believes the review is false and wants to reply with dates of attendance and details of the treatment plan. What is the BEST response?</w:t>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Post the diagnosis so readers can judge the review fairly.</w:t>
            </w:r>
          </w:p>
        </w:tc>
        <w:tc>
          <w:tcPr>
            <w:tcW w:type="dxa" w:w="5040"/>
            <w:tcMar>
              <w:top w:w="70" w:type="dxa"/>
              <w:start w:w="70" w:type="dxa"/>
              <w:bottom w:w="70" w:type="dxa"/>
              <w:end w:w="70" w:type="dxa"/>
            </w:tcMar>
            <w:vAlign w:val="center"/>
          </w:tcPr>
          <w:p>
            <w:r>
              <w:t>Incorrect. This would compound the confidentiality problem.</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Ask another client to respond publicly on the counselor’s behalf.</w:t>
            </w:r>
          </w:p>
        </w:tc>
        <w:tc>
          <w:tcPr>
            <w:tcW w:type="dxa" w:w="5040"/>
            <w:tcMar>
              <w:top w:w="70" w:type="dxa"/>
              <w:start w:w="70" w:type="dxa"/>
              <w:bottom w:w="70" w:type="dxa"/>
              <w:end w:w="70" w:type="dxa"/>
            </w:tcMar>
            <w:vAlign w:val="center"/>
          </w:tcPr>
          <w:p>
            <w:r>
              <w:t>Incorrect. Recruiting clients into a public dispute creates additional boundary and confidentiality concerns.</w:t>
            </w:r>
          </w:p>
        </w:tc>
      </w:tr>
      <w:tr>
        <w:tc>
          <w:tcPr>
            <w:tcW w:type="dxa" w:w="792"/>
            <w:tcMar>
              <w:top w:w="70" w:type="dxa"/>
              <w:start w:w="70" w:type="dxa"/>
              <w:bottom w:w="70" w:type="dxa"/>
              <w:end w:w="70" w:type="dxa"/>
            </w:tcMar>
            <w:vAlign w:val="center"/>
            <w:shd w:fill="E7F5F4"/>
          </w:tcPr>
          <w:p>
            <w:r>
              <w:rPr>
                <w:b/>
              </w:rPr>
              <w:t>C</w:t>
            </w:r>
          </w:p>
        </w:tc>
        <w:tc>
          <w:tcPr>
            <w:tcW w:type="dxa" w:w="4392"/>
            <w:tcMar>
              <w:top w:w="70" w:type="dxa"/>
              <w:start w:w="70" w:type="dxa"/>
              <w:bottom w:w="70" w:type="dxa"/>
              <w:end w:w="70" w:type="dxa"/>
            </w:tcMar>
            <w:vAlign w:val="center"/>
            <w:shd w:fill="E7F5F4"/>
          </w:tcPr>
          <w:p>
            <w:r>
              <w:t>Use a neutral response, if any, that does not confirm client status or disclose confidential information, and address reputational concerns through appropriate nonconfidential channels.</w:t>
            </w:r>
          </w:p>
        </w:tc>
        <w:tc>
          <w:tcPr>
            <w:tcW w:type="dxa" w:w="5040"/>
            <w:tcMar>
              <w:top w:w="70" w:type="dxa"/>
              <w:start w:w="70" w:type="dxa"/>
              <w:bottom w:w="70" w:type="dxa"/>
              <w:end w:w="70" w:type="dxa"/>
            </w:tcMar>
            <w:vAlign w:val="center"/>
            <w:shd w:fill="E7F5F4"/>
          </w:tcPr>
          <w:p>
            <w:r>
              <w:t>Correct. A client’s public statement does not authorize the counselor to reveal attendance, treatment, diagnosis, or other confidential information in a public rebuttal.</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Disclose the treatment details because the client spoke first.</w:t>
            </w:r>
          </w:p>
        </w:tc>
        <w:tc>
          <w:tcPr>
            <w:tcW w:type="dxa" w:w="5040"/>
            <w:tcMar>
              <w:top w:w="70" w:type="dxa"/>
              <w:start w:w="70" w:type="dxa"/>
              <w:bottom w:w="70" w:type="dxa"/>
              <w:end w:w="70" w:type="dxa"/>
            </w:tcMar>
            <w:vAlign w:val="center"/>
          </w:tcPr>
          <w:p>
            <w:r>
              <w:t>Incorrect. A public review does not waive confidentiality for the counselor.</w:t>
            </w:r>
          </w:p>
        </w:tc>
      </w:tr>
    </w:tbl>
    <w:p>
      <w:pPr>
        <w:pStyle w:val="Heading2"/>
      </w:pPr>
      <w:r>
        <w:t>Why the Key Controls</w:t>
      </w:r>
    </w:p>
    <w:p>
      <w:r>
        <w:t>A client’s public statement does not authorize the counselor to reveal attendance, treatment, diagnosis, or other confidential information in a public rebuttal.</w:t>
      </w:r>
    </w:p>
    <w:p>
      <w:pPr>
        <w:pStyle w:val="Heading2"/>
      </w:pPr>
      <w:r>
        <w:t>CTA Exam Strategy</w:t>
      </w:r>
    </w:p>
    <w:p>
      <w:r>
        <w:t>Look for the practice-system response: clear policy, accurate records, lawful information flow, supervision, technology safeguards, and documented follow-through.</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Responding to Online Reviews</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Technology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WB2-C5 Social Media and Digital Ethics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ONLINE-REVIEW-CONFIDENTIALITY</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California confidentiality law; BPC 4999.90; ACA Code of Ethics (2014 working source), technology standards.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45 - Controlled Rationale</w:t>
      </w:r>
    </w:p>
    <w:p>
      <w:r>
        <w:rPr>
          <w:b/>
        </w:rPr>
        <w:t xml:space="preserve">Item ID: </w:t>
      </w:r>
      <w:r>
        <w:t>LPCC-LE-CUM-A-045</w:t>
      </w:r>
    </w:p>
    <w:p>
      <w:r>
        <w:rPr>
          <w:b/>
        </w:rPr>
        <w:t xml:space="preserve">Stem: </w:t>
      </w:r>
      <w:r>
        <w:t>During a telehealth session with a client reporting escalating suicidal thoughts, the video platform repeatedly fails. What should the LPCC do NEXT?</w:t>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Continue reconnecting the video indefinitely before taking any other step.</w:t>
            </w:r>
          </w:p>
        </w:tc>
        <w:tc>
          <w:tcPr>
            <w:tcW w:type="dxa" w:w="5040"/>
            <w:tcMar>
              <w:top w:w="70" w:type="dxa"/>
              <w:start w:w="70" w:type="dxa"/>
              <w:bottom w:w="70" w:type="dxa"/>
              <w:end w:w="70" w:type="dxa"/>
            </w:tcMar>
            <w:vAlign w:val="center"/>
          </w:tcPr>
          <w:p>
            <w:r>
              <w:t>Incorrect. Technical troubleshooting should not delay necessary safety action.</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End the session and send a routine scheduling message for next week.</w:t>
            </w:r>
          </w:p>
        </w:tc>
        <w:tc>
          <w:tcPr>
            <w:tcW w:type="dxa" w:w="5040"/>
            <w:tcMar>
              <w:top w:w="70" w:type="dxa"/>
              <w:start w:w="70" w:type="dxa"/>
              <w:bottom w:w="70" w:type="dxa"/>
              <w:end w:w="70" w:type="dxa"/>
            </w:tcMar>
            <w:vAlign w:val="center"/>
          </w:tcPr>
          <w:p>
            <w:r>
              <w:t>Incorrect. Elevated risk requires active safety assessment and continuity planning.</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Post the client’s location in a public technical-support forum to obtain help.</w:t>
            </w:r>
          </w:p>
        </w:tc>
        <w:tc>
          <w:tcPr>
            <w:tcW w:type="dxa" w:w="5040"/>
            <w:tcMar>
              <w:top w:w="70" w:type="dxa"/>
              <w:start w:w="70" w:type="dxa"/>
              <w:bottom w:w="70" w:type="dxa"/>
              <w:end w:w="70" w:type="dxa"/>
            </w:tcMar>
            <w:vAlign w:val="center"/>
          </w:tcPr>
          <w:p>
            <w:r>
              <w:t>Incorrect. This would create unnecessary confidentiality and security risk.</w:t>
            </w:r>
          </w:p>
        </w:tc>
      </w:tr>
      <w:tr>
        <w:tc>
          <w:tcPr>
            <w:tcW w:type="dxa" w:w="792"/>
            <w:tcMar>
              <w:top w:w="70" w:type="dxa"/>
              <w:start w:w="70" w:type="dxa"/>
              <w:bottom w:w="70" w:type="dxa"/>
              <w:end w:w="70" w:type="dxa"/>
            </w:tcMar>
            <w:vAlign w:val="center"/>
            <w:shd w:fill="E7F5F4"/>
          </w:tcPr>
          <w:p>
            <w:r>
              <w:rPr>
                <w:b/>
              </w:rPr>
              <w:t>D</w:t>
            </w:r>
          </w:p>
        </w:tc>
        <w:tc>
          <w:tcPr>
            <w:tcW w:type="dxa" w:w="4392"/>
            <w:tcMar>
              <w:top w:w="70" w:type="dxa"/>
              <w:start w:w="70" w:type="dxa"/>
              <w:bottom w:w="70" w:type="dxa"/>
              <w:end w:w="70" w:type="dxa"/>
            </w:tcMar>
            <w:vAlign w:val="center"/>
            <w:shd w:fill="E7F5F4"/>
          </w:tcPr>
          <w:p>
            <w:r>
              <w:t>Use the established backup and emergency procedures, verify the client’s current location and immediate safety, restore reliable contact or activate local emergency resources as indicated, and document the response.</w:t>
            </w:r>
          </w:p>
        </w:tc>
        <w:tc>
          <w:tcPr>
            <w:tcW w:type="dxa" w:w="5040"/>
            <w:tcMar>
              <w:top w:w="70" w:type="dxa"/>
              <w:start w:w="70" w:type="dxa"/>
              <w:bottom w:w="70" w:type="dxa"/>
              <w:end w:w="70" w:type="dxa"/>
            </w:tcMar>
            <w:vAlign w:val="center"/>
            <w:shd w:fill="E7F5F4"/>
          </w:tcPr>
          <w:p>
            <w:r>
              <w:t>Correct. Elevated risk makes continuity and emergency planning more important, not less. The counselor should move to a safe backup pathway rather than spending the whole crisis troubleshooting technology.</w:t>
            </w:r>
          </w:p>
        </w:tc>
      </w:tr>
    </w:tbl>
    <w:p>
      <w:pPr>
        <w:pStyle w:val="Heading2"/>
      </w:pPr>
      <w:r>
        <w:t>Why the Key Controls</w:t>
      </w:r>
    </w:p>
    <w:p>
      <w:r>
        <w:t>Elevated risk makes continuity and emergency planning more important, not less. The counselor should move to a safe backup pathway rather than spending the whole crisis troubleshooting technology.</w:t>
      </w:r>
    </w:p>
    <w:p>
      <w:pPr>
        <w:pStyle w:val="Heading2"/>
      </w:pPr>
      <w:r>
        <w:t>CTA Exam Strategy</w:t>
      </w:r>
    </w:p>
    <w:p>
      <w:r>
        <w:t>Look for the practice-system response: clear policy, accurate records, lawful information flow, supervision, technology safeguards, and documented follow-through.</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Technology Failure During Elevated Risk</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Telehealth Scenario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WB2-C6 Technology Risk Management</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TELEHEALTH-FAILURE-SAFETY</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16 CCR 1815.5; ACA Code of Ethics (2014 working source), telehealth/technology standards; applicable crisis law.</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46 - Controlled Rationale</w:t>
      </w:r>
    </w:p>
    <w:p>
      <w:r>
        <w:rPr>
          <w:b/>
        </w:rPr>
        <w:t xml:space="preserve">Item ID: </w:t>
      </w:r>
      <w:r>
        <w:t>LPCC-LE-CUM-A-046</w:t>
      </w:r>
    </w:p>
    <w:p>
      <w:r>
        <w:rPr>
          <w:b/>
        </w:rPr>
        <w:t xml:space="preserve">Stem: </w:t>
      </w:r>
      <w:r>
        <w:t>An agency policy instructs APCCs to route all suspected child-abuse concerns to a supervisor and forbids staff from making external reports directly. What is the BEST response?</w:t>
      </w:r>
    </w:p>
    <w:p>
      <w:r>
        <w:rPr>
          <w:b/>
          <w:color w:val="1A9B9A"/>
        </w:rPr>
        <w:t>CORRECT ANSWER: C</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Wait until the supervisor gives written permission to report.</w:t>
            </w:r>
          </w:p>
        </w:tc>
        <w:tc>
          <w:tcPr>
            <w:tcW w:type="dxa" w:w="5040"/>
            <w:tcMar>
              <w:top w:w="70" w:type="dxa"/>
              <w:start w:w="70" w:type="dxa"/>
              <w:bottom w:w="70" w:type="dxa"/>
              <w:end w:w="70" w:type="dxa"/>
            </w:tcMar>
            <w:vAlign w:val="center"/>
          </w:tcPr>
          <w:p>
            <w:r>
              <w:t>Incorrect. Supervisor permission is not required for an individual mandated report.</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Follow the agency policy because employer rules control staff conduct.</w:t>
            </w:r>
          </w:p>
        </w:tc>
        <w:tc>
          <w:tcPr>
            <w:tcW w:type="dxa" w:w="5040"/>
            <w:tcMar>
              <w:top w:w="70" w:type="dxa"/>
              <w:start w:w="70" w:type="dxa"/>
              <w:bottom w:w="70" w:type="dxa"/>
              <w:end w:w="70" w:type="dxa"/>
            </w:tcMar>
            <w:vAlign w:val="center"/>
          </w:tcPr>
          <w:p>
            <w:r>
              <w:t>Incorrect. Employer policy cannot authorize violation of a mandatory reporting statute.</w:t>
            </w:r>
          </w:p>
        </w:tc>
      </w:tr>
      <w:tr>
        <w:tc>
          <w:tcPr>
            <w:tcW w:type="dxa" w:w="792"/>
            <w:tcMar>
              <w:top w:w="70" w:type="dxa"/>
              <w:start w:w="70" w:type="dxa"/>
              <w:bottom w:w="70" w:type="dxa"/>
              <w:end w:w="70" w:type="dxa"/>
            </w:tcMar>
            <w:vAlign w:val="center"/>
            <w:shd w:fill="E7F5F4"/>
          </w:tcPr>
          <w:p>
            <w:r>
              <w:rPr>
                <w:b/>
              </w:rPr>
              <w:t>C</w:t>
            </w:r>
          </w:p>
        </w:tc>
        <w:tc>
          <w:tcPr>
            <w:tcW w:type="dxa" w:w="4392"/>
            <w:tcMar>
              <w:top w:w="70" w:type="dxa"/>
              <w:start w:w="70" w:type="dxa"/>
              <w:bottom w:w="70" w:type="dxa"/>
              <w:end w:w="70" w:type="dxa"/>
            </w:tcMar>
            <w:vAlign w:val="center"/>
            <w:shd w:fill="E7F5F4"/>
          </w:tcPr>
          <w:p>
            <w:r>
              <w:t>Follow the individual mandated-reporting duty and use internal notification procedures only to the extent they do not impede or substitute for the required external report; raise the defective policy for correction.</w:t>
            </w:r>
          </w:p>
        </w:tc>
        <w:tc>
          <w:tcPr>
            <w:tcW w:type="dxa" w:w="5040"/>
            <w:tcMar>
              <w:top w:w="70" w:type="dxa"/>
              <w:start w:w="70" w:type="dxa"/>
              <w:bottom w:w="70" w:type="dxa"/>
              <w:end w:w="70" w:type="dxa"/>
            </w:tcMar>
            <w:vAlign w:val="center"/>
            <w:shd w:fill="E7F5F4"/>
          </w:tcPr>
          <w:p>
            <w:r>
              <w:t>Correct. Organizational policy cannot override an individual statutory reporting duty, and the systemic policy problem should also be addressed.</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Ignore the agency policy but never tell anyone it is defective.</w:t>
            </w:r>
          </w:p>
        </w:tc>
        <w:tc>
          <w:tcPr>
            <w:tcW w:type="dxa" w:w="5040"/>
            <w:tcMar>
              <w:top w:w="70" w:type="dxa"/>
              <w:start w:w="70" w:type="dxa"/>
              <w:bottom w:w="70" w:type="dxa"/>
              <w:end w:w="70" w:type="dxa"/>
            </w:tcMar>
            <w:vAlign w:val="center"/>
          </w:tcPr>
          <w:p>
            <w:r>
              <w:t>Incorrect. The immediate duty must be met, and a recurring policy risk should also be addressed through appropriate organizational channels.</w:t>
            </w:r>
          </w:p>
        </w:tc>
      </w:tr>
    </w:tbl>
    <w:p>
      <w:pPr>
        <w:pStyle w:val="Heading2"/>
      </w:pPr>
      <w:r>
        <w:t>Why the Key Controls</w:t>
      </w:r>
    </w:p>
    <w:p>
      <w:r>
        <w:t>Organizational policy cannot override an individual statutory reporting duty, and the systemic policy problem should also be addressed.</w:t>
      </w:r>
    </w:p>
    <w:p>
      <w:pPr>
        <w:pStyle w:val="Heading2"/>
      </w:pPr>
      <w:r>
        <w:t>CTA Exam Strategy</w:t>
      </w:r>
    </w:p>
    <w:p>
      <w:r>
        <w:t>Look for the practice-system response: clear policy, accurate records, lawful information flow, supervision, technology safeguards, and documented follow-through.</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Organizational Policy Versus Law</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Organization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WB5-C4 Accountability; WB5-C2 Mandated Reporting</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POLICY-VS-LAW</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Penal Code 11166(i); ACA Code of Ethics (2014 working source), organizational responsibility standards.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47 - Controlled Rationale</w:t>
      </w:r>
    </w:p>
    <w:p>
      <w:r>
        <w:rPr>
          <w:b/>
        </w:rPr>
        <w:t xml:space="preserve">Item ID: </w:t>
      </w:r>
      <w:r>
        <w:t>LPCC-LE-CUM-A-047</w:t>
      </w:r>
    </w:p>
    <w:p>
      <w:r>
        <w:rPr>
          <w:b/>
        </w:rPr>
        <w:t xml:space="preserve">Stem: </w:t>
      </w:r>
      <w:r>
        <w:t>An LPCC learns that a laptop containing client information may have been accessed by an unauthorized person. The facts are incomplete. What should occur FIRST?</w:t>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rPr>
                <w:b/>
              </w:rPr>
              <w:t>A</w:t>
            </w:r>
          </w:p>
        </w:tc>
        <w:tc>
          <w:tcPr>
            <w:tcW w:type="dxa" w:w="4392"/>
            <w:tcMar>
              <w:top w:w="70" w:type="dxa"/>
              <w:start w:w="70" w:type="dxa"/>
              <w:bottom w:w="70" w:type="dxa"/>
              <w:end w:w="70" w:type="dxa"/>
            </w:tcMar>
            <w:vAlign w:val="center"/>
            <w:shd w:fill="E7F5F4"/>
          </w:tcPr>
          <w:p>
            <w:r>
              <w:t>Contain the incident, preserve relevant evidence, identify what information and systems may be affected, activate the organization’s privacy/security response, and then determine notification obligations from the facts.</w:t>
            </w:r>
          </w:p>
        </w:tc>
        <w:tc>
          <w:tcPr>
            <w:tcW w:type="dxa" w:w="5040"/>
            <w:tcMar>
              <w:top w:w="70" w:type="dxa"/>
              <w:start w:w="70" w:type="dxa"/>
              <w:bottom w:w="70" w:type="dxa"/>
              <w:end w:w="70" w:type="dxa"/>
            </w:tcMar>
            <w:vAlign w:val="center"/>
            <w:shd w:fill="E7F5F4"/>
          </w:tcPr>
          <w:p>
            <w:r>
              <w:t>Correct. A proportionate incident response begins with containment and factual assessment; notification decisions depend on the nature of the information, safeguards, access, and applicable law.</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Delete system logs to reduce embarrassment.</w:t>
            </w:r>
          </w:p>
        </w:tc>
        <w:tc>
          <w:tcPr>
            <w:tcW w:type="dxa" w:w="5040"/>
            <w:tcMar>
              <w:top w:w="70" w:type="dxa"/>
              <w:start w:w="70" w:type="dxa"/>
              <w:bottom w:w="70" w:type="dxa"/>
              <w:end w:w="70" w:type="dxa"/>
            </w:tcMar>
            <w:vAlign w:val="center"/>
          </w:tcPr>
          <w:p>
            <w:r>
              <w:t>Incorrect. Destroying evidence impairs investigation and accountability.</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Ignore the event because no client has complained.</w:t>
            </w:r>
          </w:p>
        </w:tc>
        <w:tc>
          <w:tcPr>
            <w:tcW w:type="dxa" w:w="5040"/>
            <w:tcMar>
              <w:top w:w="70" w:type="dxa"/>
              <w:start w:w="70" w:type="dxa"/>
              <w:bottom w:w="70" w:type="dxa"/>
              <w:end w:w="70" w:type="dxa"/>
            </w:tcMar>
            <w:vAlign w:val="center"/>
          </w:tcPr>
          <w:p>
            <w:r>
              <w:t>Incorrect. Security obligations do not depend on receiving a complaint.</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Immediately tell every client that a reportable breach definitely occurred.</w:t>
            </w:r>
          </w:p>
        </w:tc>
        <w:tc>
          <w:tcPr>
            <w:tcW w:type="dxa" w:w="5040"/>
            <w:tcMar>
              <w:top w:w="70" w:type="dxa"/>
              <w:start w:w="70" w:type="dxa"/>
              <w:bottom w:w="70" w:type="dxa"/>
              <w:end w:w="70" w:type="dxa"/>
            </w:tcMar>
            <w:vAlign w:val="center"/>
          </w:tcPr>
          <w:p>
            <w:r>
              <w:t>Incorrect. Notification may be required, but the facts must first be assessed under the applicable rules.</w:t>
            </w:r>
          </w:p>
        </w:tc>
      </w:tr>
    </w:tbl>
    <w:p>
      <w:pPr>
        <w:pStyle w:val="Heading2"/>
      </w:pPr>
      <w:r>
        <w:t>Why the Key Controls</w:t>
      </w:r>
    </w:p>
    <w:p>
      <w:r>
        <w:t>A proportionate incident response begins with containment and factual assessment; notification decisions depend on the nature of the information, safeguards, access, and applicable law.</w:t>
      </w:r>
    </w:p>
    <w:p>
      <w:pPr>
        <w:pStyle w:val="Heading2"/>
      </w:pPr>
      <w:r>
        <w:t>CTA Exam Strategy</w:t>
      </w:r>
    </w:p>
    <w:p>
      <w:r>
        <w:t>Look for the practice-system response: clear policy, accurate records, lawful information flow, supervision, technology safeguards, and documented follow-through.</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Security Incident and Proportionate Response</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Privacy Scenario / FIRST/NEXT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WB8-C3 Privacy/Security; WB9-C4 Record Security</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SECURITY-INCIDENT</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16 CCR 1815.5(d)(3); HIPAA Security/Breach rules when applicable; California privacy/security law.</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48 - Controlled Rationale</w:t>
      </w:r>
    </w:p>
    <w:p>
      <w:r>
        <w:rPr>
          <w:b/>
        </w:rPr>
        <w:t xml:space="preserve">Item ID: </w:t>
      </w:r>
      <w:r>
        <w:t>LPCC-LE-CUM-A-048</w:t>
      </w:r>
    </w:p>
    <w:p>
      <w:r>
        <w:rPr>
          <w:b/>
        </w:rPr>
        <w:t xml:space="preserve">Stem: </w:t>
      </w:r>
      <w:r>
        <w:t>An LPCC’s intake agreement lists the session fee but does not mention a substantial late-cancellation charge. After the first missed appointment, the LPCC imposes the charge. What is the BEST concern?</w:t>
      </w:r>
    </w:p>
    <w:p>
      <w:r>
        <w:rPr>
          <w:b/>
          <w:color w:val="1A9B9A"/>
        </w:rPr>
        <w:t>CORRECT ANSWER: D</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Cancellation fees are always prohibited in counseling.</w:t>
            </w:r>
          </w:p>
        </w:tc>
        <w:tc>
          <w:tcPr>
            <w:tcW w:type="dxa" w:w="5040"/>
            <w:tcMar>
              <w:top w:w="70" w:type="dxa"/>
              <w:start w:w="70" w:type="dxa"/>
              <w:bottom w:w="70" w:type="dxa"/>
              <w:end w:w="70" w:type="dxa"/>
            </w:tcMar>
            <w:vAlign w:val="center"/>
          </w:tcPr>
          <w:p>
            <w:r>
              <w:t>Incorrect. The problem is the lack of advance transparency, not a universal prohibition on such fees.</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Fees have no connection to informed decision-making.</w:t>
            </w:r>
          </w:p>
        </w:tc>
        <w:tc>
          <w:tcPr>
            <w:tcW w:type="dxa" w:w="5040"/>
            <w:tcMar>
              <w:top w:w="70" w:type="dxa"/>
              <w:start w:w="70" w:type="dxa"/>
              <w:bottom w:w="70" w:type="dxa"/>
              <w:end w:w="70" w:type="dxa"/>
            </w:tcMar>
            <w:vAlign w:val="center"/>
          </w:tcPr>
          <w:p>
            <w:r>
              <w:t>Incorrect. Significant financial terms can materially affect whether and how a client participates in treatment.</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The fee is automatically valid because it appears on the practice website.</w:t>
            </w:r>
          </w:p>
        </w:tc>
        <w:tc>
          <w:tcPr>
            <w:tcW w:type="dxa" w:w="5040"/>
            <w:tcMar>
              <w:top w:w="70" w:type="dxa"/>
              <w:start w:w="70" w:type="dxa"/>
              <w:bottom w:w="70" w:type="dxa"/>
              <w:end w:w="70" w:type="dxa"/>
            </w:tcMar>
            <w:vAlign w:val="center"/>
          </w:tcPr>
          <w:p>
            <w:r>
              <w:t>Incorrect. A website posting does not necessarily establish that the client received and understood the material policy before enforcement.</w:t>
            </w:r>
          </w:p>
        </w:tc>
      </w:tr>
      <w:tr>
        <w:tc>
          <w:tcPr>
            <w:tcW w:type="dxa" w:w="792"/>
            <w:tcMar>
              <w:top w:w="70" w:type="dxa"/>
              <w:start w:w="70" w:type="dxa"/>
              <w:bottom w:w="70" w:type="dxa"/>
              <w:end w:w="70" w:type="dxa"/>
            </w:tcMar>
            <w:vAlign w:val="center"/>
            <w:shd w:fill="E7F5F4"/>
          </w:tcPr>
          <w:p>
            <w:r>
              <w:rPr>
                <w:b/>
              </w:rPr>
              <w:t>D</w:t>
            </w:r>
          </w:p>
        </w:tc>
        <w:tc>
          <w:tcPr>
            <w:tcW w:type="dxa" w:w="4392"/>
            <w:tcMar>
              <w:top w:w="70" w:type="dxa"/>
              <w:start w:w="70" w:type="dxa"/>
              <w:bottom w:w="70" w:type="dxa"/>
              <w:end w:w="70" w:type="dxa"/>
            </w:tcMar>
            <w:vAlign w:val="center"/>
            <w:shd w:fill="E7F5F4"/>
          </w:tcPr>
          <w:p>
            <w:r>
              <w:t>A significant financial policy that could affect participation was not communicated before it was enforced.</w:t>
            </w:r>
          </w:p>
        </w:tc>
        <w:tc>
          <w:tcPr>
            <w:tcW w:type="dxa" w:w="5040"/>
            <w:tcMar>
              <w:top w:w="70" w:type="dxa"/>
              <w:start w:w="70" w:type="dxa"/>
              <w:bottom w:w="70" w:type="dxa"/>
              <w:end w:w="70" w:type="dxa"/>
            </w:tcMar>
            <w:vAlign w:val="center"/>
            <w:shd w:fill="E7F5F4"/>
          </w:tcPr>
          <w:p>
            <w:r>
              <w:t>Correct. Transparent fee and practice policies support informed choice and reduce unfair surprise or coercion.</w:t>
            </w:r>
          </w:p>
        </w:tc>
      </w:tr>
    </w:tbl>
    <w:p>
      <w:pPr>
        <w:pStyle w:val="Heading2"/>
      </w:pPr>
      <w:r>
        <w:t>Why the Key Controls</w:t>
      </w:r>
    </w:p>
    <w:p>
      <w:r>
        <w:t>Transparent fee and practice policies support informed choice and reduce unfair surprise or coercion.</w:t>
      </w:r>
    </w:p>
    <w:p>
      <w:pPr>
        <w:pStyle w:val="Heading2"/>
      </w:pPr>
      <w:r>
        <w:t>CTA Exam Strategy</w:t>
      </w:r>
    </w:p>
    <w:p>
      <w:r>
        <w:t>Look for the practice-system response: clear policy, accurate records, lawful information flow, supervision, technology safeguards, and documented follow-through.</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Fee Policy Disclosure</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Easy / Foundational Practice-Policy Application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WB1-C2 Informed Decision-Making; WB6-C4 Financial Relationships</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FEE-DISCLOSURE</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BPC 4999.74; ACA Code of Ethics (2014 working source), fees/informed-consent standards.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49 - Controlled Rationale</w:t>
      </w:r>
    </w:p>
    <w:p>
      <w:r>
        <w:rPr>
          <w:b/>
        </w:rPr>
        <w:t xml:space="preserve">Item ID: </w:t>
      </w:r>
      <w:r>
        <w:t>LPCC-LE-CUM-A-049</w:t>
      </w:r>
    </w:p>
    <w:p>
      <w:r>
        <w:rPr>
          <w:b/>
        </w:rPr>
        <w:t xml:space="preserve">Stem: </w:t>
      </w:r>
      <w:r>
        <w:t>An APCC repeatedly omits direct suicide-risk assessment and documentation despite prior feedback, and several high-risk clients remain assigned. What is the BEST supervisory response?</w:t>
      </w:r>
    </w:p>
    <w:p>
      <w:r>
        <w:rPr>
          <w:b/>
          <w:color w:val="1A9B9A"/>
        </w:rPr>
        <w:t>CORRECT ANSWER: B</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tcPr>
          <w:p>
            <w:r>
              <w:t>A</w:t>
            </w:r>
          </w:p>
        </w:tc>
        <w:tc>
          <w:tcPr>
            <w:tcW w:type="dxa" w:w="4392"/>
            <w:tcMar>
              <w:top w:w="70" w:type="dxa"/>
              <w:start w:w="70" w:type="dxa"/>
              <w:bottom w:w="70" w:type="dxa"/>
              <w:end w:w="70" w:type="dxa"/>
            </w:tcMar>
            <w:vAlign w:val="center"/>
          </w:tcPr>
          <w:p>
            <w:r>
              <w:t>Immediately end the APCC’s career without assessment or authorized process.</w:t>
            </w:r>
          </w:p>
        </w:tc>
        <w:tc>
          <w:tcPr>
            <w:tcW w:type="dxa" w:w="5040"/>
            <w:tcMar>
              <w:top w:w="70" w:type="dxa"/>
              <w:start w:w="70" w:type="dxa"/>
              <w:bottom w:w="70" w:type="dxa"/>
              <w:end w:w="70" w:type="dxa"/>
            </w:tcMar>
            <w:vAlign w:val="center"/>
          </w:tcPr>
          <w:p>
            <w:r>
              <w:t>Incorrect. Gatekeeping should be evidence-based, proportionate, and follow applicable supervision and organizational procedures.</w:t>
            </w:r>
          </w:p>
        </w:tc>
      </w:tr>
      <w:tr>
        <w:tc>
          <w:tcPr>
            <w:tcW w:type="dxa" w:w="792"/>
            <w:tcMar>
              <w:top w:w="70" w:type="dxa"/>
              <w:start w:w="70" w:type="dxa"/>
              <w:bottom w:w="70" w:type="dxa"/>
              <w:end w:w="70" w:type="dxa"/>
            </w:tcMar>
            <w:vAlign w:val="center"/>
            <w:shd w:fill="E7F5F4"/>
          </w:tcPr>
          <w:p>
            <w:r>
              <w:rPr>
                <w:b/>
              </w:rPr>
              <w:t>B</w:t>
            </w:r>
          </w:p>
        </w:tc>
        <w:tc>
          <w:tcPr>
            <w:tcW w:type="dxa" w:w="4392"/>
            <w:tcMar>
              <w:top w:w="70" w:type="dxa"/>
              <w:start w:w="70" w:type="dxa"/>
              <w:bottom w:w="70" w:type="dxa"/>
              <w:end w:w="70" w:type="dxa"/>
            </w:tcMar>
            <w:vAlign w:val="center"/>
            <w:shd w:fill="E7F5F4"/>
          </w:tcPr>
          <w:p>
            <w:r>
              <w:t>Review affected client risk, take needed protective action, increase observation and supervision, limit or reassign high-risk work as appropriate, set a documented remediation plan with criteria and follow-up, and use gatekeeping if unsafe performance continues.</w:t>
            </w:r>
          </w:p>
        </w:tc>
        <w:tc>
          <w:tcPr>
            <w:tcW w:type="dxa" w:w="5040"/>
            <w:tcMar>
              <w:top w:w="70" w:type="dxa"/>
              <w:start w:w="70" w:type="dxa"/>
              <w:bottom w:w="70" w:type="dxa"/>
              <w:end w:w="70" w:type="dxa"/>
            </w:tcMar>
            <w:vAlign w:val="center"/>
            <w:shd w:fill="E7F5F4"/>
          </w:tcPr>
          <w:p>
            <w:r>
              <w:t>Correct. Effective supervision protects current clients while providing specific remediation, monitoring, and accountability rather than waiting passively or using unsupported punishment.</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Wait until the annual evaluation so the APCC has time to improve independently.</w:t>
            </w:r>
          </w:p>
        </w:tc>
        <w:tc>
          <w:tcPr>
            <w:tcW w:type="dxa" w:w="5040"/>
            <w:tcMar>
              <w:top w:w="70" w:type="dxa"/>
              <w:start w:w="70" w:type="dxa"/>
              <w:bottom w:w="70" w:type="dxa"/>
              <w:end w:w="70" w:type="dxa"/>
            </w:tcMar>
            <w:vAlign w:val="center"/>
          </w:tcPr>
          <w:p>
            <w:r>
              <w:t>Incorrect. Ongoing high-risk omissions require timely intervention.</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Provide reassurance only because defensiveness is a normal developmental stage.</w:t>
            </w:r>
          </w:p>
        </w:tc>
        <w:tc>
          <w:tcPr>
            <w:tcW w:type="dxa" w:w="5040"/>
            <w:tcMar>
              <w:top w:w="70" w:type="dxa"/>
              <w:start w:w="70" w:type="dxa"/>
              <w:bottom w:w="70" w:type="dxa"/>
              <w:end w:w="70" w:type="dxa"/>
            </w:tcMar>
            <w:vAlign w:val="center"/>
          </w:tcPr>
          <w:p>
            <w:r>
              <w:t>Incorrect. Support may help, but it does not replace client protection and remediation.</w:t>
            </w:r>
          </w:p>
        </w:tc>
      </w:tr>
    </w:tbl>
    <w:p>
      <w:pPr>
        <w:pStyle w:val="Heading2"/>
      </w:pPr>
      <w:r>
        <w:t>Why the Key Controls</w:t>
      </w:r>
    </w:p>
    <w:p>
      <w:r>
        <w:t>Effective supervision protects current clients while providing specific remediation, monitoring, and accountability rather than waiting passively or using unsupported punishment.</w:t>
      </w:r>
    </w:p>
    <w:p>
      <w:pPr>
        <w:pStyle w:val="Heading2"/>
      </w:pPr>
      <w:r>
        <w:t>CTA Exam Strategy</w:t>
      </w:r>
    </w:p>
    <w:p>
      <w:r>
        <w:t>Look for the practice-system response: clear policy, accurate records, lawful information flow, supervision, technology safeguards, and documented follow-through.</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Supervision Feedback and Remediation</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Supervision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WB3-C5 Clinical Supervision</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SUPERVISION-REMEDIATION</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BPC 4999.46-4999.46.5; supervision regulations; ACA Code of Ethics (2014 working source), supervision standards.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p>
      <w:r>
        <w:br w:type="page"/>
      </w:r>
    </w:p>
    <w:p>
      <w:pPr>
        <w:pStyle w:val="Heading1"/>
      </w:pPr>
      <w:r>
        <w:t>Item 50 - Controlled Rationale</w:t>
      </w:r>
    </w:p>
    <w:p>
      <w:r>
        <w:rPr>
          <w:b/>
        </w:rPr>
        <w:t xml:space="preserve">Item ID: </w:t>
      </w:r>
      <w:r>
        <w:t>LPCC-LE-CUM-A-050</w:t>
      </w:r>
    </w:p>
    <w:p>
      <w:r>
        <w:rPr>
          <w:b/>
        </w:rPr>
        <w:t xml:space="preserve">Stem: </w:t>
      </w:r>
      <w:r>
        <w:t>A school counselor asks an LPCC for “everything you have” about a shared adolescent client so the school team can plan accommodations. The client/family authorization permits coordination but is limited to information relevant to school functioning. What is the BEST response?</w:t>
      </w:r>
    </w:p>
    <w:p>
      <w:r>
        <w:rPr>
          <w:b/>
          <w:color w:val="1A9B9A"/>
        </w:rPr>
        <w:t>CORRECT ANSWER: A</w:t>
      </w:r>
    </w:p>
    <w:tbl>
      <w:tblPr>
        <w:tblW w:type="auto" w:w="0"/>
        <w:jc w:val="center"/>
        <w:tblLook w:firstColumn="1" w:firstRow="1" w:lastColumn="0" w:lastRow="0" w:noHBand="0" w:noVBand="1" w:val="04A0"/>
        <w:tblLayout w:type="fixed"/>
        <w:tblInd w:w="0" w:type="dxa"/>
      </w:tblPr>
      <w:tblGrid>
        <w:gridCol w:w="3408"/>
        <w:gridCol w:w="3408"/>
        <w:gridCol w:w="3408"/>
      </w:tblGrid>
      <w:tr>
        <w:trPr>
          <w:tblHeader w:val="true"/>
        </w:trPr>
        <w:tc>
          <w:tcPr>
            <w:tcW w:type="dxa" w:w="792"/>
            <w:shd w:fill="17365D"/>
          </w:tcPr>
          <w:p>
            <w:r>
              <w:rPr>
                <w:b/>
                <w:color w:val="FFFFFF"/>
              </w:rPr>
              <w:t>Option</w:t>
            </w:r>
          </w:p>
        </w:tc>
        <w:tc>
          <w:tcPr>
            <w:tcW w:type="dxa" w:w="4392"/>
            <w:shd w:fill="17365D"/>
          </w:tcPr>
          <w:p>
            <w:r>
              <w:rPr>
                <w:b/>
                <w:color w:val="FFFFFF"/>
              </w:rPr>
              <w:t>Answer choice</w:t>
            </w:r>
          </w:p>
        </w:tc>
        <w:tc>
          <w:tcPr>
            <w:tcW w:type="dxa" w:w="5040"/>
            <w:shd w:fill="17365D"/>
          </w:tcPr>
          <w:p>
            <w:r>
              <w:rPr>
                <w:b/>
                <w:color w:val="FFFFFF"/>
              </w:rPr>
              <w:t>Detailed rationale</w:t>
            </w:r>
          </w:p>
        </w:tc>
      </w:tr>
      <w:tr>
        <w:tc>
          <w:tcPr>
            <w:tcW w:type="dxa" w:w="792"/>
            <w:tcMar>
              <w:top w:w="70" w:type="dxa"/>
              <w:start w:w="70" w:type="dxa"/>
              <w:bottom w:w="70" w:type="dxa"/>
              <w:end w:w="70" w:type="dxa"/>
            </w:tcMar>
            <w:vAlign w:val="center"/>
            <w:shd w:fill="E7F5F4"/>
          </w:tcPr>
          <w:p>
            <w:r>
              <w:rPr>
                <w:b/>
              </w:rPr>
              <w:t>A</w:t>
            </w:r>
          </w:p>
        </w:tc>
        <w:tc>
          <w:tcPr>
            <w:tcW w:type="dxa" w:w="4392"/>
            <w:tcMar>
              <w:top w:w="70" w:type="dxa"/>
              <w:start w:w="70" w:type="dxa"/>
              <w:bottom w:w="70" w:type="dxa"/>
              <w:end w:w="70" w:type="dxa"/>
            </w:tcMar>
            <w:vAlign w:val="center"/>
            <w:shd w:fill="E7F5F4"/>
          </w:tcPr>
          <w:p>
            <w:r>
              <w:t>Clarify the purpose and recipient, share only information within the authorization and reasonably relevant to the coordination purpose, and document the disclosure.</w:t>
            </w:r>
          </w:p>
        </w:tc>
        <w:tc>
          <w:tcPr>
            <w:tcW w:type="dxa" w:w="5040"/>
            <w:tcMar>
              <w:top w:w="70" w:type="dxa"/>
              <w:start w:w="70" w:type="dxa"/>
              <w:bottom w:w="70" w:type="dxa"/>
              <w:end w:w="70" w:type="dxa"/>
            </w:tcMar>
            <w:vAlign w:val="center"/>
            <w:shd w:fill="E7F5F4"/>
          </w:tcPr>
          <w:p>
            <w:r>
              <w:t>Correct. Collaboration does not create unrestricted access; purpose, permission, minimum relevant information, and documentation should align.</w:t>
            </w:r>
          </w:p>
        </w:tc>
      </w:tr>
      <w:tr>
        <w:tc>
          <w:tcPr>
            <w:tcW w:type="dxa" w:w="792"/>
            <w:tcMar>
              <w:top w:w="70" w:type="dxa"/>
              <w:start w:w="70" w:type="dxa"/>
              <w:bottom w:w="70" w:type="dxa"/>
              <w:end w:w="70" w:type="dxa"/>
            </w:tcMar>
            <w:vAlign w:val="center"/>
          </w:tcPr>
          <w:p>
            <w:r>
              <w:t>B</w:t>
            </w:r>
          </w:p>
        </w:tc>
        <w:tc>
          <w:tcPr>
            <w:tcW w:type="dxa" w:w="4392"/>
            <w:tcMar>
              <w:top w:w="70" w:type="dxa"/>
              <w:start w:w="70" w:type="dxa"/>
              <w:bottom w:w="70" w:type="dxa"/>
              <w:end w:w="70" w:type="dxa"/>
            </w:tcMar>
            <w:vAlign w:val="center"/>
          </w:tcPr>
          <w:p>
            <w:r>
              <w:t>Refuse all collaboration because school staff are not psychotherapists.</w:t>
            </w:r>
          </w:p>
        </w:tc>
        <w:tc>
          <w:tcPr>
            <w:tcW w:type="dxa" w:w="5040"/>
            <w:tcMar>
              <w:top w:w="70" w:type="dxa"/>
              <w:start w:w="70" w:type="dxa"/>
              <w:bottom w:w="70" w:type="dxa"/>
              <w:end w:w="70" w:type="dxa"/>
            </w:tcMar>
            <w:vAlign w:val="center"/>
          </w:tcPr>
          <w:p>
            <w:r>
              <w:t>Incorrect. Authorized and appropriate coordination may support client welfare.</w:t>
            </w:r>
          </w:p>
        </w:tc>
      </w:tr>
      <w:tr>
        <w:tc>
          <w:tcPr>
            <w:tcW w:type="dxa" w:w="792"/>
            <w:tcMar>
              <w:top w:w="70" w:type="dxa"/>
              <w:start w:w="70" w:type="dxa"/>
              <w:bottom w:w="70" w:type="dxa"/>
              <w:end w:w="70" w:type="dxa"/>
            </w:tcMar>
            <w:vAlign w:val="center"/>
          </w:tcPr>
          <w:p>
            <w:r>
              <w:t>C</w:t>
            </w:r>
          </w:p>
        </w:tc>
        <w:tc>
          <w:tcPr>
            <w:tcW w:type="dxa" w:w="4392"/>
            <w:tcMar>
              <w:top w:w="70" w:type="dxa"/>
              <w:start w:w="70" w:type="dxa"/>
              <w:bottom w:w="70" w:type="dxa"/>
              <w:end w:w="70" w:type="dxa"/>
            </w:tcMar>
            <w:vAlign w:val="center"/>
          </w:tcPr>
          <w:p>
            <w:r>
              <w:t>Ask the school to decide what the LPCC is legally allowed to disclose.</w:t>
            </w:r>
          </w:p>
        </w:tc>
        <w:tc>
          <w:tcPr>
            <w:tcW w:type="dxa" w:w="5040"/>
            <w:tcMar>
              <w:top w:w="70" w:type="dxa"/>
              <w:start w:w="70" w:type="dxa"/>
              <w:bottom w:w="70" w:type="dxa"/>
              <w:end w:w="70" w:type="dxa"/>
            </w:tcMar>
            <w:vAlign w:val="center"/>
          </w:tcPr>
          <w:p>
            <w:r>
              <w:t>Incorrect. The LPCC remains responsible for determining lawful, authorized disclosure within professional role.</w:t>
            </w:r>
          </w:p>
        </w:tc>
      </w:tr>
      <w:tr>
        <w:tc>
          <w:tcPr>
            <w:tcW w:type="dxa" w:w="792"/>
            <w:tcMar>
              <w:top w:w="70" w:type="dxa"/>
              <w:start w:w="70" w:type="dxa"/>
              <w:bottom w:w="70" w:type="dxa"/>
              <w:end w:w="70" w:type="dxa"/>
            </w:tcMar>
            <w:vAlign w:val="center"/>
          </w:tcPr>
          <w:p>
            <w:r>
              <w:t>D</w:t>
            </w:r>
          </w:p>
        </w:tc>
        <w:tc>
          <w:tcPr>
            <w:tcW w:type="dxa" w:w="4392"/>
            <w:tcMar>
              <w:top w:w="70" w:type="dxa"/>
              <w:start w:w="70" w:type="dxa"/>
              <w:bottom w:w="70" w:type="dxa"/>
              <w:end w:w="70" w:type="dxa"/>
            </w:tcMar>
            <w:vAlign w:val="center"/>
          </w:tcPr>
          <w:p>
            <w:r>
              <w:t>Send the complete psychotherapy record because the professionals are on the same team.</w:t>
            </w:r>
          </w:p>
        </w:tc>
        <w:tc>
          <w:tcPr>
            <w:tcW w:type="dxa" w:w="5040"/>
            <w:tcMar>
              <w:top w:w="70" w:type="dxa"/>
              <w:start w:w="70" w:type="dxa"/>
              <w:bottom w:w="70" w:type="dxa"/>
              <w:end w:w="70" w:type="dxa"/>
            </w:tcMar>
            <w:vAlign w:val="center"/>
          </w:tcPr>
          <w:p>
            <w:r>
              <w:t>Incorrect. Team participation does not automatically authorize the full record.</w:t>
            </w:r>
          </w:p>
        </w:tc>
      </w:tr>
    </w:tbl>
    <w:p>
      <w:pPr>
        <w:pStyle w:val="Heading2"/>
      </w:pPr>
      <w:r>
        <w:t>Why the Key Controls</w:t>
      </w:r>
    </w:p>
    <w:p>
      <w:r>
        <w:t>Collaboration does not create unrestricted access; purpose, permission, minimum relevant information, and documentation should align.</w:t>
      </w:r>
    </w:p>
    <w:p>
      <w:pPr>
        <w:pStyle w:val="Heading2"/>
      </w:pPr>
      <w:r>
        <w:t>CTA Exam Strategy</w:t>
      </w:r>
    </w:p>
    <w:p>
      <w:r>
        <w:t>Look for the practice-system response: clear policy, accurate records, lawful information flow, supervision, technology safeguards, and documented follow-through.</w:t>
      </w:r>
    </w:p>
    <w:tbl>
      <w:tblPr>
        <w:tblW w:type="auto" w:w="0"/>
        <w:jc w:val="center"/>
        <w:tblLook w:firstColumn="1" w:firstRow="1" w:lastColumn="0" w:lastRow="0" w:noHBand="0" w:noVBand="1" w:val="04A0"/>
        <w:tblLayout w:type="fixed"/>
        <w:tblInd w:w="0" w:type="dxa"/>
      </w:tblPr>
      <w:tblGrid>
        <w:gridCol w:w="5112"/>
        <w:gridCol w:w="5112"/>
      </w:tblGrid>
      <w:tr>
        <w:trPr>
          <w:tblHeader w:val="true"/>
        </w:trPr>
        <w:tc>
          <w:tcPr>
            <w:tcW w:type="dxa" w:w="3024"/>
            <w:shd w:fill="17365D"/>
          </w:tcPr>
          <w:p>
            <w:r>
              <w:rPr>
                <w:b/>
                <w:color w:val="FFFFFF"/>
              </w:rPr>
              <w:t>Field</w:t>
            </w:r>
          </w:p>
        </w:tc>
        <w:tc>
          <w:tcPr>
            <w:tcW w:type="dxa" w:w="7056"/>
            <w:shd w:fill="17365D"/>
          </w:tcPr>
          <w:p>
            <w:r>
              <w:rPr>
                <w:b/>
                <w:color w:val="FFFFFF"/>
              </w:rPr>
              <w:t>Controlling entry</w:t>
            </w:r>
          </w:p>
        </w:tc>
      </w:tr>
      <w:tr>
        <w:tc>
          <w:tcPr>
            <w:tcW w:type="dxa" w:w="3024"/>
            <w:tcMar>
              <w:top w:w="60" w:type="dxa"/>
              <w:start w:w="80" w:type="dxa"/>
              <w:bottom w:w="60" w:type="dxa"/>
              <w:end w:w="80" w:type="dxa"/>
            </w:tcMar>
            <w:vAlign w:val="center"/>
          </w:tcPr>
          <w:p>
            <w:r>
              <w:rPr>
                <w:b/>
              </w:rPr>
              <w:t>Primary concept</w:t>
            </w:r>
          </w:p>
        </w:tc>
        <w:tc>
          <w:tcPr>
            <w:tcW w:type="dxa" w:w="7056"/>
            <w:tcMar>
              <w:top w:w="60" w:type="dxa"/>
              <w:start w:w="80" w:type="dxa"/>
              <w:bottom w:w="60" w:type="dxa"/>
              <w:end w:w="80" w:type="dxa"/>
            </w:tcMar>
            <w:vAlign w:val="center"/>
          </w:tcPr>
          <w:p>
            <w:r>
              <w:t>Interprofessional Information Sharing</w:t>
            </w:r>
          </w:p>
        </w:tc>
      </w:tr>
      <w:tr>
        <w:tc>
          <w:tcPr>
            <w:tcW w:type="dxa" w:w="3024"/>
            <w:tcMar>
              <w:top w:w="60" w:type="dxa"/>
              <w:start w:w="80" w:type="dxa"/>
              <w:bottom w:w="60" w:type="dxa"/>
              <w:end w:w="80" w:type="dxa"/>
            </w:tcMar>
            <w:vAlign w:val="center"/>
          </w:tcPr>
          <w:p>
            <w:r>
              <w:rPr>
                <w:b/>
              </w:rPr>
              <w:t>Official domain</w:t>
            </w:r>
          </w:p>
        </w:tc>
        <w:tc>
          <w:tcPr>
            <w:tcW w:type="dxa" w:w="7056"/>
            <w:tcMar>
              <w:top w:w="60" w:type="dxa"/>
              <w:start w:w="80" w:type="dxa"/>
              <w:bottom w:w="60" w:type="dxa"/>
              <w:end w:w="80" w:type="dxa"/>
            </w:tcMar>
            <w:vAlign w:val="center"/>
          </w:tcPr>
          <w:p>
            <w:r>
              <w:t>Ethics 2.3</w:t>
            </w:r>
          </w:p>
        </w:tc>
      </w:tr>
      <w:tr>
        <w:tc>
          <w:tcPr>
            <w:tcW w:type="dxa" w:w="3024"/>
            <w:tcMar>
              <w:top w:w="60" w:type="dxa"/>
              <w:start w:w="80" w:type="dxa"/>
              <w:bottom w:w="60" w:type="dxa"/>
              <w:end w:w="80" w:type="dxa"/>
            </w:tcMar>
            <w:vAlign w:val="center"/>
          </w:tcPr>
          <w:p>
            <w:r>
              <w:rPr>
                <w:b/>
              </w:rPr>
              <w:t>Difficulty / construction</w:t>
            </w:r>
          </w:p>
        </w:tc>
        <w:tc>
          <w:tcPr>
            <w:tcW w:type="dxa" w:w="7056"/>
            <w:tcMar>
              <w:top w:w="60" w:type="dxa"/>
              <w:start w:w="80" w:type="dxa"/>
              <w:bottom w:w="60" w:type="dxa"/>
              <w:end w:w="80" w:type="dxa"/>
            </w:tcMar>
            <w:vAlign w:val="center"/>
          </w:tcPr>
          <w:p>
            <w:r>
              <w:t>Moderate / Applied Collaboration Scenario / BEST/MOST</w:t>
            </w:r>
          </w:p>
        </w:tc>
      </w:tr>
      <w:tr>
        <w:tc>
          <w:tcPr>
            <w:tcW w:type="dxa" w:w="3024"/>
            <w:tcMar>
              <w:top w:w="60" w:type="dxa"/>
              <w:start w:w="80" w:type="dxa"/>
              <w:bottom w:w="60" w:type="dxa"/>
              <w:end w:w="80" w:type="dxa"/>
            </w:tcMar>
            <w:vAlign w:val="center"/>
          </w:tcPr>
          <w:p>
            <w:r>
              <w:rPr>
                <w:b/>
              </w:rPr>
              <w:t>Primary remediation route</w:t>
            </w:r>
          </w:p>
        </w:tc>
        <w:tc>
          <w:tcPr>
            <w:tcW w:type="dxa" w:w="7056"/>
            <w:tcMar>
              <w:top w:w="60" w:type="dxa"/>
              <w:start w:w="80" w:type="dxa"/>
              <w:bottom w:w="60" w:type="dxa"/>
              <w:end w:w="80" w:type="dxa"/>
            </w:tcMar>
            <w:vAlign w:val="center"/>
          </w:tcPr>
          <w:p>
            <w:r>
              <w:t>WB8-C2 Authorizations; WB7-C3 Collaboration</w:t>
            </w:r>
          </w:p>
        </w:tc>
      </w:tr>
      <w:tr>
        <w:tc>
          <w:tcPr>
            <w:tcW w:type="dxa" w:w="3024"/>
            <w:tcMar>
              <w:top w:w="60" w:type="dxa"/>
              <w:start w:w="80" w:type="dxa"/>
              <w:bottom w:w="60" w:type="dxa"/>
              <w:end w:w="80" w:type="dxa"/>
            </w:tcMar>
            <w:vAlign w:val="center"/>
          </w:tcPr>
          <w:p>
            <w:r>
              <w:rPr>
                <w:b/>
              </w:rPr>
              <w:t>Error-log category</w:t>
            </w:r>
          </w:p>
        </w:tc>
        <w:tc>
          <w:tcPr>
            <w:tcW w:type="dxa" w:w="7056"/>
            <w:tcMar>
              <w:top w:w="60" w:type="dxa"/>
              <w:start w:w="80" w:type="dxa"/>
              <w:bottom w:w="60" w:type="dxa"/>
              <w:end w:w="80" w:type="dxa"/>
            </w:tcMar>
            <w:vAlign w:val="center"/>
          </w:tcPr>
          <w:p>
            <w:r>
              <w:t>COLLABORATION-INFORMATION-SHARING</w:t>
            </w:r>
          </w:p>
        </w:tc>
      </w:tr>
      <w:tr>
        <w:tc>
          <w:tcPr>
            <w:tcW w:type="dxa" w:w="3024"/>
            <w:tcMar>
              <w:top w:w="60" w:type="dxa"/>
              <w:start w:w="80" w:type="dxa"/>
              <w:bottom w:w="60" w:type="dxa"/>
              <w:end w:w="80" w:type="dxa"/>
            </w:tcMar>
            <w:vAlign w:val="center"/>
          </w:tcPr>
          <w:p>
            <w:r>
              <w:rPr>
                <w:b/>
              </w:rPr>
              <w:t>Primary source control</w:t>
            </w:r>
          </w:p>
        </w:tc>
        <w:tc>
          <w:tcPr>
            <w:tcW w:type="dxa" w:w="7056"/>
            <w:tcMar>
              <w:top w:w="60" w:type="dxa"/>
              <w:start w:w="80" w:type="dxa"/>
              <w:bottom w:w="60" w:type="dxa"/>
              <w:end w:w="80" w:type="dxa"/>
            </w:tcMar>
            <w:vAlign w:val="center"/>
          </w:tcPr>
          <w:p>
            <w:r>
              <w:t>California confidentiality/authorization law; ACA Code of Ethics (2014 working source), collaboration standards.</w:t>
            </w:r>
          </w:p>
        </w:tc>
      </w:tr>
      <w:tr>
        <w:tc>
          <w:tcPr>
            <w:tcW w:type="dxa" w:w="3024"/>
            <w:tcMar>
              <w:top w:w="60" w:type="dxa"/>
              <w:start w:w="80" w:type="dxa"/>
              <w:bottom w:w="60" w:type="dxa"/>
              <w:end w:w="80" w:type="dxa"/>
            </w:tcMar>
            <w:vAlign w:val="center"/>
          </w:tcPr>
          <w:p>
            <w:r>
              <w:rPr>
                <w:b/>
              </w:rPr>
              <w:t>Currency control</w:t>
            </w:r>
          </w:p>
        </w:tc>
        <w:tc>
          <w:tcPr>
            <w:tcW w:type="dxa" w:w="7056"/>
            <w:tcMar>
              <w:top w:w="60" w:type="dxa"/>
              <w:start w:w="80" w:type="dxa"/>
              <w:bottom w:w="60" w:type="dxa"/>
              <w:end w:w="80" w:type="dxa"/>
            </w:tcMar>
            <w:vAlign w:val="center"/>
          </w:tcPr>
          <w:p>
            <w:r>
              <w:t>Current-source baseline reviewed August 7, 2026; update when material official sources or ethics standards change.</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POST-ATTEMPT CONTROLLED ANSWER MATERIAL | R6 v1.1 | August 7,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646E"/>
        <w:sz w:val="16"/>
      </w:rPr>
      <w:t>CTA | LPCC California Law &amp; Ethics | R6 | Practice Examination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A9B9A"/>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