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652427"/>
            <wp:docPr id="1" name="Picture 1"/>
            <wp:cNvGraphicFramePr>
              <a:graphicFrameLocks noChangeAspect="1"/>
            </wp:cNvGraphicFramePr>
            <a:graphic>
              <a:graphicData uri="http://schemas.openxmlformats.org/drawingml/2006/picture">
                <pic:pic>
                  <pic:nvPicPr>
                    <pic:cNvPr id="0" name="CTA_Stacked_Logo.png"/>
                    <pic:cNvPicPr/>
                  </pic:nvPicPr>
                  <pic:blipFill>
                    <a:blip r:embed="rId11"/>
                    <a:stretch>
                      <a:fillRect/>
                    </a:stretch>
                  </pic:blipFill>
                  <pic:spPr>
                    <a:xfrm>
                      <a:off x="0" y="0"/>
                      <a:ext cx="2286000" cy="1652427"/>
                    </a:xfrm>
                    <a:prstGeom prst="rect"/>
                  </pic:spPr>
                </pic:pic>
              </a:graphicData>
            </a:graphic>
          </wp:inline>
        </w:drawing>
      </w:r>
    </w:p>
    <w:p>
      <w:pPr>
        <w:pStyle w:val="Title"/>
        <w:jc w:val="center"/>
      </w:pPr>
      <w:r>
        <w:t>CTA LPCC California Law &amp; Ethics</w:t>
        <w:br/>
        <w:t>Exam Preparation Program</w:t>
      </w:r>
    </w:p>
    <w:p>
      <w:pPr>
        <w:pStyle w:val="Heading1"/>
        <w:jc w:val="center"/>
      </w:pPr>
      <w:r>
        <w:t>R7 | Practice Examination B</w:t>
      </w:r>
    </w:p>
    <w:p>
      <w:pPr>
        <w:pStyle w:val="Heading2"/>
        <w:jc w:val="center"/>
      </w:pPr>
      <w:r>
        <w:t>Detailed Rationales and Remediation Guide</w:t>
      </w:r>
    </w:p>
    <w:p>
      <w:pPr>
        <w:jc w:val="center"/>
      </w:pPr>
      <w:r>
        <w:rPr>
          <w:b/>
        </w:rPr>
        <w:t>50 Questions | Law 22 / Ethics 28 | 12 Easy / 25 Moderate / 13 Difficult</w:t>
      </w:r>
    </w:p>
    <w:p>
      <w:pPr>
        <w:jc w:val="center"/>
      </w:pPr>
      <w:r>
        <w:t>Version 1.1 | August 7, 2026</w:t>
      </w:r>
    </w:p>
    <w:p>
      <w:pPr>
        <w:jc w:val="center"/>
      </w:pPr>
      <w:r>
        <w:rPr>
          <w:b/>
          <w:color w:val="1A9B9A"/>
        </w:rPr>
        <w:t>POST-ATTEMPT CONTROLLED ANSWER MATERIAL</w:t>
      </w:r>
    </w:p>
    <w:p>
      <w:pPr>
        <w:jc w:val="center"/>
      </w:pPr>
      <w:r>
        <w:rPr>
          <w:i/>
          <w:color w:val="17365D"/>
        </w:rPr>
        <w:t>Teaching Clinicians How to Think.</w:t>
      </w:r>
    </w:p>
    <w:p>
      <w:r>
        <w:br w:type="page"/>
      </w:r>
    </w:p>
    <w:tbl>
      <w:tblPr>
        <w:tblW w:type="auto" w:w="0"/>
        <w:jc w:val="center"/>
        <w:tblLook w:firstColumn="1" w:firstRow="1" w:lastColumn="0" w:lastRow="0" w:noHBand="0" w:noVBand="1" w:val="04A0"/>
        <w:tblLayout w:type="fixed"/>
        <w:tblInd w:w="0" w:type="dxa"/>
      </w:tblPr>
      <w:tblGrid>
        <w:gridCol w:w="10224"/>
      </w:tblGrid>
      <w:tr>
        <w:tc>
          <w:tcPr>
            <w:tcW w:type="dxa" w:w="10080"/>
            <w:shd w:fill="EAF6F5"/>
            <w:tcMar>
              <w:top w:w="120" w:type="dxa"/>
              <w:start w:w="140" w:type="dxa"/>
              <w:bottom w:w="120" w:type="dxa"/>
              <w:end w:w="140" w:type="dxa"/>
            </w:tcMar>
            <w:vAlign w:val="center"/>
          </w:tcPr>
          <w:p>
            <w:r>
              <w:t>RESTRICTED CONTROL | 50 released items | 200 option-specific rationales. Release only after the learner completes and preserves the answer-hidden Practice Examination B attempt. Approved for post-attempt controlled learner review under CTA-EP-003.</w:t>
            </w:r>
          </w:p>
        </w:tc>
      </w:tr>
    </w:tbl>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Component</w:t>
            </w:r>
          </w:p>
        </w:tc>
        <w:tc>
          <w:tcPr>
            <w:tcW w:type="dxa" w:w="7056"/>
            <w:tcMar>
              <w:top w:w="60" w:type="dxa"/>
              <w:start w:w="80" w:type="dxa"/>
              <w:bottom w:w="60" w:type="dxa"/>
              <w:end w:w="80" w:type="dxa"/>
            </w:tcMar>
            <w:vAlign w:val="center"/>
          </w:tcPr>
          <w:p>
            <w:r>
              <w:t>Practice Examination B - Detailed Rationales and Remediation Guide</w:t>
            </w:r>
          </w:p>
        </w:tc>
      </w:tr>
      <w:tr>
        <w:tc>
          <w:tcPr>
            <w:tcW w:type="dxa" w:w="3024"/>
            <w:tcMar>
              <w:top w:w="60" w:type="dxa"/>
              <w:start w:w="80" w:type="dxa"/>
              <w:bottom w:w="60" w:type="dxa"/>
              <w:end w:w="80" w:type="dxa"/>
            </w:tcMar>
            <w:vAlign w:val="center"/>
          </w:tcPr>
          <w:p>
            <w:r>
              <w:rPr>
                <w:b/>
              </w:rPr>
              <w:t>Items</w:t>
            </w:r>
          </w:p>
        </w:tc>
        <w:tc>
          <w:tcPr>
            <w:tcW w:type="dxa" w:w="7056"/>
            <w:tcMar>
              <w:top w:w="60" w:type="dxa"/>
              <w:start w:w="80" w:type="dxa"/>
              <w:bottom w:w="60" w:type="dxa"/>
              <w:end w:w="80" w:type="dxa"/>
            </w:tcMar>
            <w:vAlign w:val="center"/>
          </w:tcPr>
          <w:p>
            <w:r>
              <w:t>50</w:t>
            </w:r>
          </w:p>
        </w:tc>
      </w:tr>
      <w:tr>
        <w:tc>
          <w:tcPr>
            <w:tcW w:type="dxa" w:w="3024"/>
            <w:tcMar>
              <w:top w:w="60" w:type="dxa"/>
              <w:start w:w="80" w:type="dxa"/>
              <w:bottom w:w="60" w:type="dxa"/>
              <w:end w:w="80" w:type="dxa"/>
            </w:tcMar>
            <w:vAlign w:val="center"/>
          </w:tcPr>
          <w:p>
            <w:r>
              <w:rPr>
                <w:b/>
              </w:rPr>
              <w:t>Option rationales</w:t>
            </w:r>
          </w:p>
        </w:tc>
        <w:tc>
          <w:tcPr>
            <w:tcW w:type="dxa" w:w="7056"/>
            <w:tcMar>
              <w:top w:w="60" w:type="dxa"/>
              <w:start w:w="80" w:type="dxa"/>
              <w:bottom w:w="60" w:type="dxa"/>
              <w:end w:w="80" w:type="dxa"/>
            </w:tcMar>
            <w:vAlign w:val="center"/>
          </w:tcPr>
          <w:p>
            <w:r>
              <w:t>200</w:t>
            </w:r>
          </w:p>
        </w:tc>
      </w:tr>
      <w:tr>
        <w:tc>
          <w:tcPr>
            <w:tcW w:type="dxa" w:w="3024"/>
            <w:tcMar>
              <w:top w:w="60" w:type="dxa"/>
              <w:start w:w="80" w:type="dxa"/>
              <w:bottom w:w="60" w:type="dxa"/>
              <w:end w:w="80" w:type="dxa"/>
            </w:tcMar>
            <w:vAlign w:val="center"/>
          </w:tcPr>
          <w:p>
            <w:r>
              <w:rPr>
                <w:b/>
              </w:rPr>
              <w:t>Source recheck</w:t>
            </w:r>
          </w:p>
        </w:tc>
        <w:tc>
          <w:tcPr>
            <w:tcW w:type="dxa" w:w="7056"/>
            <w:tcMar>
              <w:top w:w="60" w:type="dxa"/>
              <w:start w:w="80" w:type="dxa"/>
              <w:bottom w:w="60" w:type="dxa"/>
              <w:end w:w="80" w:type="dxa"/>
            </w:tcMar>
            <w:vAlign w:val="center"/>
          </w:tcPr>
          <w:p>
            <w:r>
              <w:t>California BBS 2026 statutes/regulations, Penal Code 11166, WIC 15630, H&amp;S Code 123110/124260, and ACA ethics status rechecked August 7, 2026</w:t>
            </w:r>
          </w:p>
        </w:tc>
      </w:tr>
      <w:tr>
        <w:tc>
          <w:tcPr>
            <w:tcW w:type="dxa" w:w="3024"/>
            <w:tcMar>
              <w:top w:w="60" w:type="dxa"/>
              <w:start w:w="80" w:type="dxa"/>
              <w:bottom w:w="60" w:type="dxa"/>
              <w:end w:w="80" w:type="dxa"/>
            </w:tcMar>
            <w:vAlign w:val="center"/>
          </w:tcPr>
          <w:p>
            <w:r>
              <w:rPr>
                <w:b/>
              </w:rPr>
              <w:t>ACA status</w:t>
            </w:r>
          </w:p>
        </w:tc>
        <w:tc>
          <w:tcPr>
            <w:tcW w:type="dxa" w:w="7056"/>
            <w:tcMar>
              <w:top w:w="60" w:type="dxa"/>
              <w:start w:w="80" w:type="dxa"/>
              <w:bottom w:w="60" w:type="dxa"/>
              <w:end w:w="80" w:type="dxa"/>
            </w:tcMar>
            <w:vAlign w:val="center"/>
          </w:tcPr>
          <w:p>
            <w:r>
              <w:t>2014 ACA Code of Ethics is the currently operative ethics source used for this release</w:t>
            </w:r>
          </w:p>
        </w:tc>
      </w:tr>
      <w:tr>
        <w:tc>
          <w:tcPr>
            <w:tcW w:type="dxa" w:w="3024"/>
            <w:tcMar>
              <w:top w:w="60" w:type="dxa"/>
              <w:start w:w="80" w:type="dxa"/>
              <w:bottom w:w="60" w:type="dxa"/>
              <w:end w:w="80" w:type="dxa"/>
            </w:tcMar>
            <w:vAlign w:val="center"/>
          </w:tcPr>
          <w:p>
            <w:r>
              <w:rPr>
                <w:b/>
              </w:rPr>
              <w:t>Release</w:t>
            </w:r>
          </w:p>
        </w:tc>
        <w:tc>
          <w:tcPr>
            <w:tcW w:type="dxa" w:w="7056"/>
            <w:tcMar>
              <w:top w:w="60" w:type="dxa"/>
              <w:start w:w="80" w:type="dxa"/>
              <w:bottom w:w="60" w:type="dxa"/>
              <w:end w:w="80" w:type="dxa"/>
            </w:tcMar>
            <w:vAlign w:val="center"/>
          </w:tcPr>
          <w:p>
            <w:r>
              <w:t>APPROVED for post-attempt controlled review and learner use under CTA-EP-003</w:t>
            </w:r>
          </w:p>
        </w:tc>
      </w:tr>
    </w:tbl>
    <w:p>
      <w:pPr>
        <w:pStyle w:val="Heading1"/>
      </w:pPr>
      <w:r>
        <w:t>Item 1 - Controlled Rationale</w:t>
      </w:r>
    </w:p>
    <w:p>
      <w:r>
        <w:rPr>
          <w:b/>
        </w:rPr>
        <w:t>Item ID: LPCC-LE-CUM-B-001</w:t>
      </w:r>
      <w:r/>
    </w:p>
    <w:p>
      <w:r>
        <w:rPr>
          <w:b/>
        </w:rPr>
        <w:t>Stem: At an initial session, a new adult client says, “I signed the intake form, so we do not need to talk about consent.” Which response by the LPCC BEST reflects informed-consent requirements?</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Agree because a signed form completes the informed-consent process.</w:t>
            </w:r>
          </w:p>
        </w:tc>
        <w:tc>
          <w:tcPr>
            <w:tcW w:type="dxa" w:w="5040"/>
            <w:tcMar>
              <w:top w:w="70" w:type="dxa"/>
              <w:start w:w="70" w:type="dxa"/>
              <w:bottom w:w="70" w:type="dxa"/>
              <w:end w:w="70" w:type="dxa"/>
            </w:tcMar>
            <w:vAlign w:val="center"/>
          </w:tcPr>
          <w:p>
            <w:r>
              <w:t>Incorrect. A signature can document consent, but it does not replace the information-sharing and understanding that make consent informed.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Discuss only confidentiality because all other treatment information can wait until the client asks.</w:t>
            </w:r>
          </w:p>
        </w:tc>
        <w:tc>
          <w:tcPr>
            <w:tcW w:type="dxa" w:w="5040"/>
            <w:tcMar>
              <w:top w:w="70" w:type="dxa"/>
              <w:start w:w="70" w:type="dxa"/>
              <w:bottom w:w="70" w:type="dxa"/>
              <w:end w:w="70" w:type="dxa"/>
            </w:tcMar>
            <w:vAlign w:val="center"/>
          </w:tcPr>
          <w:p>
            <w:r>
              <w:t>Incorrect. Confidentiality is important, but informed consent also includes the nature of services, risks, benefits, fees, alternatives, qualifications, and other material information.</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Review the counseling relationship and process, including material risks, benefits, alternatives, fees, limits of confidentiality, and other information needed for an informed choice, and document the discussion.</w:t>
            </w:r>
          </w:p>
        </w:tc>
        <w:tc>
          <w:tcPr>
            <w:tcW w:type="dxa" w:w="5040"/>
            <w:tcMar>
              <w:top w:w="70" w:type="dxa"/>
              <w:start w:w="70" w:type="dxa"/>
              <w:bottom w:w="70" w:type="dxa"/>
              <w:end w:w="70" w:type="dxa"/>
            </w:tcMar>
            <w:vAlign w:val="center"/>
            <w:shd w:fill="E7F5F4"/>
          </w:tcPr>
          <w:p>
            <w:r>
              <w:t>Correct. Informed consent is a communication process, not a one-time signature; the client needs accurate information about the counseling relationship and process before making an informed choice.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Begin treatment first and provide the consent information only if the client later objects.</w:t>
            </w:r>
          </w:p>
        </w:tc>
        <w:tc>
          <w:tcPr>
            <w:tcW w:type="dxa" w:w="5040"/>
            <w:tcMar>
              <w:top w:w="70" w:type="dxa"/>
              <w:start w:w="70" w:type="dxa"/>
              <w:bottom w:w="70" w:type="dxa"/>
              <w:end w:w="70" w:type="dxa"/>
            </w:tcMar>
            <w:vAlign w:val="center"/>
          </w:tcPr>
          <w:p>
            <w:r>
              <w:t>Incorrect. Material consent information should be addressed at initiation, not deferred until a problem arises.</w:t>
            </w:r>
          </w:p>
        </w:tc>
      </w:tr>
    </w:tbl>
    <w:p>
      <w:pPr>
        <w:pStyle w:val="Heading2"/>
      </w:pPr>
      <w:r>
        <w:t>Why the Key Controls</w:t>
      </w:r>
    </w:p>
    <w:p>
      <w:r>
        <w:t>The controlling principle is meaningful informed choice. The LPCC should provide accurate, understandable information about the counseling relationship and process and document that the client had an opportunity to understand and decide.</w:t>
      </w:r>
    </w:p>
    <w:p>
      <w:pPr>
        <w:pStyle w:val="Heading2"/>
      </w:pPr>
      <w:r>
        <w:t>CTA Exam Strategy</w:t>
      </w:r>
    </w:p>
    <w:p>
      <w:r>
        <w:t>When the stem contrasts a signature with an informed process, choose the option that preserves disclosure, understanding, voluntariness, and documentation.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Core Informed-Consent Content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WB1-C2 Information Required for Informed Decision-Making</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CONSENT-CORE-CONTENT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4999.74; ACA Code of Ethics (2014 current working source), A.2.</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2 - Controlled Rationale</w:t>
      </w:r>
    </w:p>
    <w:p>
      <w:r>
        <w:rPr>
          <w:b/>
        </w:rPr>
        <w:t>Item ID: LPCC-LE-CUM-B-002</w:t>
      </w:r>
      <w:r/>
    </w:p>
    <w:p>
      <w:r>
        <w:rPr>
          <w:b/>
        </w:rPr>
        <w:t>Stem: A probation-referred client arrives for court-ordered counseling and asks, “Exactly what are you going to tell probation?” What should the LPCC do FIRST?</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Promise that nothing will be disclosed without a new court order.</w:t>
            </w:r>
          </w:p>
        </w:tc>
        <w:tc>
          <w:tcPr>
            <w:tcW w:type="dxa" w:w="5040"/>
            <w:tcMar>
              <w:top w:w="70" w:type="dxa"/>
              <w:start w:w="70" w:type="dxa"/>
              <w:bottom w:w="70" w:type="dxa"/>
              <w:end w:w="70" w:type="dxa"/>
            </w:tcMar>
            <w:vAlign w:val="center"/>
          </w:tcPr>
          <w:p>
            <w:r>
              <w:t>Incorrect. Mandated counseling can involve legally or contractually required disclosures, so an absolute promise of nondisclosure is unsafe.</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Tell the client that probation automatically receives the complete clinical record.</w:t>
            </w:r>
          </w:p>
        </w:tc>
        <w:tc>
          <w:tcPr>
            <w:tcW w:type="dxa" w:w="5040"/>
            <w:tcMar>
              <w:top w:w="70" w:type="dxa"/>
              <w:start w:w="70" w:type="dxa"/>
              <w:bottom w:w="70" w:type="dxa"/>
              <w:end w:w="70" w:type="dxa"/>
            </w:tcMar>
            <w:vAlign w:val="center"/>
            <w:shd w:fill="E7F5F4"/>
          </w:tcPr>
          <w:p>
            <w:r>
              <w:t>Incorrect. Court involvement does not automatically authorize unrestricted release of the entire clinical record.</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Wait until probation asks for information before discussing disclosure limits.</w:t>
            </w:r>
          </w:p>
        </w:tc>
        <w:tc>
          <w:tcPr>
            <w:tcW w:type="dxa" w:w="5040"/>
            <w:tcMar>
              <w:top w:w="70" w:type="dxa"/>
              <w:start w:w="70" w:type="dxa"/>
              <w:bottom w:w="70" w:type="dxa"/>
              <w:end w:w="70" w:type="dxa"/>
            </w:tcMar>
            <w:vAlign w:val="center"/>
          </w:tcPr>
          <w:p>
            <w:r>
              <w:t>Incorrect. The client should understand disclosure expectations and consequences before treatment proceeds, not only after a request arrives.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Explain before counseling what information is required or may be shared, with whom it may be shared, the limits of confidentiality, and the foreseeable consequences of refusing services.</w:t>
            </w:r>
          </w:p>
        </w:tc>
        <w:tc>
          <w:tcPr>
            <w:tcW w:type="dxa" w:w="5040"/>
            <w:tcMar>
              <w:top w:w="70" w:type="dxa"/>
              <w:start w:w="70" w:type="dxa"/>
              <w:bottom w:w="70" w:type="dxa"/>
              <w:end w:w="70" w:type="dxa"/>
            </w:tcMar>
            <w:vAlign w:val="center"/>
          </w:tcPr>
          <w:p>
            <w:r>
              <w:t>Correct. Mandated clients should receive clear advance information about confidentiality limits, required reporting channels, and the possible consequences of refusing the mandated service.</w:t>
            </w:r>
          </w:p>
        </w:tc>
      </w:tr>
    </w:tbl>
    <w:p>
      <w:pPr>
        <w:pStyle w:val="Heading2"/>
      </w:pPr>
      <w:r>
        <w:t>Why the Key Controls</w:t>
      </w:r>
    </w:p>
    <w:p>
      <w:r>
        <w:t>The client must be able to understand the structure of the mandated relationship. Clarifying what information may be shared and with whom prevents surprise and supports informed participation.</w:t>
      </w:r>
    </w:p>
    <w:p>
      <w:pPr>
        <w:pStyle w:val="Heading2"/>
      </w:pPr>
      <w:r>
        <w:t>CTA Exam Strategy</w:t>
      </w:r>
    </w:p>
    <w:p>
      <w:r>
        <w:t>With mandated clients, identify the reporting relationship first. The best answer clarifies the specific disclosure pathway before treatment rather than promising secrecy or assuming unlimited access.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Mandated-Client Disclosure Boundaries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WB1-C4 Required Disclosures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MANDATED-CLIENT-DISCLOSURE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A.2.e; California confidentiality law as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3 - Controlled Rationale</w:t>
      </w:r>
    </w:p>
    <w:p>
      <w:r>
        <w:rPr>
          <w:b/>
        </w:rPr>
        <w:t>Item ID: LPCC-LE-CUM-B-003</w:t>
      </w:r>
      <w:r/>
    </w:p>
    <w:p>
      <w:r>
        <w:rPr>
          <w:b/>
        </w:rPr>
        <w:t>Stem: An adult client previously signed a valid authorization allowing the LPCC to send monthly treatment summaries to an attorney. Before the next summary is sent, the client clearly revokes the authorization. What should the LPCC do?</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Send the next summary because the original authorization was valid when signed.</w:t>
            </w:r>
          </w:p>
        </w:tc>
        <w:tc>
          <w:tcPr>
            <w:tcW w:type="dxa" w:w="5040"/>
            <w:tcMar>
              <w:top w:w="70" w:type="dxa"/>
              <w:start w:w="70" w:type="dxa"/>
              <w:bottom w:w="70" w:type="dxa"/>
              <w:end w:w="70" w:type="dxa"/>
            </w:tcMar>
            <w:vAlign w:val="center"/>
          </w:tcPr>
          <w:p>
            <w:r>
              <w:t>Incorrect. A valid authorization does not create an unlimited right to continue future disclosures after a valid revocation.</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Continue sending summaries until the attorney acknowledges the revocation.</w:t>
            </w:r>
          </w:p>
        </w:tc>
        <w:tc>
          <w:tcPr>
            <w:tcW w:type="dxa" w:w="5040"/>
            <w:tcMar>
              <w:top w:w="70" w:type="dxa"/>
              <w:start w:w="70" w:type="dxa"/>
              <w:bottom w:w="70" w:type="dxa"/>
              <w:end w:w="70" w:type="dxa"/>
            </w:tcMar>
            <w:vAlign w:val="center"/>
            <w:shd w:fill="E7F5F4"/>
          </w:tcPr>
          <w:p>
            <w:r>
              <w:t>Incorrect. The client does not need the recipient’s permission to revoke the client’s authorization for future disclosures.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Stop future disclosures under that authorization, document the revocation, and reassess whether any other lawful basis requires or permits disclosure.</w:t>
            </w:r>
          </w:p>
        </w:tc>
        <w:tc>
          <w:tcPr>
            <w:tcW w:type="dxa" w:w="5040"/>
            <w:tcMar>
              <w:top w:w="70" w:type="dxa"/>
              <w:start w:w="70" w:type="dxa"/>
              <w:bottom w:w="70" w:type="dxa"/>
              <w:end w:w="70" w:type="dxa"/>
            </w:tcMar>
            <w:vAlign w:val="center"/>
          </w:tcPr>
          <w:p>
            <w:r>
              <w:t>Correct. The LPCC should stop relying on the revoked authorization for future disclosures, document the change, and separately evaluate any independent legal basis for disclosure.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Delete every record showing that earlier authorized disclosures occurred.</w:t>
            </w:r>
          </w:p>
        </w:tc>
        <w:tc>
          <w:tcPr>
            <w:tcW w:type="dxa" w:w="5040"/>
            <w:tcMar>
              <w:top w:w="70" w:type="dxa"/>
              <w:start w:w="70" w:type="dxa"/>
              <w:bottom w:w="70" w:type="dxa"/>
              <w:end w:w="70" w:type="dxa"/>
            </w:tcMar>
            <w:vAlign w:val="center"/>
          </w:tcPr>
          <w:p>
            <w:r>
              <w:t>Incorrect. Records of prior lawful disclosures should not be erased merely because the client later revokes authorization.</w:t>
            </w:r>
          </w:p>
        </w:tc>
      </w:tr>
    </w:tbl>
    <w:p>
      <w:pPr>
        <w:pStyle w:val="Heading2"/>
      </w:pPr>
      <w:r>
        <w:t>Why the Key Controls</w:t>
      </w:r>
    </w:p>
    <w:p>
      <w:r>
        <w:t>Authorization is a specific disclosure authority that can change. Once revoked, it no longer controls future disclosures, although prior lawful actions are not retroactively undone.</w:t>
      </w:r>
    </w:p>
    <w:p>
      <w:pPr>
        <w:pStyle w:val="Heading2"/>
      </w:pPr>
      <w:r>
        <w:t>CTA Exam Strategy</w:t>
      </w:r>
    </w:p>
    <w:p>
      <w:r>
        <w:t>Ask whether the disclosure authority is still active at the moment of the proposed disclosure. Do not confuse prior validity with continuing validity.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Revocation of Authorization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Authorizations, Releases of Information, and Limits on Disclosure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ROI-REVOCATION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CMIA/HIPAA authorization rules as applicable; client-directed disclosure controls.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4 - Controlled Rationale</w:t>
      </w:r>
    </w:p>
    <w:p>
      <w:r>
        <w:rPr>
          <w:b/>
        </w:rPr>
        <w:t>Item ID: LPCC-LE-CUM-B-004</w:t>
      </w:r>
      <w:r/>
    </w:p>
    <w:p>
      <w:r>
        <w:rPr>
          <w:b/>
        </w:rPr>
        <w:t>Stem: A 15-year-old lawfully self-consented to outpatient counseling under California minor-consent law. The parent, who has not participated in treatment, later demands the complete counseling record. What should the LPCC do FIRST?</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Determine who has legal access to the specific records at issue under the minor-consent and patient-record statutes before releasing anything.</w:t>
            </w:r>
          </w:p>
        </w:tc>
        <w:tc>
          <w:tcPr>
            <w:tcW w:type="dxa" w:w="5040"/>
            <w:tcMar>
              <w:top w:w="70" w:type="dxa"/>
              <w:start w:w="70" w:type="dxa"/>
              <w:bottom w:w="70" w:type="dxa"/>
              <w:end w:w="70" w:type="dxa"/>
            </w:tcMar>
            <w:vAlign w:val="center"/>
          </w:tcPr>
          <w:p>
            <w:r>
              <w:t>Correct. When a minor lawfully consents to care, record-access rights can differ from ordinary parental access; the LPCC should identify the controlling legal authority before disclosure.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Release the record because a parent always has access to a minor’s mental-health record.</w:t>
            </w:r>
          </w:p>
        </w:tc>
        <w:tc>
          <w:tcPr>
            <w:tcW w:type="dxa" w:w="5040"/>
            <w:tcMar>
              <w:top w:w="70" w:type="dxa"/>
              <w:start w:w="70" w:type="dxa"/>
              <w:bottom w:w="70" w:type="dxa"/>
              <w:end w:w="70" w:type="dxa"/>
            </w:tcMar>
            <w:vAlign w:val="center"/>
          </w:tcPr>
          <w:p>
            <w:r>
              <w:t>Incorrect. Parental status does not automatically override every confidentiality or record-access rule when the minor independently consented to the care.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Refuse the request permanently because a parent can never receive records from a minor’s treatment.</w:t>
            </w:r>
          </w:p>
        </w:tc>
        <w:tc>
          <w:tcPr>
            <w:tcW w:type="dxa" w:w="5040"/>
            <w:tcMar>
              <w:top w:w="70" w:type="dxa"/>
              <w:start w:w="70" w:type="dxa"/>
              <w:bottom w:w="70" w:type="dxa"/>
              <w:end w:w="70" w:type="dxa"/>
            </w:tcMar>
            <w:vAlign w:val="center"/>
          </w:tcPr>
          <w:p>
            <w:r>
              <w:t>Incorrect. An absolute rule against any parental access is also too broad; access depends on the controlling law and facts.</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Ask the minor to destroy the record so there is nothing to release.</w:t>
            </w:r>
          </w:p>
        </w:tc>
        <w:tc>
          <w:tcPr>
            <w:tcW w:type="dxa" w:w="5040"/>
            <w:tcMar>
              <w:top w:w="70" w:type="dxa"/>
              <w:start w:w="70" w:type="dxa"/>
              <w:bottom w:w="70" w:type="dxa"/>
              <w:end w:w="70" w:type="dxa"/>
            </w:tcMar>
            <w:vAlign w:val="center"/>
            <w:shd w:fill="E7F5F4"/>
          </w:tcPr>
          <w:p>
            <w:r>
              <w:t>Incorrect. Destroying a record to avoid a lawful access analysis would violate recordkeeping and integrity duties.</w:t>
            </w:r>
          </w:p>
        </w:tc>
      </w:tr>
    </w:tbl>
    <w:p>
      <w:pPr>
        <w:pStyle w:val="Heading2"/>
      </w:pPr>
      <w:r>
        <w:t>Why the Key Controls</w:t>
      </w:r>
    </w:p>
    <w:p>
      <w:r>
        <w:t>Minor-consent cases require separate analysis of treatment authority, confidentiality, and record access. The fact that someone is a parent does not end the inquiry.</w:t>
      </w:r>
    </w:p>
    <w:p>
      <w:pPr>
        <w:pStyle w:val="Heading2"/>
      </w:pPr>
      <w:r>
        <w:t>CTA Exam Strategy</w:t>
      </w:r>
    </w:p>
    <w:p>
      <w:r>
        <w:t>In minor questions, separate three issues: who consented, who controls confidentiality/privilege, and who may inspect or receive the records.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Parent Request for Self-Consenting Minor Records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WB1-C6 Minor Consent Exceptions; WB8-C4 Client Access to Records and Responding to Record Requests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MINOR-RECORD-AUTHORITY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H&amp;S Code 124260; H&amp;S Code 123110; applicable minor-confidentiality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5 - Controlled Rationale</w:t>
      </w:r>
    </w:p>
    <w:p>
      <w:r>
        <w:rPr>
          <w:b/>
        </w:rPr>
        <w:t>Item ID: LPCC-LE-CUM-B-005</w:t>
      </w:r>
      <w:r/>
    </w:p>
    <w:p>
      <w:r>
        <w:rPr>
          <w:b/>
        </w:rPr>
        <w:t>Stem: A former adult client requests a copy of the treatment record but still owes the LPCC $600. Which response is MOST appropriate under California patient-record law?</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Withhold the record until the account is paid in full.</w:t>
            </w:r>
          </w:p>
        </w:tc>
        <w:tc>
          <w:tcPr>
            <w:tcW w:type="dxa" w:w="5040"/>
            <w:tcMar>
              <w:top w:w="70" w:type="dxa"/>
              <w:start w:w="70" w:type="dxa"/>
              <w:bottom w:w="70" w:type="dxa"/>
              <w:end w:w="70" w:type="dxa"/>
            </w:tcMar>
            <w:vAlign w:val="center"/>
          </w:tcPr>
          <w:p>
            <w:r>
              <w:t>Incorrect. California law prohibits withholding patient records or summaries because of an unpaid bill for health-care services.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Process the record request according to law and address the unpaid balance separately.</w:t>
            </w:r>
          </w:p>
        </w:tc>
        <w:tc>
          <w:tcPr>
            <w:tcW w:type="dxa" w:w="5040"/>
            <w:tcMar>
              <w:top w:w="70" w:type="dxa"/>
              <w:start w:w="70" w:type="dxa"/>
              <w:bottom w:w="70" w:type="dxa"/>
              <w:end w:w="70" w:type="dxa"/>
            </w:tcMar>
            <w:vAlign w:val="center"/>
          </w:tcPr>
          <w:p>
            <w:r>
              <w:t>Correct. Record-access obligations and fee collection are separate; the LPCC should comply with the lawful request while pursuing the balance through appropriate channels.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Release only the diagnosis page because the account is delinquent.</w:t>
            </w:r>
          </w:p>
        </w:tc>
        <w:tc>
          <w:tcPr>
            <w:tcW w:type="dxa" w:w="5040"/>
            <w:tcMar>
              <w:top w:w="70" w:type="dxa"/>
              <w:start w:w="70" w:type="dxa"/>
              <w:bottom w:w="70" w:type="dxa"/>
              <w:end w:w="70" w:type="dxa"/>
            </w:tcMar>
            <w:vAlign w:val="center"/>
          </w:tcPr>
          <w:p>
            <w:r>
              <w:t>Incorrect. Delinquency does not justify arbitrarily limiting the records to which the client is legally entitled.</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Require the client to sign a payment plan before the request can be processed.</w:t>
            </w:r>
          </w:p>
        </w:tc>
        <w:tc>
          <w:tcPr>
            <w:tcW w:type="dxa" w:w="5040"/>
            <w:tcMar>
              <w:top w:w="70" w:type="dxa"/>
              <w:start w:w="70" w:type="dxa"/>
              <w:bottom w:w="70" w:type="dxa"/>
              <w:end w:w="70" w:type="dxa"/>
            </w:tcMar>
            <w:vAlign w:val="center"/>
            <w:shd w:fill="E7F5F4"/>
          </w:tcPr>
          <w:p>
            <w:r>
              <w:t>Incorrect. A payment plan may be discussed, but it cannot be used to frustrate a lawful record request.</w:t>
            </w:r>
          </w:p>
        </w:tc>
      </w:tr>
    </w:tbl>
    <w:p>
      <w:pPr>
        <w:pStyle w:val="Heading2"/>
      </w:pPr>
      <w:r>
        <w:t>Why the Key Controls</w:t>
      </w:r>
    </w:p>
    <w:p>
      <w:r>
        <w:t>The record belongs to the clinical relationship, not to the debt-collection process. Financial disputes do not cancel statutory access rights.</w:t>
      </w:r>
    </w:p>
    <w:p>
      <w:pPr>
        <w:pStyle w:val="Heading2"/>
      </w:pPr>
      <w:r>
        <w:t>CTA Exam Strategy</w:t>
      </w:r>
    </w:p>
    <w:p>
      <w:r>
        <w:t>When money and records are combined in a stem, test whether the fee issue actually changes the legal disclosure/access rule. Here, it does not.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Records Cannot Be Withheld for Unpaid Fees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WB8-C4 Client Access to Records and Responding to Record Requests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RECORDS-UNPAID-BILL</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Health &amp; Safety Code 123110.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6 - Controlled Rationale</w:t>
      </w:r>
    </w:p>
    <w:p>
      <w:r>
        <w:rPr>
          <w:b/>
        </w:rPr>
        <w:t>Item ID: LPCC-LE-CUM-B-006</w:t>
      </w:r>
      <w:r/>
    </w:p>
    <w:p>
      <w:r>
        <w:rPr>
          <w:b/>
        </w:rPr>
        <w:t>Stem: A mature 16-year-old lawfully self-consents to outpatient counseling. The parent has not participated in treatment. The clinic asks the LPCC whether it may automatically bill the parent for the sessions. Which answer is BEST?</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Yes. Parents are always financially responsible for all health services received by a minor.</w:t>
            </w:r>
          </w:p>
        </w:tc>
        <w:tc>
          <w:tcPr>
            <w:tcW w:type="dxa" w:w="5040"/>
            <w:tcMar>
              <w:top w:w="70" w:type="dxa"/>
              <w:start w:w="70" w:type="dxa"/>
              <w:bottom w:w="70" w:type="dxa"/>
              <w:end w:w="70" w:type="dxa"/>
            </w:tcMar>
            <w:vAlign w:val="center"/>
          </w:tcPr>
          <w:p>
            <w:r>
              <w:t>Incorrect. California’s minor-consent statute creates a specific exception to automatic parental financial liability for services provided under that pathway.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No. Under the minor-consent pathway, the parent is not liable for those counseling services unless the parent participates, and then only for services rendered with that participation.</w:t>
            </w:r>
          </w:p>
        </w:tc>
        <w:tc>
          <w:tcPr>
            <w:tcW w:type="dxa" w:w="5040"/>
            <w:tcMar>
              <w:top w:w="70" w:type="dxa"/>
              <w:start w:w="70" w:type="dxa"/>
              <w:bottom w:w="70" w:type="dxa"/>
              <w:end w:w="70" w:type="dxa"/>
            </w:tcMar>
            <w:vAlign w:val="center"/>
          </w:tcPr>
          <w:p>
            <w:r>
              <w:t>Correct. The statute provides that a parent or guardian is not liable for treatment authorized under the minor-consent provision unless the parent or guardian participates, and then only for the participating services.</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Yes, but only if the minor refuses to provide insurance information.</w:t>
            </w:r>
          </w:p>
        </w:tc>
        <w:tc>
          <w:tcPr>
            <w:tcW w:type="dxa" w:w="5040"/>
            <w:tcMar>
              <w:top w:w="70" w:type="dxa"/>
              <w:start w:w="70" w:type="dxa"/>
              <w:bottom w:w="70" w:type="dxa"/>
              <w:end w:w="70" w:type="dxa"/>
            </w:tcMar>
            <w:vAlign w:val="center"/>
            <w:shd w:fill="E7F5F4"/>
          </w:tcPr>
          <w:p>
            <w:r>
              <w:t>Incorrect. Insurance information does not create the statutory parental-payment rule described in the question.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No, because minors can never be charged for mental-health services.</w:t>
            </w:r>
          </w:p>
        </w:tc>
        <w:tc>
          <w:tcPr>
            <w:tcW w:type="dxa" w:w="5040"/>
            <w:tcMar>
              <w:top w:w="70" w:type="dxa"/>
              <w:start w:w="70" w:type="dxa"/>
              <w:bottom w:w="70" w:type="dxa"/>
              <w:end w:w="70" w:type="dxa"/>
            </w:tcMar>
            <w:vAlign w:val="center"/>
          </w:tcPr>
          <w:p>
            <w:r>
              <w:t>Incorrect. The law does not state that mental-health services for minors are categorically free.</w:t>
            </w:r>
          </w:p>
        </w:tc>
      </w:tr>
    </w:tbl>
    <w:p>
      <w:pPr>
        <w:pStyle w:val="Heading2"/>
      </w:pPr>
      <w:r>
        <w:t>Why the Key Controls</w:t>
      </w:r>
    </w:p>
    <w:p>
      <w:r>
        <w:t>The legal pathway that allows the minor to consent also addresses parental payment. Do not import ordinary family-billing assumptions into a statutory minor-consent case.</w:t>
      </w:r>
    </w:p>
    <w:p>
      <w:pPr>
        <w:pStyle w:val="Heading2"/>
      </w:pPr>
      <w:r>
        <w:t>CTA Exam Strategy</w:t>
      </w:r>
    </w:p>
    <w:p>
      <w:r>
        <w:t>When a statute creates a special consent route, check whether it also changes related duties such as parent involvement, payment, or records access.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Minor Self-Consent and Parent Payment Liability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Legal Scenari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WB1-C6 Minor Consent Exceptions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MINOR-PAYMENT-LIABILITY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H&amp;S Code 124260; Family Code 6924 as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7 - Controlled Rationale</w:t>
      </w:r>
    </w:p>
    <w:p>
      <w:r>
        <w:rPr>
          <w:b/>
        </w:rPr>
        <w:t>Item ID: LPCC-LE-CUM-B-007</w:t>
      </w:r>
      <w:r/>
    </w:p>
    <w:p>
      <w:r>
        <w:rPr>
          <w:b/>
        </w:rPr>
        <w:t>Stem: An LPCC licensed only in California has an established telehealth client who texts from Oregon: “I am here for three weeks. Can we keep our regular sessions?” What should the LPCC do FIRST?</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Continue because the therapeutic relationship began in California.</w:t>
            </w:r>
          </w:p>
        </w:tc>
        <w:tc>
          <w:tcPr>
            <w:tcW w:type="dxa" w:w="5040"/>
            <w:tcMar>
              <w:top w:w="70" w:type="dxa"/>
              <w:start w:w="70" w:type="dxa"/>
              <w:bottom w:w="70" w:type="dxa"/>
              <w:end w:w="70" w:type="dxa"/>
            </w:tcMar>
            <w:vAlign w:val="center"/>
            <w:shd w:fill="E7F5F4"/>
          </w:tcPr>
          <w:p>
            <w:r>
              <w:t>Incorrect. Where the relationship began does not erase the law of the jurisdiction where the client is physically located during the service.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Continue if the client signs a waiver accepting all jurisdictional risk.</w:t>
            </w:r>
          </w:p>
        </w:tc>
        <w:tc>
          <w:tcPr>
            <w:tcW w:type="dxa" w:w="5040"/>
            <w:tcMar>
              <w:top w:w="70" w:type="dxa"/>
              <w:start w:w="70" w:type="dxa"/>
              <w:bottom w:w="70" w:type="dxa"/>
              <w:end w:w="70" w:type="dxa"/>
            </w:tcMar>
            <w:vAlign w:val="center"/>
          </w:tcPr>
          <w:p>
            <w:r>
              <w:t>Incorrect. A client waiver cannot authorize professional practice that the jurisdiction does not permit.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Convert the session to telephone because telephone sessions do not cross jurisdictional lines.</w:t>
            </w:r>
          </w:p>
        </w:tc>
        <w:tc>
          <w:tcPr>
            <w:tcW w:type="dxa" w:w="5040"/>
            <w:tcMar>
              <w:top w:w="70" w:type="dxa"/>
              <w:start w:w="70" w:type="dxa"/>
              <w:bottom w:w="70" w:type="dxa"/>
              <w:end w:w="70" w:type="dxa"/>
            </w:tcMar>
            <w:vAlign w:val="center"/>
          </w:tcPr>
          <w:p>
            <w:r>
              <w:t>Incorrect. Changing the communication medium does not eliminate the jurisdictional practice issue.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Determine whether the LPCC is legally authorized to provide counseling to a client physically located in Oregon and whether Oregon permits that telehealth service before proceeding.</w:t>
            </w:r>
          </w:p>
        </w:tc>
        <w:tc>
          <w:tcPr>
            <w:tcW w:type="dxa" w:w="5040"/>
            <w:tcMar>
              <w:top w:w="70" w:type="dxa"/>
              <w:start w:w="70" w:type="dxa"/>
              <w:bottom w:w="70" w:type="dxa"/>
              <w:end w:w="70" w:type="dxa"/>
            </w:tcMar>
            <w:vAlign w:val="center"/>
          </w:tcPr>
          <w:p>
            <w:r>
              <w:t>Correct. California regulation requires a California licensee serving a client in another jurisdiction to meet that jurisdiction’s legal requirements and for telehealth delivery to be permitted there.</w:t>
            </w:r>
          </w:p>
        </w:tc>
      </w:tr>
    </w:tbl>
    <w:p>
      <w:pPr>
        <w:pStyle w:val="Heading2"/>
      </w:pPr>
      <w:r>
        <w:t>Why the Key Controls</w:t>
      </w:r>
    </w:p>
    <w:p>
      <w:r>
        <w:t>Telehealth is practice where the client is located as well as where the clinician is located. The LPCC must resolve legal authority before providing the service.</w:t>
      </w:r>
    </w:p>
    <w:p>
      <w:pPr>
        <w:pStyle w:val="Heading2"/>
      </w:pPr>
      <w:r>
        <w:t>CTA Exam Strategy</w:t>
      </w:r>
    </w:p>
    <w:p>
      <w:r>
        <w:t>For cross-border telehealth, locate the client first, then ask whether the clinician has legal authority to practice in that jurisdiction. Consent cannot cure lack of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Telehealth Across State Lines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Telehealth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WB2-C6 Technology Risk Management and Compliance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TELEHEALTH-OUT-OF-STATE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1815.5(e); law of the client’s location.</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8 - Controlled Rationale</w:t>
      </w:r>
    </w:p>
    <w:p>
      <w:r>
        <w:rPr>
          <w:b/>
        </w:rPr>
        <w:t>Item ID: LPCC-LE-CUM-B-008</w:t>
      </w:r>
      <w:r/>
    </w:p>
    <w:p>
      <w:r>
        <w:rPr>
          <w:b/>
        </w:rPr>
        <w:t>Stem: An adult client submits a proper request for an electronic copy of records that the LPCC maintains electronically in a readily producible format. Which action BEST follows California patient-record law?</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Wait 30 calendar days because all health-record requests have a 30-day response period.</w:t>
            </w:r>
          </w:p>
        </w:tc>
        <w:tc>
          <w:tcPr>
            <w:tcW w:type="dxa" w:w="5040"/>
            <w:tcMar>
              <w:top w:w="70" w:type="dxa"/>
              <w:start w:w="70" w:type="dxa"/>
              <w:bottom w:w="70" w:type="dxa"/>
              <w:end w:w="70" w:type="dxa"/>
            </w:tcMar>
            <w:vAlign w:val="center"/>
            <w:shd w:fill="E7F5F4"/>
          </w:tcPr>
          <w:p>
            <w:r>
              <w:t>Incorrect. The general copy-transmission period in the cited California provision is 15 days after receipt of the request, not a universal 30 days.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Provide the requested copy in the readily producible electronic format and transmit it within the applicable 15-day period.</w:t>
            </w:r>
          </w:p>
        </w:tc>
        <w:tc>
          <w:tcPr>
            <w:tcW w:type="dxa" w:w="5040"/>
            <w:tcMar>
              <w:top w:w="70" w:type="dxa"/>
              <w:start w:w="70" w:type="dxa"/>
              <w:bottom w:w="70" w:type="dxa"/>
              <w:end w:w="70" w:type="dxa"/>
            </w:tcMar>
            <w:vAlign w:val="center"/>
          </w:tcPr>
          <w:p>
            <w:r>
              <w:t>Correct. When the records are maintained electronically and the requested format is readily producible, the provider should supply that electronic format and meet the statutory transmission timeframe.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Require the client to inspect the records in person before receiving a copy.</w:t>
            </w:r>
          </w:p>
        </w:tc>
        <w:tc>
          <w:tcPr>
            <w:tcW w:type="dxa" w:w="5040"/>
            <w:tcMar>
              <w:top w:w="70" w:type="dxa"/>
              <w:start w:w="70" w:type="dxa"/>
              <w:bottom w:w="70" w:type="dxa"/>
              <w:end w:w="70" w:type="dxa"/>
            </w:tcMar>
            <w:vAlign w:val="center"/>
          </w:tcPr>
          <w:p>
            <w:r>
              <w:t>Incorrect. Inspection is a separate right; the client need not inspect in person before receiving a copy.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Convert the records to paper because electronic delivery is never required.</w:t>
            </w:r>
          </w:p>
        </w:tc>
        <w:tc>
          <w:tcPr>
            <w:tcW w:type="dxa" w:w="5040"/>
            <w:tcMar>
              <w:top w:w="70" w:type="dxa"/>
              <w:start w:w="70" w:type="dxa"/>
              <w:bottom w:w="70" w:type="dxa"/>
              <w:end w:w="70" w:type="dxa"/>
            </w:tcMar>
            <w:vAlign w:val="center"/>
          </w:tcPr>
          <w:p>
            <w:r>
              <w:t>Incorrect. The statute expressly contemplates electronic copies when the records are maintained electronically.</w:t>
            </w:r>
          </w:p>
        </w:tc>
      </w:tr>
    </w:tbl>
    <w:p>
      <w:pPr>
        <w:pStyle w:val="Heading2"/>
      </w:pPr>
      <w:r>
        <w:t>Why the Key Controls</w:t>
      </w:r>
    </w:p>
    <w:p>
      <w:r>
        <w:t>Record-access questions often test both format and timing. The provider should honor a readily producible electronic request and comply with the statutory response period.</w:t>
      </w:r>
    </w:p>
    <w:p>
      <w:pPr>
        <w:pStyle w:val="Heading2"/>
      </w:pPr>
      <w:r>
        <w:t>CTA Exam Strategy</w:t>
      </w:r>
    </w:p>
    <w:p>
      <w:r>
        <w:t>Look for exact operational duties—who may request, what format is available, and the response deadline—rather than defaulting to generic HIPAA timelines.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Timely Electronic Record Copies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Records Scenar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WB8-C4 Client Access to Records and Responding to Record Requests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RECORD-COPY-TIMELINE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Health &amp; Safety Code 123110.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9 - Controlled Rationale</w:t>
      </w:r>
    </w:p>
    <w:p>
      <w:r>
        <w:rPr>
          <w:b/>
        </w:rPr>
        <w:t>Item ID: LPCC-LE-CUM-B-009</w:t>
      </w:r>
      <w:r/>
    </w:p>
    <w:p>
      <w:r>
        <w:rPr>
          <w:b/>
        </w:rPr>
        <w:t>Stem: An LPCC develops reasonable suspicion of child abuse during a session. Which reporting sequence matches California CANRA?</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Make the initial report by telephone immediately or as soon as practicably possible and send the written follow-up within 36 hours.</w:t>
            </w:r>
          </w:p>
        </w:tc>
        <w:tc>
          <w:tcPr>
            <w:tcW w:type="dxa" w:w="5040"/>
            <w:tcMar>
              <w:top w:w="70" w:type="dxa"/>
              <w:start w:w="70" w:type="dxa"/>
              <w:bottom w:w="70" w:type="dxa"/>
              <w:end w:w="70" w:type="dxa"/>
            </w:tcMar>
            <w:vAlign w:val="center"/>
          </w:tcPr>
          <w:p>
            <w:r>
              <w:t>Correct. CANRA requires an initial telephone report immediately or as soon as practicably possible, followed by the written report within 36 hours.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Wait for corroboration, then submit only a written report within seven days.</w:t>
            </w:r>
          </w:p>
        </w:tc>
        <w:tc>
          <w:tcPr>
            <w:tcW w:type="dxa" w:w="5040"/>
            <w:tcMar>
              <w:top w:w="70" w:type="dxa"/>
              <w:start w:w="70" w:type="dxa"/>
              <w:bottom w:w="70" w:type="dxa"/>
              <w:end w:w="70" w:type="dxa"/>
            </w:tcMar>
            <w:vAlign w:val="center"/>
          </w:tcPr>
          <w:p>
            <w:r>
              <w:t>Incorrect. Reasonable suspicion—not corroborated certainty—triggers the duty, and the standard sequence is not a seven-day written-only process.</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Notify the clinical supervisor and allow the supervisor to decide whether an external report is necessary.</w:t>
            </w:r>
          </w:p>
        </w:tc>
        <w:tc>
          <w:tcPr>
            <w:tcW w:type="dxa" w:w="5040"/>
            <w:tcMar>
              <w:top w:w="70" w:type="dxa"/>
              <w:start w:w="70" w:type="dxa"/>
              <w:bottom w:w="70" w:type="dxa"/>
              <w:end w:w="70" w:type="dxa"/>
            </w:tcMar>
            <w:vAlign w:val="center"/>
            <w:shd w:fill="E7F5F4"/>
          </w:tcPr>
          <w:p>
            <w:r>
              <w:t>Incorrect. Internal consultation does not replace the mandated reporter’s legal reporting duty.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Document the concern in the chart and report only if the child later confirms the abuse.</w:t>
            </w:r>
          </w:p>
        </w:tc>
        <w:tc>
          <w:tcPr>
            <w:tcW w:type="dxa" w:w="5040"/>
            <w:tcMar>
              <w:top w:w="70" w:type="dxa"/>
              <w:start w:w="70" w:type="dxa"/>
              <w:bottom w:w="70" w:type="dxa"/>
              <w:end w:w="70" w:type="dxa"/>
            </w:tcMar>
            <w:vAlign w:val="center"/>
          </w:tcPr>
          <w:p>
            <w:r>
              <w:t>Incorrect. The reporter does not wait for later confirmation once reasonable suspicion exists.</w:t>
            </w:r>
          </w:p>
        </w:tc>
      </w:tr>
    </w:tbl>
    <w:p>
      <w:pPr>
        <w:pStyle w:val="Heading2"/>
      </w:pPr>
      <w:r>
        <w:t>Why the Key Controls</w:t>
      </w:r>
    </w:p>
    <w:p>
      <w:r>
        <w:t>CANRA uses a low reporting threshold and a specific sequence. The role of the mandated reporter is to report reasonable suspicion, not to investigate or prove the allegation.</w:t>
      </w:r>
    </w:p>
    <w:p>
      <w:pPr>
        <w:pStyle w:val="Heading2"/>
      </w:pPr>
      <w:r>
        <w:t>CTA Exam Strategy</w:t>
      </w:r>
    </w:p>
    <w:p>
      <w:r>
        <w:t>In mandated-reporting items, identify the threshold first, then the timing and destination. Do not choose options that require proof before reporting.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Child-Abuse Reporting Timeline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CANRA-TIMELINE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Penal Code 11166.</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10 - Controlled Rationale</w:t>
      </w:r>
    </w:p>
    <w:p>
      <w:r>
        <w:rPr>
          <w:b/>
        </w:rPr>
        <w:t>Item ID: LPCC-LE-CUM-B-010</w:t>
      </w:r>
      <w:r/>
    </w:p>
    <w:p>
      <w:r>
        <w:rPr>
          <w:b/>
        </w:rPr>
        <w:t>Stem: Two mandated reporters jointly learn facts creating reasonable suspicion of child abuse. They agree that one will make the required report. Later, the LPCC learns the designated reporter never did. What must the LPCC do?</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Make the mandated report because a team member who learns the designated reporter failed must thereafter report.</w:t>
            </w:r>
          </w:p>
        </w:tc>
        <w:tc>
          <w:tcPr>
            <w:tcW w:type="dxa" w:w="5040"/>
            <w:tcMar>
              <w:top w:w="70" w:type="dxa"/>
              <w:start w:w="70" w:type="dxa"/>
              <w:bottom w:w="70" w:type="dxa"/>
              <w:end w:w="70" w:type="dxa"/>
            </w:tcMar>
            <w:vAlign w:val="center"/>
          </w:tcPr>
          <w:p>
            <w:r>
              <w:t>Correct. California permits a jointly selected reporter, but any team member who learns that the designated reporter failed must thereafter make the report.</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Do nothing because the original team agreement permanently transferred the duty.</w:t>
            </w:r>
          </w:p>
        </w:tc>
        <w:tc>
          <w:tcPr>
            <w:tcW w:type="dxa" w:w="5040"/>
            <w:tcMar>
              <w:top w:w="70" w:type="dxa"/>
              <w:start w:w="70" w:type="dxa"/>
              <w:bottom w:w="70" w:type="dxa"/>
              <w:end w:w="70" w:type="dxa"/>
            </w:tcMar>
            <w:vAlign w:val="center"/>
            <w:shd w:fill="E7F5F4"/>
          </w:tcPr>
          <w:p>
            <w:r>
              <w:t>Incorrect. The agreement does not extinguish each mandated reporter’s responsibility if the selected reporter fails to act.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Only document that the colleague accepted responsibility.</w:t>
            </w:r>
          </w:p>
        </w:tc>
        <w:tc>
          <w:tcPr>
            <w:tcW w:type="dxa" w:w="5040"/>
            <w:tcMar>
              <w:top w:w="70" w:type="dxa"/>
              <w:start w:w="70" w:type="dxa"/>
              <w:bottom w:w="70" w:type="dxa"/>
              <w:end w:w="70" w:type="dxa"/>
            </w:tcMar>
            <w:vAlign w:val="center"/>
          </w:tcPr>
          <w:p>
            <w:r>
              <w:t>Incorrect. Documentation alone does not cure the missed statutory report.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Wait for the supervisor to decide whether the missed report should be corrected.</w:t>
            </w:r>
          </w:p>
        </w:tc>
        <w:tc>
          <w:tcPr>
            <w:tcW w:type="dxa" w:w="5040"/>
            <w:tcMar>
              <w:top w:w="70" w:type="dxa"/>
              <w:start w:w="70" w:type="dxa"/>
              <w:bottom w:w="70" w:type="dxa"/>
              <w:end w:w="70" w:type="dxa"/>
            </w:tcMar>
            <w:vAlign w:val="center"/>
          </w:tcPr>
          <w:p>
            <w:r>
              <w:t>Incorrect. A supervisor cannot substitute for or impede the mandated reporter’s individual duty.</w:t>
            </w:r>
          </w:p>
        </w:tc>
      </w:tr>
    </w:tbl>
    <w:p>
      <w:pPr>
        <w:pStyle w:val="Heading2"/>
      </w:pPr>
      <w:r>
        <w:t>Why the Key Controls</w:t>
      </w:r>
    </w:p>
    <w:p>
      <w:r>
        <w:t>Joint reporting is an administrative convenience, not a permanent transfer of legal responsibility. Once the LPCC knows the selected reporter failed, the LPCC must act.</w:t>
      </w:r>
    </w:p>
    <w:p>
      <w:pPr>
        <w:pStyle w:val="Heading2"/>
      </w:pPr>
      <w:r>
        <w:t>CTA Exam Strategy</w:t>
      </w:r>
    </w:p>
    <w:p>
      <w:r>
        <w:t>If a question mentions a joint report, ask what happens if the designated reporter fails. The duty returns to the team member who knows of the failure.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Joint Child-Abuse Report Failure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Legal Scenari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CANRA-JOINT-REPORT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Penal Code 11166(h)-(i).</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11 - Controlled Rationale</w:t>
      </w:r>
    </w:p>
    <w:p>
      <w:r>
        <w:rPr>
          <w:b/>
        </w:rPr>
        <w:t>Item ID: LPCC-LE-CUM-B-011</w:t>
      </w:r>
      <w:r/>
    </w:p>
    <w:p>
      <w:r>
        <w:rPr>
          <w:b/>
        </w:rPr>
        <w:t>Stem: During outpatient therapy, a 77-year-old client reports that a caregiver has been taking signed blank checks and withdrawing money without permission. The LPCC reasonably suspects financial abuse. What is the BEST legal response?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Maintain confidentiality because financial abuse is not reportable unless physical injury also occurred.</w:t>
            </w:r>
          </w:p>
        </w:tc>
        <w:tc>
          <w:tcPr>
            <w:tcW w:type="dxa" w:w="5040"/>
            <w:tcMar>
              <w:top w:w="70" w:type="dxa"/>
              <w:start w:w="70" w:type="dxa"/>
              <w:bottom w:w="70" w:type="dxa"/>
              <w:end w:w="70" w:type="dxa"/>
            </w:tcMar>
            <w:vAlign w:val="center"/>
          </w:tcPr>
          <w:p>
            <w:r>
              <w:t>Incorrect. California elder/dependent-adult reporting law includes financial abuse among reportable categories.</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Ask the caregiver for an explanation before deciding whether to report.</w:t>
            </w:r>
          </w:p>
        </w:tc>
        <w:tc>
          <w:tcPr>
            <w:tcW w:type="dxa" w:w="5040"/>
            <w:tcMar>
              <w:top w:w="70" w:type="dxa"/>
              <w:start w:w="70" w:type="dxa"/>
              <w:bottom w:w="70" w:type="dxa"/>
              <w:end w:w="70" w:type="dxa"/>
            </w:tcMar>
            <w:vAlign w:val="center"/>
            <w:shd w:fill="E7F5F4"/>
          </w:tcPr>
          <w:p>
            <w:r>
              <w:t>Incorrect. The mandated reporter does not investigate the suspected perpetrator before satisfying the reporting duty.</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Make the mandated report immediately or as soon as practicably possible to the appropriate adult protective services or law-enforcement agency and complete the required follow-up reporting.</w:t>
            </w:r>
          </w:p>
        </w:tc>
        <w:tc>
          <w:tcPr>
            <w:tcW w:type="dxa" w:w="5040"/>
            <w:tcMar>
              <w:top w:w="70" w:type="dxa"/>
              <w:start w:w="70" w:type="dxa"/>
              <w:bottom w:w="70" w:type="dxa"/>
              <w:end w:w="70" w:type="dxa"/>
            </w:tcMar>
            <w:vAlign w:val="center"/>
          </w:tcPr>
          <w:p>
            <w:r>
              <w:t>Correct. Reasonable suspicion of elder financial abuse triggers prompt reporting; outside specified facilities, the report generally goes to adult protective services or local law enforcement, with the required follow-up if reported by telephone.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Wait until the client obtains bank records proving the withdrawals.</w:t>
            </w:r>
          </w:p>
        </w:tc>
        <w:tc>
          <w:tcPr>
            <w:tcW w:type="dxa" w:w="5040"/>
            <w:tcMar>
              <w:top w:w="70" w:type="dxa"/>
              <w:start w:w="70" w:type="dxa"/>
              <w:bottom w:w="70" w:type="dxa"/>
              <w:end w:w="70" w:type="dxa"/>
            </w:tcMar>
            <w:vAlign w:val="center"/>
          </w:tcPr>
          <w:p>
            <w:r>
              <w:t>Incorrect. The reporting threshold does not require documentary proof.</w:t>
            </w:r>
          </w:p>
        </w:tc>
      </w:tr>
    </w:tbl>
    <w:p>
      <w:pPr>
        <w:pStyle w:val="Heading2"/>
      </w:pPr>
      <w:r>
        <w:t>Why the Key Controls</w:t>
      </w:r>
    </w:p>
    <w:p>
      <w:r>
        <w:t>Elder/dependent-adult reporting covers more than physical injury. Financial exploitation can trigger the same prompt-reporting framework when the statutory threshold is met.</w:t>
      </w:r>
    </w:p>
    <w:p>
      <w:pPr>
        <w:pStyle w:val="Heading2"/>
      </w:pPr>
      <w:r>
        <w:t>CTA Exam Strategy</w:t>
      </w:r>
    </w:p>
    <w:p>
      <w:r>
        <w:t>Do not narrow mandated abuse to physical abuse. Read the category in the stem and ask whether California law expressly includes it.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Elder Financial-Abuse Reporting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Legal Scenari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ELDER-FINANCIAL-ABUSE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Welfare &amp; Institutions Code 15630.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12 - Controlled Rationale</w:t>
      </w:r>
    </w:p>
    <w:p>
      <w:r>
        <w:rPr>
          <w:b/>
        </w:rPr>
        <w:t>Item ID: LPCC-LE-CUM-B-012</w:t>
      </w:r>
      <w:r/>
    </w:p>
    <w:p>
      <w:r>
        <w:rPr>
          <w:b/>
        </w:rPr>
        <w:t>Stem: A 16-year-old client tells an LPCC she is pregnant. No other facts suggesting abuse, coercion, exploitation, or unlawful sexual conduct are known. Which statement is MOST accurate for CANRA analysis?</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Pregnancy of a minor, by itself, does not automatically create reasonable suspicion of sexual abuse; the LPCC should assess the surrounding facts and report if the legal threshold is met.</w:t>
            </w:r>
          </w:p>
        </w:tc>
        <w:tc>
          <w:tcPr>
            <w:tcW w:type="dxa" w:w="5040"/>
            <w:tcMar>
              <w:top w:w="70" w:type="dxa"/>
              <w:start w:w="70" w:type="dxa"/>
              <w:bottom w:w="70" w:type="dxa"/>
              <w:end w:w="70" w:type="dxa"/>
            </w:tcMar>
            <w:vAlign w:val="center"/>
          </w:tcPr>
          <w:p>
            <w:r>
              <w:t>Correct. California law expressly states that a minor’s pregnancy, standing alone, does not itself establish reasonable suspicion of sexual abuse; other facts may still create a reporting duty.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Pregnancy of any person under 18 automatically requires a child-abuse report.</w:t>
            </w:r>
          </w:p>
        </w:tc>
        <w:tc>
          <w:tcPr>
            <w:tcW w:type="dxa" w:w="5040"/>
            <w:tcMar>
              <w:top w:w="70" w:type="dxa"/>
              <w:start w:w="70" w:type="dxa"/>
              <w:bottom w:w="70" w:type="dxa"/>
              <w:end w:w="70" w:type="dxa"/>
            </w:tcMar>
            <w:vAlign w:val="center"/>
          </w:tcPr>
          <w:p>
            <w:r>
              <w:t>Incorrect. The statute rejects an automatic-report rule based solely on pregnancy.</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Pregnancy can never be relevant to a mandated-reporting analysis.</w:t>
            </w:r>
          </w:p>
        </w:tc>
        <w:tc>
          <w:tcPr>
            <w:tcW w:type="dxa" w:w="5040"/>
            <w:tcMar>
              <w:top w:w="70" w:type="dxa"/>
              <w:start w:w="70" w:type="dxa"/>
              <w:bottom w:w="70" w:type="dxa"/>
              <w:end w:w="70" w:type="dxa"/>
            </w:tcMar>
            <w:vAlign w:val="center"/>
            <w:shd w:fill="E7F5F4"/>
          </w:tcPr>
          <w:p>
            <w:r>
              <w:t>Incorrect. Pregnancy may be relevant when combined with facts such as age differences, coercion, trafficking, or other abuse indicators.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LPCC should contact the alleged partner before deciding whether reasonable suspicion exists.</w:t>
            </w:r>
          </w:p>
        </w:tc>
        <w:tc>
          <w:tcPr>
            <w:tcW w:type="dxa" w:w="5040"/>
            <w:tcMar>
              <w:top w:w="70" w:type="dxa"/>
              <w:start w:w="70" w:type="dxa"/>
              <w:bottom w:w="70" w:type="dxa"/>
              <w:end w:w="70" w:type="dxa"/>
            </w:tcMar>
            <w:vAlign w:val="center"/>
          </w:tcPr>
          <w:p>
            <w:r>
              <w:t>Incorrect. A mandated reporter should not investigate the alleged partner before determining and satisfying the reporting duty.</w:t>
            </w:r>
          </w:p>
        </w:tc>
      </w:tr>
    </w:tbl>
    <w:p>
      <w:pPr>
        <w:pStyle w:val="Heading2"/>
      </w:pPr>
      <w:r>
        <w:t>Why the Key Controls</w:t>
      </w:r>
    </w:p>
    <w:p>
      <w:r>
        <w:t>The exam trap is treating one fact as automatically dispositive. CANRA requires an objectively reasonable suspicion based on the full circumstances.</w:t>
      </w:r>
    </w:p>
    <w:p>
      <w:pPr>
        <w:pStyle w:val="Heading2"/>
      </w:pPr>
      <w:r>
        <w:t>CTA Exam Strategy</w:t>
      </w:r>
    </w:p>
    <w:p>
      <w:r>
        <w:t>When the law names a fact that is insufficient by itself, avoid absolute answers. Assess the total facts and apply the statutory threshold.</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Minor Pregnancy and Reasonable Suspicion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Legal Scenari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CANRA-PREGNANCY-ALONE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Penal Code 11166(a)(1).</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13 - Controlled Rationale</w:t>
      </w:r>
    </w:p>
    <w:p>
      <w:r>
        <w:rPr>
          <w:b/>
        </w:rPr>
        <w:t>Item ID: LPCC-LE-CUM-B-013</w:t>
      </w:r>
      <w:r/>
    </w:p>
    <w:p>
      <w:r>
        <w:rPr>
          <w:b/>
        </w:rPr>
        <w:t>Stem: A client describes a specific, imminent plan to set fire to a neighbor’s unoccupied vehicle. The LPCC has reasonable cause to believe the client is dangerous to another person’s property and that disclosure is necessary to prevent the threatened danger. Which statement is BEST?</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Psychotherapist-patient privilege absolutely bars any disclosure because no person was directly threatened.</w:t>
            </w:r>
          </w:p>
        </w:tc>
        <w:tc>
          <w:tcPr>
            <w:tcW w:type="dxa" w:w="5040"/>
            <w:tcMar>
              <w:top w:w="70" w:type="dxa"/>
              <w:start w:w="70" w:type="dxa"/>
              <w:bottom w:w="70" w:type="dxa"/>
              <w:end w:w="70" w:type="dxa"/>
            </w:tcMar>
            <w:vAlign w:val="center"/>
          </w:tcPr>
          <w:p>
            <w:r>
              <w:t>Incorrect. Evidence Code 1024 is not limited to threats against a person; it also references danger to the property of another when the statutory conditions are met.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California’s dangerous-patient privilege exception can remove privilege when the patient is dangerous to self or to the person or property of another and disclosure is necessary to prevent the threatened danger.</w:t>
            </w:r>
          </w:p>
        </w:tc>
        <w:tc>
          <w:tcPr>
            <w:tcW w:type="dxa" w:w="5040"/>
            <w:tcMar>
              <w:top w:w="70" w:type="dxa"/>
              <w:start w:w="70" w:type="dxa"/>
              <w:bottom w:w="70" w:type="dxa"/>
              <w:end w:w="70" w:type="dxa"/>
            </w:tcMar>
            <w:vAlign w:val="center"/>
          </w:tcPr>
          <w:p>
            <w:r>
              <w:t>Correct. The privilege exception applies when the psychotherapist has reasonable cause to believe the patient is dangerous to self or another’s person or property and disclosure is necessary to prevent the threatened danger.</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The LPCC may disclose the entire psychotherapy record to anyone who asks about the threat.</w:t>
            </w:r>
          </w:p>
        </w:tc>
        <w:tc>
          <w:tcPr>
            <w:tcW w:type="dxa" w:w="5040"/>
            <w:tcMar>
              <w:top w:w="70" w:type="dxa"/>
              <w:start w:w="70" w:type="dxa"/>
              <w:bottom w:w="70" w:type="dxa"/>
              <w:end w:w="70" w:type="dxa"/>
            </w:tcMar>
            <w:vAlign w:val="center"/>
            <w:shd w:fill="E7F5F4"/>
          </w:tcPr>
          <w:p>
            <w:r>
              <w:t>Incorrect. An exception to privilege does not authorize indiscriminate release of the entire clinical record.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LPCC must wait until a crime has actually occurred before considering disclosure.</w:t>
            </w:r>
          </w:p>
        </w:tc>
        <w:tc>
          <w:tcPr>
            <w:tcW w:type="dxa" w:w="5040"/>
            <w:tcMar>
              <w:top w:w="70" w:type="dxa"/>
              <w:start w:w="70" w:type="dxa"/>
              <w:bottom w:w="70" w:type="dxa"/>
              <w:end w:w="70" w:type="dxa"/>
            </w:tcMar>
            <w:vAlign w:val="center"/>
          </w:tcPr>
          <w:p>
            <w:r>
              <w:t>Incorrect. The exception is preventive and does not require waiting for the threatened harm to occur.</w:t>
            </w:r>
          </w:p>
        </w:tc>
      </w:tr>
    </w:tbl>
    <w:p>
      <w:pPr>
        <w:pStyle w:val="Heading2"/>
      </w:pPr>
      <w:r>
        <w:t>Why the Key Controls</w:t>
      </w:r>
    </w:p>
    <w:p>
      <w:r>
        <w:t>Privilege exceptions are narrower and more specific than a general “danger” label. Read the exact statutory condition and keep any disclosure tied to the protective purpose.</w:t>
      </w:r>
    </w:p>
    <w:p>
      <w:pPr>
        <w:pStyle w:val="Heading2"/>
      </w:pPr>
      <w:r>
        <w:t>CTA Exam Strategy</w:t>
      </w:r>
    </w:p>
    <w:p>
      <w:r>
        <w:t>Separate privilege from confidentiality and from the civil duty-to-protect statute. The question is asking whether privilege exists under the dangerous-patient exception.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Dangerous-to-Property Privilege Exception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Privilege Scenari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Authorizations, Releases of Information, and Limits on Disclosure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PRIVILEGE-DANGER-PROPERTY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Evidence Code 1024; other protective-duty law as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14 - Controlled Rationale</w:t>
      </w:r>
    </w:p>
    <w:p>
      <w:r>
        <w:rPr>
          <w:b/>
        </w:rPr>
        <w:t>Item ID: LPCC-LE-CUM-B-014</w:t>
      </w:r>
      <w:r/>
    </w:p>
    <w:p>
      <w:r>
        <w:rPr>
          <w:b/>
        </w:rPr>
        <w:t>Stem: An 82-year-old outpatient client is repeatedly found without food, medications, or safe heat because the client is no longer able to provide basic care for themself. The LPCC reasonably suspects neglect. What is the BEST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Treat the issue only as a treatment-planning problem because neglect must be caused by another person.</w:t>
            </w:r>
          </w:p>
        </w:tc>
        <w:tc>
          <w:tcPr>
            <w:tcW w:type="dxa" w:w="5040"/>
            <w:tcMar>
              <w:top w:w="70" w:type="dxa"/>
              <w:start w:w="70" w:type="dxa"/>
              <w:bottom w:w="70" w:type="dxa"/>
              <w:end w:w="70" w:type="dxa"/>
            </w:tcMar>
            <w:vAlign w:val="center"/>
            <w:shd w:fill="E7F5F4"/>
          </w:tcPr>
          <w:p>
            <w:r>
              <w:t>Incorrect. California elder/dependent-adult law can include failure to provide basic care for oneself within the broader neglect framework.</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Wait for the client to consent to an adult protective services report.</w:t>
            </w:r>
          </w:p>
        </w:tc>
        <w:tc>
          <w:tcPr>
            <w:tcW w:type="dxa" w:w="5040"/>
            <w:tcMar>
              <w:top w:w="70" w:type="dxa"/>
              <w:start w:w="70" w:type="dxa"/>
              <w:bottom w:w="70" w:type="dxa"/>
              <w:end w:w="70" w:type="dxa"/>
            </w:tcMar>
            <w:vAlign w:val="center"/>
          </w:tcPr>
          <w:p>
            <w:r>
              <w:t>Incorrect. A mandated report does not depend on the client voluntarily authorizing it when the statutory duty applies.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Report only if the client is first placed under conservatorship.</w:t>
            </w:r>
          </w:p>
        </w:tc>
        <w:tc>
          <w:tcPr>
            <w:tcW w:type="dxa" w:w="5040"/>
            <w:tcMar>
              <w:top w:w="70" w:type="dxa"/>
              <w:start w:w="70" w:type="dxa"/>
              <w:bottom w:w="70" w:type="dxa"/>
              <w:end w:w="70" w:type="dxa"/>
            </w:tcMar>
            <w:vAlign w:val="center"/>
          </w:tcPr>
          <w:p>
            <w:r>
              <w:t>Incorrect. Conservatorship is not a prerequisite to mandated reporting of suspected elder or dependent-adult neglect.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Follow the elder/dependent-adult mandated-reporting requirements for suspected neglect, including self-neglect when the statutory definition is met.</w:t>
            </w:r>
          </w:p>
        </w:tc>
        <w:tc>
          <w:tcPr>
            <w:tcW w:type="dxa" w:w="5040"/>
            <w:tcMar>
              <w:top w:w="70" w:type="dxa"/>
              <w:start w:w="70" w:type="dxa"/>
              <w:bottom w:w="70" w:type="dxa"/>
              <w:end w:w="70" w:type="dxa"/>
            </w:tcMar>
            <w:vAlign w:val="center"/>
          </w:tcPr>
          <w:p>
            <w:r>
              <w:t>Correct. When facts reasonably indicate reportable neglect, the LPCC follows the applicable mandated-reporting process rather than treating the problem solely as a private clinical issue.</w:t>
            </w:r>
          </w:p>
        </w:tc>
      </w:tr>
    </w:tbl>
    <w:p>
      <w:pPr>
        <w:pStyle w:val="Heading2"/>
      </w:pPr>
      <w:r>
        <w:t>Why the Key Controls</w:t>
      </w:r>
    </w:p>
    <w:p>
      <w:r>
        <w:t>The reporting analysis focuses on whether the client is an elder or dependent adult and whether the facts fit a reportable abuse or neglect category, not only on whether a third-party perpetrator exists.</w:t>
      </w:r>
    </w:p>
    <w:p>
      <w:pPr>
        <w:pStyle w:val="Heading2"/>
      </w:pPr>
      <w:r>
        <w:t>CTA Exam Strategy</w:t>
      </w:r>
    </w:p>
    <w:p>
      <w:r>
        <w:t>Do not assume “abuse reporting” always requires an abuser. California’s elder/dependent-adult framework can include neglect arising from inability to meet basic needs.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Elder Self-Neglect Reporting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ELDER-SELF-NEGLECT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Welfare &amp; Institutions Code 15630 and related definitions of neglect.</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15 - Controlled Rationale</w:t>
      </w:r>
    </w:p>
    <w:p>
      <w:r>
        <w:rPr>
          <w:b/>
        </w:rPr>
        <w:t>Item ID: LPCC-LE-CUM-B-015</w:t>
      </w:r>
      <w:r/>
    </w:p>
    <w:p>
      <w:r>
        <w:rPr>
          <w:b/>
        </w:rPr>
        <w:t>Stem: After developing reasonable suspicion of reportable child abuse, an LPCC worries that the parent has not signed a release of information to child protective services. What should the LPCC conclude?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A signed release is required before any mandated report can be made.</w:t>
            </w:r>
          </w:p>
        </w:tc>
        <w:tc>
          <w:tcPr>
            <w:tcW w:type="dxa" w:w="5040"/>
            <w:tcMar>
              <w:top w:w="70" w:type="dxa"/>
              <w:start w:w="70" w:type="dxa"/>
              <w:bottom w:w="70" w:type="dxa"/>
              <w:end w:w="70" w:type="dxa"/>
            </w:tcMar>
            <w:vAlign w:val="center"/>
            <w:shd w:fill="E7F5F4"/>
          </w:tcPr>
          <w:p>
            <w:r>
              <w:t>Incorrect. Requiring a client release would defeat the mandatory nature of the reporting statute.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LPCC should ask the alleged perpetrator to authorize the report.</w:t>
            </w:r>
          </w:p>
        </w:tc>
        <w:tc>
          <w:tcPr>
            <w:tcW w:type="dxa" w:w="5040"/>
            <w:tcMar>
              <w:top w:w="70" w:type="dxa"/>
              <w:start w:w="70" w:type="dxa"/>
              <w:bottom w:w="70" w:type="dxa"/>
              <w:end w:w="70" w:type="dxa"/>
            </w:tcMar>
            <w:vAlign w:val="center"/>
          </w:tcPr>
          <w:p>
            <w:r>
              <w:t>Incorrect. The suspected perpetrator does not control whether a mandated reporter may satisfy the legal duty.</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mandated-reporting statute supplies the legal basis for the required report; client authorization is not a prerequisite to making the mandated disclosure.</w:t>
            </w:r>
          </w:p>
        </w:tc>
        <w:tc>
          <w:tcPr>
            <w:tcW w:type="dxa" w:w="5040"/>
            <w:tcMar>
              <w:top w:w="70" w:type="dxa"/>
              <w:start w:w="70" w:type="dxa"/>
              <w:bottom w:w="70" w:type="dxa"/>
              <w:end w:w="70" w:type="dxa"/>
            </w:tcMar>
            <w:vAlign w:val="center"/>
          </w:tcPr>
          <w:p>
            <w:r>
              <w:t>Correct. When a mandated-reporting statute requires disclosure, the report is made under that legal authority rather than a client-signed authorization.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LPCC may report only after a judge signs an order.</w:t>
            </w:r>
          </w:p>
        </w:tc>
        <w:tc>
          <w:tcPr>
            <w:tcW w:type="dxa" w:w="5040"/>
            <w:tcMar>
              <w:top w:w="70" w:type="dxa"/>
              <w:start w:w="70" w:type="dxa"/>
              <w:bottom w:w="70" w:type="dxa"/>
              <w:end w:w="70" w:type="dxa"/>
            </w:tcMar>
            <w:vAlign w:val="center"/>
          </w:tcPr>
          <w:p>
            <w:r>
              <w:t>Incorrect. A court order is not required before making a mandated child-abuse report.</w:t>
            </w:r>
          </w:p>
        </w:tc>
      </w:tr>
    </w:tbl>
    <w:p>
      <w:pPr>
        <w:pStyle w:val="Heading2"/>
      </w:pPr>
      <w:r>
        <w:t>Why the Key Controls</w:t>
      </w:r>
    </w:p>
    <w:p>
      <w:r>
        <w:t>A mandated report is a statutory disclosure pathway. It should not be confused with ordinary client-directed releases of information.</w:t>
      </w:r>
    </w:p>
    <w:p>
      <w:pPr>
        <w:pStyle w:val="Heading2"/>
      </w:pPr>
      <w:r>
        <w:t>CTA Exam Strategy</w:t>
      </w:r>
    </w:p>
    <w:p>
      <w:r>
        <w:t>When a stem asks whether an ROI is needed for a mandated disclosure, identify whether the law itself creates the disclosure authority and duty.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Mandated Report Does Not Require Client Authorization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Legal Scenari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Authorizations, Releases of Information, and Limits on Disclosure; WB5-C2 Avoiding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MANDATED-REPORT-NO-ROI</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mandated-reporting statutes and confidentiality exceptions.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16 - Controlled Rationale</w:t>
      </w:r>
    </w:p>
    <w:p>
      <w:r>
        <w:rPr>
          <w:b/>
        </w:rPr>
        <w:t>Item ID: LPCC-LE-CUM-B-016</w:t>
      </w:r>
      <w:r/>
    </w:p>
    <w:p>
      <w:r>
        <w:rPr>
          <w:b/>
        </w:rPr>
        <w:t>Stem: An elder client diagnosed with dementia tells an LPCC that a neighbor stole millions of dollars from a nonexistent account. There is no independent corroborating evidence. After careful clinical assessment, the LPCC reasonably believes the alleged abuse did not occur. Which statement BEST reflects California elder/dependent-adult reporting law?</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Every statement by an elder must be reported regardless of any statutory exception.</w:t>
            </w:r>
          </w:p>
        </w:tc>
        <w:tc>
          <w:tcPr>
            <w:tcW w:type="dxa" w:w="5040"/>
            <w:tcMar>
              <w:top w:w="70" w:type="dxa"/>
              <w:start w:w="70" w:type="dxa"/>
              <w:bottom w:w="70" w:type="dxa"/>
              <w:end w:w="70" w:type="dxa"/>
            </w:tcMar>
            <w:vAlign w:val="center"/>
          </w:tcPr>
          <w:p>
            <w:r>
              <w:t>Incorrect. The statute contains a narrow psychotherapist/physician/nurse exception when every listed condition is present.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 narrow exception may apply to a psychotherapist when all statutory conditions are satisfied, including the diagnosed mental illness or dementia, no independent corroboration, and a clinical judgment that the abuse did not occur.</w:t>
            </w:r>
          </w:p>
        </w:tc>
        <w:tc>
          <w:tcPr>
            <w:tcW w:type="dxa" w:w="5040"/>
            <w:tcMar>
              <w:top w:w="70" w:type="dxa"/>
              <w:start w:w="70" w:type="dxa"/>
              <w:bottom w:w="70" w:type="dxa"/>
              <w:end w:w="70" w:type="dxa"/>
            </w:tcMar>
            <w:vAlign w:val="center"/>
          </w:tcPr>
          <w:p>
            <w:r>
              <w:t>Correct. California law recognizes a limited exception in this specific fact pattern; it does not create a broad discretionary right to ignore suspected abuse.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LPCC must personally investigate the neighbor before deciding whether the exception applies.</w:t>
            </w:r>
          </w:p>
        </w:tc>
        <w:tc>
          <w:tcPr>
            <w:tcW w:type="dxa" w:w="5040"/>
            <w:tcMar>
              <w:top w:w="70" w:type="dxa"/>
              <w:start w:w="70" w:type="dxa"/>
              <w:bottom w:w="70" w:type="dxa"/>
              <w:end w:w="70" w:type="dxa"/>
            </w:tcMar>
            <w:vAlign w:val="center"/>
          </w:tcPr>
          <w:p>
            <w:r>
              <w:t>Incorrect. The statute expressly states that it does not impose a duty to investigate suspected abuse.</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The exception applies whenever an elder asks the counselor not to report.</w:t>
            </w:r>
          </w:p>
        </w:tc>
        <w:tc>
          <w:tcPr>
            <w:tcW w:type="dxa" w:w="5040"/>
            <w:tcMar>
              <w:top w:w="70" w:type="dxa"/>
              <w:start w:w="70" w:type="dxa"/>
              <w:bottom w:w="70" w:type="dxa"/>
              <w:end w:w="70" w:type="dxa"/>
            </w:tcMar>
            <w:vAlign w:val="center"/>
            <w:shd w:fill="E7F5F4"/>
          </w:tcPr>
          <w:p>
            <w:r>
              <w:t>Incorrect. Client preference alone is not one of the statutory elements of the exception.</w:t>
            </w:r>
          </w:p>
        </w:tc>
      </w:tr>
    </w:tbl>
    <w:p>
      <w:pPr>
        <w:pStyle w:val="Heading2"/>
      </w:pPr>
      <w:r>
        <w:t>Why the Key Controls</w:t>
      </w:r>
    </w:p>
    <w:p>
      <w:r>
        <w:t>This is an exception question, so every condition matters. If any required element is missing, the ordinary reporting rule may control.</w:t>
      </w:r>
    </w:p>
    <w:p>
      <w:pPr>
        <w:pStyle w:val="Heading2"/>
      </w:pPr>
      <w:r>
        <w:t>CTA Exam Strategy</w:t>
      </w:r>
    </w:p>
    <w:p>
      <w:r>
        <w:t>For narrow statutory exceptions, test each element one by one. Do not generalize the exception beyond the exact conditions stated in law.</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Narrow Psychotherapist Elder-Abuse Exception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Legal Exception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ELDER-PSYCH-EXCEPTION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Welfare &amp; Institutions Code 15630(b)(3).</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17 - Controlled Rationale</w:t>
      </w:r>
    </w:p>
    <w:p>
      <w:r>
        <w:rPr>
          <w:b/>
        </w:rPr>
        <w:t>Item ID: LPCC-LE-CUM-B-017</w:t>
      </w:r>
      <w:r/>
    </w:p>
    <w:p>
      <w:r>
        <w:rPr>
          <w:b/>
        </w:rPr>
        <w:t>Stem: At the start of psychotherapy, which notice practice is required for an LPCC or APCC under current California law?</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Provide only a verbal statement that the client may complain to the BBS.</w:t>
            </w:r>
          </w:p>
        </w:tc>
        <w:tc>
          <w:tcPr>
            <w:tcW w:type="dxa" w:w="5040"/>
            <w:tcMar>
              <w:top w:w="70" w:type="dxa"/>
              <w:start w:w="70" w:type="dxa"/>
              <w:bottom w:w="70" w:type="dxa"/>
              <w:end w:w="70" w:type="dxa"/>
            </w:tcMar>
            <w:vAlign w:val="center"/>
          </w:tcPr>
          <w:p>
            <w:r>
              <w:t>Incorrect. The statute requires a written notice and specifies content and documentation requirements.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Provide the required written BBS notice in at least 12-point type and include the practitioner’s full name, license or registration number, type, and expiration date, with delivery documented.</w:t>
            </w:r>
          </w:p>
        </w:tc>
        <w:tc>
          <w:tcPr>
            <w:tcW w:type="dxa" w:w="5040"/>
            <w:tcMar>
              <w:top w:w="70" w:type="dxa"/>
              <w:start w:w="70" w:type="dxa"/>
              <w:bottom w:w="70" w:type="dxa"/>
              <w:end w:w="70" w:type="dxa"/>
            </w:tcMar>
            <w:vAlign w:val="center"/>
          </w:tcPr>
          <w:p>
            <w:r>
              <w:t>Correct. Current law requires the BBS complaint notice and, for services initiated on or after the operative date, the practitioner-identifying information and expiration date, with delivery documented.</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Provide the BBS notice only if the client asks how to file a complaint.</w:t>
            </w:r>
          </w:p>
        </w:tc>
        <w:tc>
          <w:tcPr>
            <w:tcW w:type="dxa" w:w="5040"/>
            <w:tcMar>
              <w:top w:w="70" w:type="dxa"/>
              <w:start w:w="70" w:type="dxa"/>
              <w:bottom w:w="70" w:type="dxa"/>
              <w:end w:w="70" w:type="dxa"/>
            </w:tcMar>
            <w:vAlign w:val="center"/>
            <w:shd w:fill="E7F5F4"/>
          </w:tcPr>
          <w:p>
            <w:r>
              <w:t>Incorrect. The notice is not contingent on a client request.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Provide the notice only to clients seen in person, not telehealth clients.</w:t>
            </w:r>
          </w:p>
        </w:tc>
        <w:tc>
          <w:tcPr>
            <w:tcW w:type="dxa" w:w="5040"/>
            <w:tcMar>
              <w:top w:w="70" w:type="dxa"/>
              <w:start w:w="70" w:type="dxa"/>
              <w:bottom w:w="70" w:type="dxa"/>
              <w:end w:w="70" w:type="dxa"/>
            </w:tcMar>
            <w:vAlign w:val="center"/>
          </w:tcPr>
          <w:p>
            <w:r>
              <w:t>Incorrect. The requirement is tied to initiating psychotherapy services, not limited to in-person delivery.</w:t>
            </w:r>
          </w:p>
        </w:tc>
      </w:tr>
    </w:tbl>
    <w:p>
      <w:pPr>
        <w:pStyle w:val="Heading2"/>
      </w:pPr>
      <w:r>
        <w:t>Why the Key Controls</w:t>
      </w:r>
    </w:p>
    <w:p>
      <w:r>
        <w:t>This is a consumer-protection disclosure requirement. The exam may test both what must be included and whether delivery must be documented.</w:t>
      </w:r>
    </w:p>
    <w:p>
      <w:pPr>
        <w:pStyle w:val="Heading2"/>
      </w:pPr>
      <w:r>
        <w:t>CTA Exam Strategy</w:t>
      </w:r>
    </w:p>
    <w:p>
      <w:r>
        <w:t>For board-required notices, watch for operative-date additions. Choose the option that includes the complete current notice rather than an older abbreviated version.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Required BBS Notice to Clients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4; WB1-C4 Required Disclosures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BBS-CLIENT-NOTICE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4999.71 (including July 1, 2025 notice additions).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18 - Controlled Rationale</w:t>
      </w:r>
    </w:p>
    <w:p>
      <w:r>
        <w:rPr>
          <w:b/>
        </w:rPr>
        <w:t>Item ID: LPCC-LE-CUM-B-018</w:t>
      </w:r>
      <w:r/>
    </w:p>
    <w:p>
      <w:r>
        <w:rPr>
          <w:b/>
        </w:rPr>
        <w:t>Stem: A private group practice offers a registered APCC a 1099 independent-contractor position to provide psychotherapy while receiving weekly supervision. Which statement is MOST accurate?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arrangement is permitted if the supervisor signs a supervision agreement.</w:t>
            </w:r>
          </w:p>
        </w:tc>
        <w:tc>
          <w:tcPr>
            <w:tcW w:type="dxa" w:w="5040"/>
            <w:tcMar>
              <w:top w:w="70" w:type="dxa"/>
              <w:start w:w="70" w:type="dxa"/>
              <w:bottom w:w="70" w:type="dxa"/>
              <w:end w:w="70" w:type="dxa"/>
            </w:tcMar>
            <w:vAlign w:val="center"/>
          </w:tcPr>
          <w:p>
            <w:r>
              <w:t>Incorrect. A supervision agreement does not cure a prohibited employment classification.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arrangement is permitted if the APCC carries malpractice insurance.</w:t>
            </w:r>
          </w:p>
        </w:tc>
        <w:tc>
          <w:tcPr>
            <w:tcW w:type="dxa" w:w="5040"/>
            <w:tcMar>
              <w:top w:w="70" w:type="dxa"/>
              <w:start w:w="70" w:type="dxa"/>
              <w:bottom w:w="70" w:type="dxa"/>
              <w:end w:w="70" w:type="dxa"/>
            </w:tcMar>
            <w:vAlign w:val="center"/>
          </w:tcPr>
          <w:p>
            <w:r>
              <w:t>Incorrect. Malpractice insurance does not change the statutory employee-or-volunteer requirement.</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The arrangement is permitted if no more than half of the APCC’s hours are paid on a 1099.</w:t>
            </w:r>
          </w:p>
        </w:tc>
        <w:tc>
          <w:tcPr>
            <w:tcW w:type="dxa" w:w="5040"/>
            <w:tcMar>
              <w:top w:w="70" w:type="dxa"/>
              <w:start w:w="70" w:type="dxa"/>
              <w:bottom w:w="70" w:type="dxa"/>
              <w:end w:w="70" w:type="dxa"/>
            </w:tcMar>
            <w:vAlign w:val="center"/>
            <w:shd w:fill="E7F5F4"/>
          </w:tcPr>
          <w:p>
            <w:r>
              <w:t>Incorrect. The law does not create a percentage exception allowing some independent-contractor hours.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arrangement is not permitted for qualifying supervised experience because an APCC may perform covered services only as an employee or volunteer, not as an independent contractor.</w:t>
            </w:r>
          </w:p>
        </w:tc>
        <w:tc>
          <w:tcPr>
            <w:tcW w:type="dxa" w:w="5040"/>
            <w:tcMar>
              <w:top w:w="70" w:type="dxa"/>
              <w:start w:w="70" w:type="dxa"/>
              <w:bottom w:w="70" w:type="dxa"/>
              <w:end w:w="70" w:type="dxa"/>
            </w:tcMar>
            <w:vAlign w:val="center"/>
          </w:tcPr>
          <w:p>
            <w:r>
              <w:t>Correct. California law expressly prohibits associates from performing services or gaining qualifying experience as independent contractors.</w:t>
            </w:r>
          </w:p>
        </w:tc>
      </w:tr>
    </w:tbl>
    <w:p>
      <w:pPr>
        <w:pStyle w:val="Heading2"/>
      </w:pPr>
      <w:r>
        <w:t>Why the Key Controls</w:t>
      </w:r>
    </w:p>
    <w:p>
      <w:r>
        <w:t>Employment status is itself a licensure-compliance condition. Supervision quality cannot validate hours gained through a prohibited work arrangement.</w:t>
      </w:r>
    </w:p>
    <w:p>
      <w:pPr>
        <w:pStyle w:val="Heading2"/>
      </w:pPr>
      <w:r>
        <w:t>CTA Exam Strategy</w:t>
      </w:r>
    </w:p>
    <w:p>
      <w:r>
        <w:t>When a stem gives excellent supervision but an invalid work status, the work-status rule still controls.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APCC Independent-Contractor Prohibition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Legal Scenari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5; WB3-C5 Clinical Supervision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APCC-INDEPENDENT-CONTRACTOR</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4999.46.3.</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19 - Controlled Rationale</w:t>
      </w:r>
    </w:p>
    <w:p>
      <w:r>
        <w:rPr>
          <w:b/>
        </w:rPr>
        <w:t>Item ID: LPCC-LE-CUM-B-019</w:t>
      </w:r>
      <w:r/>
    </w:p>
    <w:p>
      <w:r>
        <w:rPr>
          <w:b/>
        </w:rPr>
        <w:t>Stem: An LPCC provides in-person psychotherapy at the counselor’s primary office. What does California law require regarding the professional license?</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license must be carried in the counselor’s wallet during each session.</w:t>
            </w:r>
          </w:p>
        </w:tc>
        <w:tc>
          <w:tcPr>
            <w:tcW w:type="dxa" w:w="5040"/>
            <w:tcMar>
              <w:top w:w="70" w:type="dxa"/>
              <w:start w:w="70" w:type="dxa"/>
              <w:bottom w:w="70" w:type="dxa"/>
              <w:end w:w="70" w:type="dxa"/>
            </w:tcMar>
            <w:vAlign w:val="center"/>
          </w:tcPr>
          <w:p>
            <w:r>
              <w:t>Incorrect. The statute describes display at the primary place of practice, not wallet possession.</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The license must be displayed in a conspicuous place in the primary place of practice when rendering professional clinical services in person.</w:t>
            </w:r>
          </w:p>
        </w:tc>
        <w:tc>
          <w:tcPr>
            <w:tcW w:type="dxa" w:w="5040"/>
            <w:tcMar>
              <w:top w:w="70" w:type="dxa"/>
              <w:start w:w="70" w:type="dxa"/>
              <w:bottom w:w="70" w:type="dxa"/>
              <w:end w:w="70" w:type="dxa"/>
            </w:tcMar>
            <w:vAlign w:val="center"/>
            <w:shd w:fill="E7F5F4"/>
          </w:tcPr>
          <w:p>
            <w:r>
              <w:t>Correct. California law requires conspicuous display at the primary place of practice when the licensee is rendering in-person professional clinical services.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license must be posted only on the counselor’s website.</w:t>
            </w:r>
          </w:p>
        </w:tc>
        <w:tc>
          <w:tcPr>
            <w:tcW w:type="dxa" w:w="5040"/>
            <w:tcMar>
              <w:top w:w="70" w:type="dxa"/>
              <w:start w:w="70" w:type="dxa"/>
              <w:bottom w:w="70" w:type="dxa"/>
              <w:end w:w="70" w:type="dxa"/>
            </w:tcMar>
            <w:vAlign w:val="center"/>
          </w:tcPr>
          <w:p>
            <w:r>
              <w:t>Incorrect. Website information does not replace the statutory in-office display requirement.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No display is required if clients can verify the license online.</w:t>
            </w:r>
          </w:p>
        </w:tc>
        <w:tc>
          <w:tcPr>
            <w:tcW w:type="dxa" w:w="5040"/>
            <w:tcMar>
              <w:top w:w="70" w:type="dxa"/>
              <w:start w:w="70" w:type="dxa"/>
              <w:bottom w:w="70" w:type="dxa"/>
              <w:end w:w="70" w:type="dxa"/>
            </w:tcMar>
            <w:vAlign w:val="center"/>
          </w:tcPr>
          <w:p>
            <w:r>
              <w:t>Incorrect. Online verification is useful but does not eliminate the display requirement.</w:t>
            </w:r>
          </w:p>
        </w:tc>
      </w:tr>
    </w:tbl>
    <w:p>
      <w:pPr>
        <w:pStyle w:val="Heading2"/>
      </w:pPr>
      <w:r>
        <w:t>Why the Key Controls</w:t>
      </w:r>
    </w:p>
    <w:p>
      <w:r>
        <w:t>Consumer-protection questions often test simple practice requirements that are separate from clinical ethics.</w:t>
      </w:r>
    </w:p>
    <w:p>
      <w:pPr>
        <w:pStyle w:val="Heading2"/>
      </w:pPr>
      <w:r>
        <w:t>CTA Exam Strategy</w:t>
      </w:r>
    </w:p>
    <w:p>
      <w:r>
        <w:t>Do not overthink a direct statute question. If the stem names the primary in-person practice location, recall the specific display requirement.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Display of LPCC License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Legal Scenari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4</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DISPLAY-LICENSE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20 - Controlled Rationale</w:t>
      </w:r>
    </w:p>
    <w:p>
      <w:r>
        <w:rPr>
          <w:b/>
        </w:rPr>
        <w:t>Item ID: LPCC-LE-CUM-B-020</w:t>
      </w:r>
      <w:r/>
    </w:p>
    <w:p>
      <w:r>
        <w:rPr>
          <w:b/>
        </w:rPr>
        <w:t>Stem: An LPCC opens a solo practice under the fictitious business name “Clear Horizons Counseling.” What additional California requirement applies before treatment begins?</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The LPCC must obtain a separate mental-health license for the fictitious business name.</w:t>
            </w:r>
          </w:p>
        </w:tc>
        <w:tc>
          <w:tcPr>
            <w:tcW w:type="dxa" w:w="5040"/>
            <w:tcMar>
              <w:top w:w="70" w:type="dxa"/>
              <w:start w:w="70" w:type="dxa"/>
              <w:bottom w:w="70" w:type="dxa"/>
              <w:end w:w="70" w:type="dxa"/>
            </w:tcMar>
            <w:vAlign w:val="center"/>
            <w:shd w:fill="E7F5F4"/>
          </w:tcPr>
          <w:p>
            <w:r>
              <w:t>Incorrect. The question concerns disclosure and truthful naming, not a separate professional license for the business name.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LPCC must use only the LPCC’s personal legal name and may never use a fictitious name.</w:t>
            </w:r>
          </w:p>
        </w:tc>
        <w:tc>
          <w:tcPr>
            <w:tcW w:type="dxa" w:w="5040"/>
            <w:tcMar>
              <w:top w:w="70" w:type="dxa"/>
              <w:start w:w="70" w:type="dxa"/>
              <w:bottom w:w="70" w:type="dxa"/>
              <w:end w:w="70" w:type="dxa"/>
            </w:tcMar>
            <w:vAlign w:val="center"/>
          </w:tcPr>
          <w:p>
            <w:r>
              <w:t>Incorrect. California permits an LPCC to use a fictitious business name subject to statutory conditions.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LPCC must disclose the names of every future contractor who might work for the business.</w:t>
            </w:r>
          </w:p>
        </w:tc>
        <w:tc>
          <w:tcPr>
            <w:tcW w:type="dxa" w:w="5040"/>
            <w:tcMar>
              <w:top w:w="70" w:type="dxa"/>
              <w:start w:w="70" w:type="dxa"/>
              <w:bottom w:w="70" w:type="dxa"/>
              <w:end w:w="70" w:type="dxa"/>
            </w:tcMar>
            <w:vAlign w:val="center"/>
          </w:tcPr>
          <w:p>
            <w:r>
              <w:t>Incorrect. The cited rule focuses on the owner or owners and truthful business identity, not hypothetical future personnel.</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business name must not be false, misleading, or deceptive, and the patient must be informed of the owner’s name and license designation before treatment begins.</w:t>
            </w:r>
          </w:p>
        </w:tc>
        <w:tc>
          <w:tcPr>
            <w:tcW w:type="dxa" w:w="5040"/>
            <w:tcMar>
              <w:top w:w="70" w:type="dxa"/>
              <w:start w:w="70" w:type="dxa"/>
              <w:bottom w:w="70" w:type="dxa"/>
              <w:end w:w="70" w:type="dxa"/>
            </w:tcMar>
            <w:vAlign w:val="center"/>
          </w:tcPr>
          <w:p>
            <w:r>
              <w:t>Correct. The statute requires a nonmisleading name and pre-treatment disclosure of the owner’s name and license designation.</w:t>
            </w:r>
          </w:p>
        </w:tc>
      </w:tr>
    </w:tbl>
    <w:p>
      <w:pPr>
        <w:pStyle w:val="Heading2"/>
      </w:pPr>
      <w:r>
        <w:t>Why the Key Controls</w:t>
      </w:r>
    </w:p>
    <w:p>
      <w:r>
        <w:t>Fictitious-name rules protect clients from confusion about who owns and is professionally responsible for the practice.</w:t>
      </w:r>
    </w:p>
    <w:p>
      <w:pPr>
        <w:pStyle w:val="Heading2"/>
      </w:pPr>
      <w:r>
        <w:t>CTA Exam Strategy</w:t>
      </w:r>
    </w:p>
    <w:p>
      <w:r>
        <w:t>When a business-name question appears, look for truthfulness plus owner/license disclosure rather than assuming fictitious names are prohibited.</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Fictitious Business Name Disclosure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4; WB3-C6 Professional Roles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FICTITIOUS-NAME-DISCLOSURE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4999.72.</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21 - Controlled Rationale</w:t>
      </w:r>
    </w:p>
    <w:p>
      <w:r>
        <w:rPr>
          <w:b/>
        </w:rPr>
        <w:t>Item ID: LPCC-LE-CUM-B-021</w:t>
      </w:r>
      <w:r/>
    </w:p>
    <w:p>
      <w:r>
        <w:rPr>
          <w:b/>
        </w:rPr>
        <w:t>Stem: A California LPCC is asked to administer an individually administered intelligence test as part of a comprehensive neuropsychological battery. Which response is MOST accurate?</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LPCC may do so whenever the test publisher sells the instrument to counselors.</w:t>
            </w:r>
          </w:p>
        </w:tc>
        <w:tc>
          <w:tcPr>
            <w:tcW w:type="dxa" w:w="5040"/>
            <w:tcMar>
              <w:top w:w="70" w:type="dxa"/>
              <w:start w:w="70" w:type="dxa"/>
              <w:bottom w:w="70" w:type="dxa"/>
              <w:end w:w="70" w:type="dxa"/>
            </w:tcMar>
            <w:vAlign w:val="center"/>
          </w:tcPr>
          <w:p>
            <w:r>
              <w:t>Incorrect. Publisher access does not determine California statutory scope of practice.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LPCC assessment definition does not include individually administered intelligence tests, projective personality techniques, or neuropsychological testing; the LPCC should stay within lawful scope and refer as needed.</w:t>
            </w:r>
          </w:p>
        </w:tc>
        <w:tc>
          <w:tcPr>
            <w:tcW w:type="dxa" w:w="5040"/>
            <w:tcMar>
              <w:top w:w="70" w:type="dxa"/>
              <w:start w:w="70" w:type="dxa"/>
              <w:bottom w:w="70" w:type="dxa"/>
              <w:end w:w="70" w:type="dxa"/>
            </w:tcMar>
            <w:vAlign w:val="center"/>
          </w:tcPr>
          <w:p>
            <w:r>
              <w:t>Correct. California’s LPCC scope expressly excludes these assessment activities from the statutory assessment definition.</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The LPCC may do so if a client signs a scope-of-practice waiver.</w:t>
            </w:r>
          </w:p>
        </w:tc>
        <w:tc>
          <w:tcPr>
            <w:tcW w:type="dxa" w:w="5040"/>
            <w:tcMar>
              <w:top w:w="70" w:type="dxa"/>
              <w:start w:w="70" w:type="dxa"/>
              <w:bottom w:w="70" w:type="dxa"/>
              <w:end w:w="70" w:type="dxa"/>
            </w:tcMar>
            <w:vAlign w:val="center"/>
            <w:shd w:fill="E7F5F4"/>
          </w:tcPr>
          <w:p>
            <w:r>
              <w:t>Incorrect. Client consent cannot expand a professional license’s legal scope.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LPCC may perform any psychological test after one continuing-education course.</w:t>
            </w:r>
          </w:p>
        </w:tc>
        <w:tc>
          <w:tcPr>
            <w:tcW w:type="dxa" w:w="5040"/>
            <w:tcMar>
              <w:top w:w="70" w:type="dxa"/>
              <w:start w:w="70" w:type="dxa"/>
              <w:bottom w:w="70" w:type="dxa"/>
              <w:end w:w="70" w:type="dxa"/>
            </w:tcMar>
            <w:vAlign w:val="center"/>
          </w:tcPr>
          <w:p>
            <w:r>
              <w:t>Incorrect. Training can improve competence, but it cannot authorize an activity the statute excludes from the profession’s scope.</w:t>
            </w:r>
          </w:p>
        </w:tc>
      </w:tr>
    </w:tbl>
    <w:p>
      <w:pPr>
        <w:pStyle w:val="Heading2"/>
      </w:pPr>
      <w:r>
        <w:t>Why the Key Controls</w:t>
      </w:r>
    </w:p>
    <w:p>
      <w:r>
        <w:t>Scope and competence are separate gates. Training matters only after the activity is legally within scope.</w:t>
      </w:r>
    </w:p>
    <w:p>
      <w:pPr>
        <w:pStyle w:val="Heading2"/>
      </w:pPr>
      <w:r>
        <w:t>CTA Exam Strategy</w:t>
      </w:r>
    </w:p>
    <w:p>
      <w:r>
        <w:t>In scope questions, ask first “Is the activity legally included?” before asking whether the clinician is trained enough to perform it.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LPCC Assessment Exclusions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Scope Scenari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3; WB3-C2 Scope of Practice vs. Scope of Competence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LPCC-ASSESSMENT-EXCLUSIONS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4999.20(c).</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22 - Controlled Rationale</w:t>
      </w:r>
    </w:p>
    <w:p>
      <w:r>
        <w:rPr>
          <w:b/>
        </w:rPr>
        <w:t>Item ID: LPCC-LE-CUM-B-022</w:t>
      </w:r>
      <w:r/>
    </w:p>
    <w:p>
      <w:r>
        <w:rPr>
          <w:b/>
        </w:rPr>
        <w:t>Stem: An LPCC terminates therapy with a client when the client is 14 years old. Assuming no other law requires longer retention, through what minimum point must the LPCC retain the health-service record under BPC 4999.75?</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Until the client reaches age 25.</w:t>
            </w:r>
          </w:p>
        </w:tc>
        <w:tc>
          <w:tcPr>
            <w:tcW w:type="dxa" w:w="5040"/>
            <w:tcMar>
              <w:top w:w="70" w:type="dxa"/>
              <w:start w:w="70" w:type="dxa"/>
              <w:bottom w:w="70" w:type="dxa"/>
              <w:end w:w="70" w:type="dxa"/>
            </w:tcMar>
            <w:vAlign w:val="center"/>
            <w:shd w:fill="E7F5F4"/>
          </w:tcPr>
          <w:p>
            <w:r>
              <w:t>Correct. For a minor, the LPCC must retain the record for at least seven years from the date the client reaches age 18, which in this scenario means through age 25.</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Seven years from the termination date, regardless of the client’s age.</w:t>
            </w:r>
          </w:p>
        </w:tc>
        <w:tc>
          <w:tcPr>
            <w:tcW w:type="dxa" w:w="5040"/>
            <w:tcMar>
              <w:top w:w="70" w:type="dxa"/>
              <w:start w:w="70" w:type="dxa"/>
              <w:bottom w:w="70" w:type="dxa"/>
              <w:end w:w="70" w:type="dxa"/>
            </w:tcMar>
            <w:vAlign w:val="center"/>
          </w:tcPr>
          <w:p>
            <w:r>
              <w:t>Incorrect. The minor-specific rule runs from the date the client reaches 18, not simply from the termination date.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Until the client reaches age 21.</w:t>
            </w:r>
          </w:p>
        </w:tc>
        <w:tc>
          <w:tcPr>
            <w:tcW w:type="dxa" w:w="5040"/>
            <w:tcMar>
              <w:top w:w="70" w:type="dxa"/>
              <w:start w:w="70" w:type="dxa"/>
              <w:bottom w:w="70" w:type="dxa"/>
              <w:end w:w="70" w:type="dxa"/>
            </w:tcMar>
            <w:vAlign w:val="center"/>
          </w:tcPr>
          <w:p>
            <w:r>
              <w:t>Incorrect. Age 21 is shorter than the seven-years-after-18 statutory minimum.</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Only until the client reaches age 18.</w:t>
            </w:r>
          </w:p>
        </w:tc>
        <w:tc>
          <w:tcPr>
            <w:tcW w:type="dxa" w:w="5040"/>
            <w:tcMar>
              <w:top w:w="70" w:type="dxa"/>
              <w:start w:w="70" w:type="dxa"/>
              <w:bottom w:w="70" w:type="dxa"/>
              <w:end w:w="70" w:type="dxa"/>
            </w:tcMar>
            <w:vAlign w:val="center"/>
          </w:tcPr>
          <w:p>
            <w:r>
              <w:t>Incorrect. Reaching majority starts the seven-year retention period; it does not end it.</w:t>
            </w:r>
          </w:p>
        </w:tc>
      </w:tr>
    </w:tbl>
    <w:p>
      <w:pPr>
        <w:pStyle w:val="Heading2"/>
      </w:pPr>
      <w:r>
        <w:t>Why the Key Controls</w:t>
      </w:r>
    </w:p>
    <w:p>
      <w:r>
        <w:t>The adult and minor retention rules use different anchors. For minors, calculate from the eighteenth birthday.</w:t>
      </w:r>
    </w:p>
    <w:p>
      <w:pPr>
        <w:pStyle w:val="Heading2"/>
      </w:pPr>
      <w:r>
        <w:t>CTA Exam Strategy</w:t>
      </w:r>
    </w:p>
    <w:p>
      <w:r>
        <w:t>When an exam question gives the minor’s age, translate the rule into an endpoint: 18 + 7 years = age 25.</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Minor Record-Retention Endpoint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Records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WB9-C3 Record Retention Requirements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MINOR-RETENTION-ENDPOINT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4999.75.</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23 - Controlled Rationale</w:t>
      </w:r>
    </w:p>
    <w:p>
      <w:r>
        <w:rPr>
          <w:b/>
        </w:rPr>
        <w:t>Item ID: LPCC-LE-CUM-B-023</w:t>
      </w:r>
      <w:r/>
    </w:p>
    <w:p>
      <w:r>
        <w:rPr>
          <w:b/>
        </w:rPr>
        <w:t>Stem: An LPCC experienced in adult anxiety wants to begin treating eating disorders but has no specialized education, supervised experience, or consultation in that area. What is the BEST ethical next step?</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Begin immediately because all psychotherapy falls within the same competence area.</w:t>
            </w:r>
          </w:p>
        </w:tc>
        <w:tc>
          <w:tcPr>
            <w:tcW w:type="dxa" w:w="5040"/>
            <w:tcMar>
              <w:top w:w="70" w:type="dxa"/>
              <w:start w:w="70" w:type="dxa"/>
              <w:bottom w:w="70" w:type="dxa"/>
              <w:end w:w="70" w:type="dxa"/>
            </w:tcMar>
            <w:vAlign w:val="center"/>
          </w:tcPr>
          <w:p>
            <w:r>
              <w:t>Incorrect. A broad counseling license does not mean the counselor is competent in every specialty population or treatment area.</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Accept only the least severe eating-disorder cases without telling clients about the learning curve.</w:t>
            </w:r>
          </w:p>
        </w:tc>
        <w:tc>
          <w:tcPr>
            <w:tcW w:type="dxa" w:w="5040"/>
            <w:tcMar>
              <w:top w:w="70" w:type="dxa"/>
              <w:start w:w="70" w:type="dxa"/>
              <w:bottom w:w="70" w:type="dxa"/>
              <w:end w:w="70" w:type="dxa"/>
            </w:tcMar>
            <w:vAlign w:val="center"/>
          </w:tcPr>
          <w:p>
            <w:r>
              <w:t>Incorrect. Lower apparent severity does not remove the obligation to practice within competence and be transparent about limitations.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Obtain appropriate education, training, and supervised experience or consultation before practicing independently in the new specialty, while protecting clients from harm.</w:t>
            </w:r>
          </w:p>
        </w:tc>
        <w:tc>
          <w:tcPr>
            <w:tcW w:type="dxa" w:w="5040"/>
            <w:tcMar>
              <w:top w:w="70" w:type="dxa"/>
              <w:start w:w="70" w:type="dxa"/>
              <w:bottom w:w="70" w:type="dxa"/>
              <w:end w:w="70" w:type="dxa"/>
            </w:tcMar>
            <w:vAlign w:val="center"/>
          </w:tcPr>
          <w:p>
            <w:r>
              <w:t>Correct. ACA ethics requires appropriate preparation before practicing in a specialty area new to the counselor and reasonable steps to protect clients while skills are developing.</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Rely on treatment manuals alone because written protocols substitute for specialty competence.</w:t>
            </w:r>
          </w:p>
        </w:tc>
        <w:tc>
          <w:tcPr>
            <w:tcW w:type="dxa" w:w="5040"/>
            <w:tcMar>
              <w:top w:w="70" w:type="dxa"/>
              <w:start w:w="70" w:type="dxa"/>
              <w:bottom w:w="70" w:type="dxa"/>
              <w:end w:w="70" w:type="dxa"/>
            </w:tcMar>
            <w:vAlign w:val="center"/>
            <w:shd w:fill="E7F5F4"/>
          </w:tcPr>
          <w:p>
            <w:r>
              <w:t>Incorrect. Manuals can support training but do not substitute for appropriate education, training, and supervised experience.</w:t>
            </w:r>
          </w:p>
        </w:tc>
      </w:tr>
    </w:tbl>
    <w:p>
      <w:pPr>
        <w:pStyle w:val="Heading2"/>
      </w:pPr>
      <w:r>
        <w:t>Why the Key Controls</w:t>
      </w:r>
    </w:p>
    <w:p>
      <w:r>
        <w:t>Competence grows through deliberate preparation, not trial-and-error on clients. New specialty practice requires a staged development process.</w:t>
      </w:r>
    </w:p>
    <w:p>
      <w:pPr>
        <w:pStyle w:val="Heading2"/>
      </w:pPr>
      <w:r>
        <w:t>CTA Exam Strategy</w:t>
      </w:r>
    </w:p>
    <w:p>
      <w:r>
        <w:t>When the counselor lacks a competency foundation, choose training/supervision before independent practice—not “start carefully and learn as you go.”</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Entering a New Specialty Area</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Ethics Scenar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WB3-C3 Maintaining Professional Competence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NEW-SPECIALTY-COMPETENCE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C.2.a-C.2.b.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24 - Controlled Rationale</w:t>
      </w:r>
    </w:p>
    <w:p>
      <w:r>
        <w:rPr>
          <w:b/>
        </w:rPr>
        <w:t>Item ID: LPCC-LE-CUM-B-024</w:t>
      </w:r>
      <w:r/>
    </w:p>
    <w:p>
      <w:r>
        <w:rPr>
          <w:b/>
        </w:rPr>
        <w:t>Stem: An LPCC notices that several clients with similar concerns have stopped improving despite faithful use of the counselor’s usual approach. What is the MOST ethical response?</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Review effectiveness, seek peer consultation or supervision, and adjust practice when indicated.</w:t>
            </w:r>
          </w:p>
        </w:tc>
        <w:tc>
          <w:tcPr>
            <w:tcW w:type="dxa" w:w="5040"/>
            <w:tcMar>
              <w:top w:w="70" w:type="dxa"/>
              <w:start w:w="70" w:type="dxa"/>
              <w:bottom w:w="70" w:type="dxa"/>
              <w:end w:w="70" w:type="dxa"/>
            </w:tcMar>
            <w:vAlign w:val="center"/>
          </w:tcPr>
          <w:p>
            <w:r>
              <w:t>Correct. Counselors continually monitor professional effectiveness and take steps to improve, including peer supervision or consultation when useful.</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Continue unchanged because using the same method consistently proves professional integrity.</w:t>
            </w:r>
          </w:p>
        </w:tc>
        <w:tc>
          <w:tcPr>
            <w:tcW w:type="dxa" w:w="5040"/>
            <w:tcMar>
              <w:top w:w="70" w:type="dxa"/>
              <w:start w:w="70" w:type="dxa"/>
              <w:bottom w:w="70" w:type="dxa"/>
              <w:end w:w="70" w:type="dxa"/>
            </w:tcMar>
            <w:vAlign w:val="center"/>
          </w:tcPr>
          <w:p>
            <w:r>
              <w:t>Incorrect. Consistency is not a substitute for evaluating whether treatment is working.</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Assume the clients are resistant and document that treatment failure is their responsibility.</w:t>
            </w:r>
          </w:p>
        </w:tc>
        <w:tc>
          <w:tcPr>
            <w:tcW w:type="dxa" w:w="5040"/>
            <w:tcMar>
              <w:top w:w="70" w:type="dxa"/>
              <w:start w:w="70" w:type="dxa"/>
              <w:bottom w:w="70" w:type="dxa"/>
              <w:end w:w="70" w:type="dxa"/>
            </w:tcMar>
            <w:vAlign w:val="center"/>
          </w:tcPr>
          <w:p>
            <w:r>
              <w:t>Incorrect. Automatically attributing poor outcomes to clients bypasses clinical responsibility and outcome monitoring.</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Avoid discussing outcomes with colleagues because consultation signals incompetence.</w:t>
            </w:r>
          </w:p>
        </w:tc>
        <w:tc>
          <w:tcPr>
            <w:tcW w:type="dxa" w:w="5040"/>
            <w:tcMar>
              <w:top w:w="70" w:type="dxa"/>
              <w:start w:w="70" w:type="dxa"/>
              <w:bottom w:w="70" w:type="dxa"/>
              <w:end w:w="70" w:type="dxa"/>
            </w:tcMar>
            <w:vAlign w:val="center"/>
            <w:shd w:fill="E7F5F4"/>
          </w:tcPr>
          <w:p>
            <w:r>
              <w:t>Incorrect. Ethical practice encourages appropriate consultation; it is not evidence of incompetence.</w:t>
            </w:r>
          </w:p>
        </w:tc>
      </w:tr>
    </w:tbl>
    <w:p>
      <w:pPr>
        <w:pStyle w:val="Heading2"/>
      </w:pPr>
      <w:r>
        <w:t>Why the Key Controls</w:t>
      </w:r>
    </w:p>
    <w:p>
      <w:r>
        <w:t>Competence includes monitoring outcomes and changing course when the evidence from practice indicates the current approach is not effective.</w:t>
      </w:r>
    </w:p>
    <w:p>
      <w:pPr>
        <w:pStyle w:val="Heading2"/>
      </w:pPr>
      <w:r>
        <w:t>CTA Exam Strategy</w:t>
      </w:r>
    </w:p>
    <w:p>
      <w:r>
        <w:t>When a stem shows repeated lack of progress, favor evaluation and consultation over defensiveness or rigid adherence to the same method.</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Monitoring Professional Effectiveness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Ethics Appl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WB3-C3 Maintaining Professional Competence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MONITOR-EFFECTIVENESS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C.2.d.</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25 - Controlled Rationale</w:t>
      </w:r>
    </w:p>
    <w:p>
      <w:r>
        <w:rPr>
          <w:b/>
        </w:rPr>
        <w:t>Item ID: LPCC-LE-CUM-B-025</w:t>
      </w:r>
      <w:r/>
    </w:p>
    <w:p>
      <w:r>
        <w:rPr>
          <w:b/>
        </w:rPr>
        <w:t>Stem: An LPCC begins a prescribed medication that causes significant sedation and slowed judgment. During two sessions the counselor loses track of important clinical details. No client has complained. What should the LPCC do FIRST?</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Continue the full caseload until a client formally reports harm.</w:t>
            </w:r>
          </w:p>
        </w:tc>
        <w:tc>
          <w:tcPr>
            <w:tcW w:type="dxa" w:w="5040"/>
            <w:tcMar>
              <w:top w:w="70" w:type="dxa"/>
              <w:start w:w="70" w:type="dxa"/>
              <w:bottom w:w="70" w:type="dxa"/>
              <w:end w:w="70" w:type="dxa"/>
            </w:tcMar>
            <w:vAlign w:val="center"/>
          </w:tcPr>
          <w:p>
            <w:r>
              <w:t>Incorrect. The counselor’s duty to monitor impairment does not depend on receiving a client complaint.</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Ask clients to decide whether the counselor seems impaired enough to stop working.</w:t>
            </w:r>
          </w:p>
        </w:tc>
        <w:tc>
          <w:tcPr>
            <w:tcW w:type="dxa" w:w="5040"/>
            <w:tcMar>
              <w:top w:w="70" w:type="dxa"/>
              <w:start w:w="70" w:type="dxa"/>
              <w:bottom w:w="70" w:type="dxa"/>
              <w:end w:w="70" w:type="dxa"/>
            </w:tcMar>
            <w:vAlign w:val="center"/>
            <w:shd w:fill="E7F5F4"/>
          </w:tcPr>
          <w:p>
            <w:r>
              <w:t>Incorrect. Clients should not be placed in the role of determining the counselor’s fitness to practice.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Recognize the functional impairment, seek appropriate assistance, and limit or suspend professional duties until the counselor can practice safely.</w:t>
            </w:r>
          </w:p>
        </w:tc>
        <w:tc>
          <w:tcPr>
            <w:tcW w:type="dxa" w:w="5040"/>
            <w:tcMar>
              <w:top w:w="70" w:type="dxa"/>
              <w:start w:w="70" w:type="dxa"/>
              <w:bottom w:w="70" w:type="dxa"/>
              <w:end w:w="70" w:type="dxa"/>
            </w:tcMar>
            <w:vAlign w:val="center"/>
          </w:tcPr>
          <w:p>
            <w:r>
              <w:t>Correct. Ethical self-monitoring requires action when physical, mental, or emotional problems impair safe professional functioning, including limiting or suspending duties when necessary.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Keep working but add a disclaimer to the informed-consent form about medication side effects.</w:t>
            </w:r>
          </w:p>
        </w:tc>
        <w:tc>
          <w:tcPr>
            <w:tcW w:type="dxa" w:w="5040"/>
            <w:tcMar>
              <w:top w:w="70" w:type="dxa"/>
              <w:start w:w="70" w:type="dxa"/>
              <w:bottom w:w="70" w:type="dxa"/>
              <w:end w:w="70" w:type="dxa"/>
            </w:tcMar>
            <w:vAlign w:val="center"/>
          </w:tcPr>
          <w:p>
            <w:r>
              <w:t>Incorrect. Disclosure does not make impaired practice safe or ethically acceptable.</w:t>
            </w:r>
          </w:p>
        </w:tc>
      </w:tr>
    </w:tbl>
    <w:p>
      <w:pPr>
        <w:pStyle w:val="Heading2"/>
      </w:pPr>
      <w:r>
        <w:t>Why the Key Controls</w:t>
      </w:r>
    </w:p>
    <w:p>
      <w:r>
        <w:t>Impairment is defined functionally. The question is not whether the medication is legitimate; it is whether the counselor can perform professional duties safely and competently.</w:t>
      </w:r>
    </w:p>
    <w:p>
      <w:pPr>
        <w:pStyle w:val="Heading2"/>
      </w:pPr>
      <w:r>
        <w:t>CTA Exam Strategy</w:t>
      </w:r>
    </w:p>
    <w:p>
      <w:r>
        <w:t>Focus on function, not diagnosis or cause. If judgment is impaired, reduce risk first, then address recovery and safe return to practice.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Medication-Related Professional Impairment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Impairment Scenari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WB4-C4 Physical Conditions, Fatigue, and Professional Functioning; WB4-C5 Responding Ethically to Professional Impairment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IMPAIRMENT-MEDICATION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C.2.g.</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26 - Controlled Rationale</w:t>
      </w:r>
    </w:p>
    <w:p>
      <w:r>
        <w:rPr>
          <w:b/>
        </w:rPr>
        <w:t>Item ID: LPCC-LE-CUM-B-026</w:t>
      </w:r>
      <w:r/>
    </w:p>
    <w:p>
      <w:r>
        <w:rPr>
          <w:b/>
        </w:rPr>
        <w:t>Stem: An LPCC wants to use a standardized symptom measure with a client whose primary language is not English. The LPCC cannot locate a validated version and considers translating the items independently during the session and interpreting the score using English norms. What is the BEST response?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Translate the measure spontaneously because any translation is better than no assessment.</w:t>
            </w:r>
          </w:p>
        </w:tc>
        <w:tc>
          <w:tcPr>
            <w:tcW w:type="dxa" w:w="5040"/>
            <w:tcMar>
              <w:top w:w="70" w:type="dxa"/>
              <w:start w:w="70" w:type="dxa"/>
              <w:bottom w:w="70" w:type="dxa"/>
              <w:end w:w="70" w:type="dxa"/>
            </w:tcMar>
            <w:vAlign w:val="center"/>
          </w:tcPr>
          <w:p>
            <w:r>
              <w:t>Incorrect. An improvised translation can change item meaning and undermine the validity of a standardized score.</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Use the English norms but lower the cutoff score to account for language differences.</w:t>
            </w:r>
          </w:p>
        </w:tc>
        <w:tc>
          <w:tcPr>
            <w:tcW w:type="dxa" w:w="5040"/>
            <w:tcMar>
              <w:top w:w="70" w:type="dxa"/>
              <w:start w:w="70" w:type="dxa"/>
              <w:bottom w:w="70" w:type="dxa"/>
              <w:end w:w="70" w:type="dxa"/>
            </w:tcMar>
            <w:vAlign w:val="center"/>
            <w:shd w:fill="E7F5F4"/>
          </w:tcPr>
          <w:p>
            <w:r>
              <w:t>Incorrect. Arbitrarily changing cutoffs does not repair invalid administration or inappropriate norms.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Select an assessment approach that is linguistically and culturally appropriate and within competence, using validated tools or qualified resources when available rather than presenting an ad hoc translation as standardized.</w:t>
            </w:r>
          </w:p>
        </w:tc>
        <w:tc>
          <w:tcPr>
            <w:tcW w:type="dxa" w:w="5040"/>
            <w:tcMar>
              <w:top w:w="70" w:type="dxa"/>
              <w:start w:w="70" w:type="dxa"/>
              <w:bottom w:w="70" w:type="dxa"/>
              <w:end w:w="70" w:type="dxa"/>
            </w:tcMar>
            <w:vAlign w:val="center"/>
          </w:tcPr>
          <w:p>
            <w:r>
              <w:t>Correct. Ethical assessment requires appropriate instruments, competence in their use, and attention to language and cultural factors that affect interpretation.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Avoid all assessment with clients who do not speak English.</w:t>
            </w:r>
          </w:p>
        </w:tc>
        <w:tc>
          <w:tcPr>
            <w:tcW w:type="dxa" w:w="5040"/>
            <w:tcMar>
              <w:top w:w="70" w:type="dxa"/>
              <w:start w:w="70" w:type="dxa"/>
              <w:bottom w:w="70" w:type="dxa"/>
              <w:end w:w="70" w:type="dxa"/>
            </w:tcMar>
            <w:vAlign w:val="center"/>
          </w:tcPr>
          <w:p>
            <w:r>
              <w:t>Incorrect. Language difference calls for an appropriate assessment strategy, not abandonment of assessment altogether.</w:t>
            </w:r>
          </w:p>
        </w:tc>
      </w:tr>
    </w:tbl>
    <w:p>
      <w:pPr>
        <w:pStyle w:val="Heading2"/>
      </w:pPr>
      <w:r>
        <w:t>Why the Key Controls</w:t>
      </w:r>
    </w:p>
    <w:p>
      <w:r>
        <w:t>Assessment competence includes understanding what makes a score interpretable. A translated instrument cannot be treated as standardized merely because the words were converted into another language.</w:t>
      </w:r>
    </w:p>
    <w:p>
      <w:pPr>
        <w:pStyle w:val="Heading2"/>
      </w:pPr>
      <w:r>
        <w:t>CTA Exam Strategy</w:t>
      </w:r>
    </w:p>
    <w:p>
      <w:r>
        <w:t>When the stem threatens test validity, choose the option that protects measurement integrity and cultural/linguistic appropriateness.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Using a Translated Assessment Instrument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Assessment Sc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WB3-C2 Scope of Practice vs. Scope of Competence; WB7-C3 Working With Diverse Populations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ASSESSMENT-TRANSLATION-VALIDITY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Section E; professional assessment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27 - Controlled Rationale</w:t>
      </w:r>
    </w:p>
    <w:p>
      <w:r>
        <w:rPr>
          <w:b/>
        </w:rPr>
        <w:t>Item ID: LPCC-LE-CUM-B-027</w:t>
      </w:r>
      <w:r/>
    </w:p>
    <w:p>
      <w:r>
        <w:rPr>
          <w:b/>
        </w:rPr>
        <w:t>Stem: A client describes a spiritual practice unfamiliar to the LPCC. The counselor initially wonders whether the experience is pathological but recognizes limited cultural knowledge. What is the BEST next step?</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Immediately diagnose a psychotic-spectrum disorder because unusual beliefs are inherently pathological.</w:t>
            </w:r>
          </w:p>
        </w:tc>
        <w:tc>
          <w:tcPr>
            <w:tcW w:type="dxa" w:w="5040"/>
            <w:tcMar>
              <w:top w:w="70" w:type="dxa"/>
              <w:start w:w="70" w:type="dxa"/>
              <w:bottom w:w="70" w:type="dxa"/>
              <w:end w:w="70" w:type="dxa"/>
            </w:tcMar>
            <w:vAlign w:val="center"/>
          </w:tcPr>
          <w:p>
            <w:r>
              <w:t>Incorrect. Unfamiliarity does not establish psychopathology and can reflect counselor bias rather than client disorder.</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Explore the client’s meaning and cultural context, examine the counselor’s assumptions, and seek culturally informed consultation or training before drawing conclusions.</w:t>
            </w:r>
          </w:p>
        </w:tc>
        <w:tc>
          <w:tcPr>
            <w:tcW w:type="dxa" w:w="5040"/>
            <w:tcMar>
              <w:top w:w="70" w:type="dxa"/>
              <w:start w:w="70" w:type="dxa"/>
              <w:bottom w:w="70" w:type="dxa"/>
              <w:end w:w="70" w:type="dxa"/>
            </w:tcMar>
            <w:vAlign w:val="center"/>
          </w:tcPr>
          <w:p>
            <w:r>
              <w:t>Correct. Cultural humility requires curiosity, self-awareness, and appropriate consultation before interpreting culturally situated experiences.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Avoid discussing the practice so cultural issues cannot influence treatment.</w:t>
            </w:r>
          </w:p>
        </w:tc>
        <w:tc>
          <w:tcPr>
            <w:tcW w:type="dxa" w:w="5040"/>
            <w:tcMar>
              <w:top w:w="70" w:type="dxa"/>
              <w:start w:w="70" w:type="dxa"/>
              <w:bottom w:w="70" w:type="dxa"/>
              <w:end w:w="70" w:type="dxa"/>
            </w:tcMar>
            <w:vAlign w:val="center"/>
          </w:tcPr>
          <w:p>
            <w:r>
              <w:t>Incorrect. Avoidance does not produce culturally responsive assessment and can leave clinically important meaning unexplored.</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Ask the client to stop the practice until the counselor decides whether it is normal.</w:t>
            </w:r>
          </w:p>
        </w:tc>
        <w:tc>
          <w:tcPr>
            <w:tcW w:type="dxa" w:w="5040"/>
            <w:tcMar>
              <w:top w:w="70" w:type="dxa"/>
              <w:start w:w="70" w:type="dxa"/>
              <w:bottom w:w="70" w:type="dxa"/>
              <w:end w:w="70" w:type="dxa"/>
            </w:tcMar>
            <w:vAlign w:val="center"/>
            <w:shd w:fill="E7F5F4"/>
          </w:tcPr>
          <w:p>
            <w:r>
              <w:t>Incorrect. Directing the client to stop a culturally meaningful practice without adequate assessment risks value imposition and harm.</w:t>
            </w:r>
          </w:p>
        </w:tc>
      </w:tr>
    </w:tbl>
    <w:p>
      <w:pPr>
        <w:pStyle w:val="Heading2"/>
      </w:pPr>
      <w:r>
        <w:t>Why the Key Controls</w:t>
      </w:r>
    </w:p>
    <w:p>
      <w:r>
        <w:t>The counselor should slow down diagnostic certainty when cultural knowledge is limited. Exploration and consultation improve both accuracy and respect.</w:t>
      </w:r>
    </w:p>
    <w:p>
      <w:pPr>
        <w:pStyle w:val="Heading2"/>
      </w:pPr>
      <w:r>
        <w:t>CTA Exam Strategy</w:t>
      </w:r>
    </w:p>
    <w:p>
      <w:r>
        <w:t>When culture could change the meaning of a behavior, choose inquiry and self-examination before diagnosis or intervention.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Cultural Humility Before Pathologizing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Cultural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WB7-C1 Cultural Humility and Culturally Responsive Practice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CULTURAL-HUMILITY-MEANING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multicultural competence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28 - Controlled Rationale</w:t>
      </w:r>
    </w:p>
    <w:p>
      <w:r>
        <w:rPr>
          <w:b/>
        </w:rPr>
        <w:t>Item ID: LPCC-LE-CUM-B-028</w:t>
      </w:r>
      <w:r/>
    </w:p>
    <w:p>
      <w:r>
        <w:rPr>
          <w:b/>
        </w:rPr>
        <w:t>Stem: An LPCC learns credible information that another counselor has been intentionally falsifying clinical records in a way that has substantially harmed multiple clients. Informal discussion would not be appropriate or sufficient. What is the BEST ethical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Ignore the conduct because counselors should never become involved in a colleague’s ethics.</w:t>
            </w:r>
          </w:p>
        </w:tc>
        <w:tc>
          <w:tcPr>
            <w:tcW w:type="dxa" w:w="5040"/>
            <w:tcMar>
              <w:top w:w="70" w:type="dxa"/>
              <w:start w:w="70" w:type="dxa"/>
              <w:bottom w:w="70" w:type="dxa"/>
              <w:end w:w="70" w:type="dxa"/>
            </w:tcMar>
            <w:vAlign w:val="center"/>
            <w:shd w:fill="E7F5F4"/>
          </w:tcPr>
          <w:p>
            <w:r>
              <w:t>Incorrect. Serious ethical misconduct that substantially harms clients can require action beyond private concern.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Discuss the allegations casually with other clinicians so the community can decide what to do.</w:t>
            </w:r>
          </w:p>
        </w:tc>
        <w:tc>
          <w:tcPr>
            <w:tcW w:type="dxa" w:w="5040"/>
            <w:tcMar>
              <w:top w:w="70" w:type="dxa"/>
              <w:start w:w="70" w:type="dxa"/>
              <w:bottom w:w="70" w:type="dxa"/>
              <w:end w:w="70" w:type="dxa"/>
            </w:tcMar>
            <w:vAlign w:val="center"/>
          </w:tcPr>
          <w:p>
            <w:r>
              <w:t>Incorrect. Informal gossip risks confidentiality and due-process problems and is not an ethical reporting pathway.</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Confront the counselor privately and promise not to take any further action regardless of the response.</w:t>
            </w:r>
          </w:p>
        </w:tc>
        <w:tc>
          <w:tcPr>
            <w:tcW w:type="dxa" w:w="5040"/>
            <w:tcMar>
              <w:top w:w="70" w:type="dxa"/>
              <w:start w:w="70" w:type="dxa"/>
              <w:bottom w:w="70" w:type="dxa"/>
              <w:end w:w="70" w:type="dxa"/>
            </w:tcMar>
            <w:vAlign w:val="center"/>
          </w:tcPr>
          <w:p>
            <w:r>
              <w:t>Incorrect. The ACA framework distinguishes minor issues suitable for informal resolution from substantial harm that may warrant further action.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Take appropriate further action through applicable institutional, licensing, certification, or ethics channels while protecting client confidentiality.</w:t>
            </w:r>
          </w:p>
        </w:tc>
        <w:tc>
          <w:tcPr>
            <w:tcW w:type="dxa" w:w="5040"/>
            <w:tcMar>
              <w:top w:w="70" w:type="dxa"/>
              <w:start w:w="70" w:type="dxa"/>
              <w:bottom w:w="70" w:type="dxa"/>
              <w:end w:w="70" w:type="dxa"/>
            </w:tcMar>
            <w:vAlign w:val="center"/>
          </w:tcPr>
          <w:p>
            <w:r>
              <w:t>Correct. When substantial harm has occurred or is likely and informal resolution is inappropriate or unsuccessful, counselors take further action through appropriate channels while considering confidentiality rights.</w:t>
            </w:r>
          </w:p>
        </w:tc>
      </w:tr>
    </w:tbl>
    <w:p>
      <w:pPr>
        <w:pStyle w:val="Heading2"/>
      </w:pPr>
      <w:r>
        <w:t>Why the Key Controls</w:t>
      </w:r>
    </w:p>
    <w:p>
      <w:r>
        <w:t>Ethical accountability is proportional to risk and harm. The more substantial the harm, the less appropriate it is to rely exclusively on informal resolution.</w:t>
      </w:r>
    </w:p>
    <w:p>
      <w:pPr>
        <w:pStyle w:val="Heading2"/>
      </w:pPr>
      <w:r>
        <w:t>CTA Exam Strategy</w:t>
      </w:r>
    </w:p>
    <w:p>
      <w:r>
        <w:t>First decide whether the issue is minor and informally resolvable or substantially harmful. That classification changes the expected 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Reporting a Harmful Ethical Violation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Ethics Scenar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WB5-C4 Professional Responsibility and Accountability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ETHICS-VIOLATION-SUBSTANTIAL-HARM</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I.2.a-I.2.b.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29 - Controlled Rationale</w:t>
      </w:r>
    </w:p>
    <w:p>
      <w:r>
        <w:rPr>
          <w:b/>
        </w:rPr>
        <w:t>Item ID: LPCC-LE-CUM-B-029</w:t>
      </w:r>
      <w:r/>
    </w:p>
    <w:p>
      <w:r>
        <w:rPr>
          <w:b/>
        </w:rPr>
        <w:t>Stem: An LPCC has a master’s degree in counseling and a doctorate in an unrelated field. In a counseling advertisement, the LPCC wants to use “Dr.” without clarifying the doctorate’s field. What is the MOST ethical approach?</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Use “Dr.” because any earned doctorate automatically represents doctoral-level counseling competence.</w:t>
            </w:r>
          </w:p>
        </w:tc>
        <w:tc>
          <w:tcPr>
            <w:tcW w:type="dxa" w:w="5040"/>
            <w:tcMar>
              <w:top w:w="70" w:type="dxa"/>
              <w:start w:w="70" w:type="dxa"/>
              <w:bottom w:w="70" w:type="dxa"/>
              <w:end w:w="70" w:type="dxa"/>
            </w:tcMar>
            <w:vAlign w:val="center"/>
          </w:tcPr>
          <w:p>
            <w:r>
              <w:t>Incorrect. An unrelated doctorate does not establish doctoral-level competence in counseling.</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Avoid implying doctoral-level counseling competence and clearly represent the counselor’s actual degrees and credentials.</w:t>
            </w:r>
          </w:p>
        </w:tc>
        <w:tc>
          <w:tcPr>
            <w:tcW w:type="dxa" w:w="5040"/>
            <w:tcMar>
              <w:top w:w="70" w:type="dxa"/>
              <w:start w:w="70" w:type="dxa"/>
              <w:bottom w:w="70" w:type="dxa"/>
              <w:end w:w="70" w:type="dxa"/>
            </w:tcMar>
            <w:vAlign w:val="center"/>
            <w:shd w:fill="E7F5F4"/>
          </w:tcPr>
          <w:p>
            <w:r>
              <w:t>Correct. Counselors accurately represent qualifications and avoid titles that misleadingly imply counseling competence they do not possess.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Use “Dr.” only on social media because advertising ethics do not apply there.</w:t>
            </w:r>
          </w:p>
        </w:tc>
        <w:tc>
          <w:tcPr>
            <w:tcW w:type="dxa" w:w="5040"/>
            <w:tcMar>
              <w:top w:w="70" w:type="dxa"/>
              <w:start w:w="70" w:type="dxa"/>
              <w:bottom w:w="70" w:type="dxa"/>
              <w:end w:w="70" w:type="dxa"/>
            </w:tcMar>
            <w:vAlign w:val="center"/>
          </w:tcPr>
          <w:p>
            <w:r>
              <w:t>Incorrect. Ethical accuracy applies to public professional representations, including online advertising.</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List “ABD” after the counseling degree to suggest advanced counseling training.</w:t>
            </w:r>
          </w:p>
        </w:tc>
        <w:tc>
          <w:tcPr>
            <w:tcW w:type="dxa" w:w="5040"/>
            <w:tcMar>
              <w:top w:w="70" w:type="dxa"/>
              <w:start w:w="70" w:type="dxa"/>
              <w:bottom w:w="70" w:type="dxa"/>
              <w:end w:w="70" w:type="dxa"/>
            </w:tcMar>
            <w:vAlign w:val="center"/>
          </w:tcPr>
          <w:p>
            <w:r>
              <w:t>Incorrect. The ACA Code specifically cautions against “ABD” or similar terms used to imply competence.</w:t>
            </w:r>
          </w:p>
        </w:tc>
      </w:tr>
    </w:tbl>
    <w:p>
      <w:pPr>
        <w:pStyle w:val="Heading2"/>
      </w:pPr>
      <w:r>
        <w:t>Why the Key Controls</w:t>
      </w:r>
    </w:p>
    <w:p>
      <w:r>
        <w:t>Professional integrity includes accurate representation of what a degree actually qualifies the counselor to do.</w:t>
      </w:r>
    </w:p>
    <w:p>
      <w:pPr>
        <w:pStyle w:val="Heading2"/>
      </w:pPr>
      <w:r>
        <w:t>CTA Exam Strategy</w:t>
      </w:r>
    </w:p>
    <w:p>
      <w:r>
        <w:t>Credential questions often test whether a technically true fact is presented in a misleading way. Choose clarity over status signaling.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Avoiding Misleading Doctoral Title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Ethics Appl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and Role Clarification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CREDENTIAL-DOCTORAL-TITLE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C.4.c-C.4.d.</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30 - Controlled Rationale</w:t>
      </w:r>
    </w:p>
    <w:p>
      <w:r>
        <w:rPr>
          <w:b/>
        </w:rPr>
        <w:t>Item ID: LPCC-LE-CUM-B-030</w:t>
      </w:r>
      <w:r/>
    </w:p>
    <w:p>
      <w:r>
        <w:rPr>
          <w:b/>
        </w:rPr>
        <w:t>Stem: An LPCC faces an unusual dilemma for which agency policy, client wishes, and professional ethics point in different directions. No immediate emergency exists. What should the LPCC do FIRST?</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Use a credible ethical decision-making process, identify applicable law and ethical standards, consult as needed, consider risks and benefits, and document the reasoning.</w:t>
            </w:r>
          </w:p>
        </w:tc>
        <w:tc>
          <w:tcPr>
            <w:tcW w:type="dxa" w:w="5040"/>
            <w:tcMar>
              <w:top w:w="70" w:type="dxa"/>
              <w:start w:w="70" w:type="dxa"/>
              <w:bottom w:w="70" w:type="dxa"/>
              <w:end w:w="70" w:type="dxa"/>
            </w:tcMar>
            <w:vAlign w:val="center"/>
            <w:shd w:fill="E7F5F4"/>
          </w:tcPr>
          <w:p>
            <w:r>
              <w:t>Correct. Ethical dilemmas call for a deliberate, supportable process that integrates law, standards, consultation, alternatives, and client welfare.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Follow the agency policy automatically because employer rules always control ethics.</w:t>
            </w:r>
          </w:p>
        </w:tc>
        <w:tc>
          <w:tcPr>
            <w:tcW w:type="dxa" w:w="5040"/>
            <w:tcMar>
              <w:top w:w="70" w:type="dxa"/>
              <w:start w:w="70" w:type="dxa"/>
              <w:bottom w:w="70" w:type="dxa"/>
              <w:end w:w="70" w:type="dxa"/>
            </w:tcMar>
            <w:vAlign w:val="center"/>
          </w:tcPr>
          <w:p>
            <w:r>
              <w:t>Incorrect. Organizational policy can matter but does not automatically override law or professional ethics.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Choose the option that creates the least paperwork.</w:t>
            </w:r>
          </w:p>
        </w:tc>
        <w:tc>
          <w:tcPr>
            <w:tcW w:type="dxa" w:w="5040"/>
            <w:tcMar>
              <w:top w:w="70" w:type="dxa"/>
              <w:start w:w="70" w:type="dxa"/>
              <w:bottom w:w="70" w:type="dxa"/>
              <w:end w:w="70" w:type="dxa"/>
            </w:tcMar>
            <w:vAlign w:val="center"/>
          </w:tcPr>
          <w:p>
            <w:r>
              <w:t>Incorrect. Administrative convenience is not an ethical decision-making criterion.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Ask the client to decide which professional rule the LPCC should follow.</w:t>
            </w:r>
          </w:p>
        </w:tc>
        <w:tc>
          <w:tcPr>
            <w:tcW w:type="dxa" w:w="5040"/>
            <w:tcMar>
              <w:top w:w="70" w:type="dxa"/>
              <w:start w:w="70" w:type="dxa"/>
              <w:bottom w:w="70" w:type="dxa"/>
              <w:end w:w="70" w:type="dxa"/>
            </w:tcMar>
            <w:vAlign w:val="center"/>
          </w:tcPr>
          <w:p>
            <w:r>
              <w:t>Incorrect. Client preferences are important but the counselor retains responsibility for lawful and ethical professional judgment.</w:t>
            </w:r>
          </w:p>
        </w:tc>
      </w:tr>
    </w:tbl>
    <w:p>
      <w:pPr>
        <w:pStyle w:val="Heading2"/>
      </w:pPr>
      <w:r>
        <w:t>Why the Key Controls</w:t>
      </w:r>
    </w:p>
    <w:p>
      <w:r>
        <w:t>A defensible decision is built through process. Documentation should show how the counselor identified authorities, weighed options, and centered client welfare.</w:t>
      </w:r>
    </w:p>
    <w:p>
      <w:pPr>
        <w:pStyle w:val="Heading2"/>
      </w:pPr>
      <w:r>
        <w:t>CTA Exam Strategy</w:t>
      </w:r>
    </w:p>
    <w:p>
      <w:r>
        <w:t>When several authorities conflict, do not jump to the loudest one. Use a structured hierarchy and document the reasoning.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Documented Ethical Decision-Making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Ethics Scenar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WB5-C5 Professional Judgment and Ethical Decision-Making</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ETHICAL-DECISION-PROCESS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I.1.b; C.2.e.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31 - Controlled Rationale</w:t>
      </w:r>
    </w:p>
    <w:p>
      <w:r>
        <w:rPr>
          <w:b/>
        </w:rPr>
        <w:t>Item ID: LPCC-LE-CUM-B-031</w:t>
      </w:r>
      <w:r/>
    </w:p>
    <w:p>
      <w:r>
        <w:rPr>
          <w:b/>
        </w:rPr>
        <w:t>Stem: A client asks for help thinking through a reproductive-health decision that conflicts with the LPCC’s personal beliefs. The LPCC is clinically competent to work with the concern. What is the BEST ethical response?</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Support the client’s informed decision-making without imposing the counselor’s values, and seek consultation or training if personal reactions threaten objectivity.</w:t>
            </w:r>
          </w:p>
        </w:tc>
        <w:tc>
          <w:tcPr>
            <w:tcW w:type="dxa" w:w="5040"/>
            <w:tcMar>
              <w:top w:w="70" w:type="dxa"/>
              <w:start w:w="70" w:type="dxa"/>
              <w:bottom w:w="70" w:type="dxa"/>
              <w:end w:w="70" w:type="dxa"/>
            </w:tcMar>
            <w:vAlign w:val="center"/>
          </w:tcPr>
          <w:p>
            <w:r>
              <w:t>Correct. Counselors avoid imposing personal values and work to support client autonomy and welfare while managing their own reactions responsibly.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Explain the counselor’s moral position until the client adopts a safer value system.</w:t>
            </w:r>
          </w:p>
        </w:tc>
        <w:tc>
          <w:tcPr>
            <w:tcW w:type="dxa" w:w="5040"/>
            <w:tcMar>
              <w:top w:w="70" w:type="dxa"/>
              <w:start w:w="70" w:type="dxa"/>
              <w:bottom w:w="70" w:type="dxa"/>
              <w:end w:w="70" w:type="dxa"/>
            </w:tcMar>
            <w:vAlign w:val="center"/>
          </w:tcPr>
          <w:p>
            <w:r>
              <w:t>Incorrect. Persuading the client to adopt the counselor’s moral position is value imposition.</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Terminate immediately because any values difference makes counseling impossible.</w:t>
            </w:r>
          </w:p>
        </w:tc>
        <w:tc>
          <w:tcPr>
            <w:tcW w:type="dxa" w:w="5040"/>
            <w:tcMar>
              <w:top w:w="70" w:type="dxa"/>
              <w:start w:w="70" w:type="dxa"/>
              <w:bottom w:w="70" w:type="dxa"/>
              <w:end w:w="70" w:type="dxa"/>
            </w:tcMar>
            <w:vAlign w:val="center"/>
            <w:shd w:fill="E7F5F4"/>
          </w:tcPr>
          <w:p>
            <w:r>
              <w:t>Incorrect. A values difference does not automatically require termination when the counselor can practice competently and ethically.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Refer the client solely because the counselor disagrees with the client’s possible choice.</w:t>
            </w:r>
          </w:p>
        </w:tc>
        <w:tc>
          <w:tcPr>
            <w:tcW w:type="dxa" w:w="5040"/>
            <w:tcMar>
              <w:top w:w="70" w:type="dxa"/>
              <w:start w:w="70" w:type="dxa"/>
              <w:bottom w:w="70" w:type="dxa"/>
              <w:end w:w="70" w:type="dxa"/>
            </w:tcMar>
            <w:vAlign w:val="center"/>
          </w:tcPr>
          <w:p>
            <w:r>
              <w:t>Incorrect. ACA ethics cautions against referral based solely on the counselor’s personally held values.</w:t>
            </w:r>
          </w:p>
        </w:tc>
      </w:tr>
    </w:tbl>
    <w:p>
      <w:pPr>
        <w:pStyle w:val="Heading2"/>
      </w:pPr>
      <w:r>
        <w:t>Why the Key Controls</w:t>
      </w:r>
    </w:p>
    <w:p>
      <w:r>
        <w:t>The counselor’s task is to help the client think, not to make the client think like the counselor.</w:t>
      </w:r>
    </w:p>
    <w:p>
      <w:pPr>
        <w:pStyle w:val="Heading2"/>
      </w:pPr>
      <w:r>
        <w:t>CTA Exam Strategy</w:t>
      </w:r>
    </w:p>
    <w:p>
      <w:r>
        <w:t>When the conflict belongs to the counselor rather than the client, manage the counselor’s reaction rather than transferring the cost to the client.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Avoiding Value Imposition in Client Decisions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Ethics Scenar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WB7-C2 Bias, Assumptions, and Ethical Decision-Making; WB5-C3 Beneficence and Promoting Client Welfare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VALUES-CLIENT-DECISION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A.4.b.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32 - Controlled Rationale</w:t>
      </w:r>
    </w:p>
    <w:p>
      <w:r>
        <w:rPr>
          <w:b/>
        </w:rPr>
        <w:t>Item ID: LPCC-LE-CUM-B-032</w:t>
      </w:r>
      <w:r/>
    </w:p>
    <w:p>
      <w:r>
        <w:rPr>
          <w:b/>
        </w:rPr>
        <w:t>Stem: A client in a rural community asks to exchange farm produce for part of the counseling fee, a practice commonly accepted by local professionals. Which response BEST reflects ACA ethics?</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Bartering is always unethical in counseling.</w:t>
            </w:r>
          </w:p>
        </w:tc>
        <w:tc>
          <w:tcPr>
            <w:tcW w:type="dxa" w:w="5040"/>
            <w:tcMar>
              <w:top w:w="70" w:type="dxa"/>
              <w:start w:w="70" w:type="dxa"/>
              <w:bottom w:w="70" w:type="dxa"/>
              <w:end w:w="70" w:type="dxa"/>
            </w:tcMar>
            <w:vAlign w:val="center"/>
          </w:tcPr>
          <w:p>
            <w:r>
              <w:t>Incorrect. ACA ethics does not impose an absolute ban on bartering.</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Bartering may be considered if the client requests it, it is culturally and locally appropriate, and the arrangement does not create exploitation or harm.</w:t>
            </w:r>
          </w:p>
        </w:tc>
        <w:tc>
          <w:tcPr>
            <w:tcW w:type="dxa" w:w="5040"/>
            <w:tcMar>
              <w:top w:w="70" w:type="dxa"/>
              <w:start w:w="70" w:type="dxa"/>
              <w:bottom w:w="70" w:type="dxa"/>
              <w:end w:w="70" w:type="dxa"/>
            </w:tcMar>
            <w:vAlign w:val="center"/>
          </w:tcPr>
          <w:p>
            <w:r>
              <w:t>Correct. The Code permits bartering under limited conditions that include client request, community acceptance, and protection from exploitation or harm, with attention to cultural implications.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Bartering is ethical whenever the goods have a clear market value, regardless of power dynamics.</w:t>
            </w:r>
          </w:p>
        </w:tc>
        <w:tc>
          <w:tcPr>
            <w:tcW w:type="dxa" w:w="5040"/>
            <w:tcMar>
              <w:top w:w="70" w:type="dxa"/>
              <w:start w:w="70" w:type="dxa"/>
              <w:bottom w:w="70" w:type="dxa"/>
              <w:end w:w="70" w:type="dxa"/>
            </w:tcMar>
            <w:vAlign w:val="center"/>
          </w:tcPr>
          <w:p>
            <w:r>
              <w:t>Incorrect. Market value alone does not address exploitation, power, or therapeutic impact.</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Bartering is permitted only after treatment has ended.</w:t>
            </w:r>
          </w:p>
        </w:tc>
        <w:tc>
          <w:tcPr>
            <w:tcW w:type="dxa" w:w="5040"/>
            <w:tcMar>
              <w:top w:w="70" w:type="dxa"/>
              <w:start w:w="70" w:type="dxa"/>
              <w:bottom w:w="70" w:type="dxa"/>
              <w:end w:w="70" w:type="dxa"/>
            </w:tcMar>
            <w:vAlign w:val="center"/>
            <w:shd w:fill="E7F5F4"/>
          </w:tcPr>
          <w:p>
            <w:r>
              <w:t>Incorrect. The standard addresses bartering during counseling and does not require waiting until termination.</w:t>
            </w:r>
          </w:p>
        </w:tc>
      </w:tr>
    </w:tbl>
    <w:p>
      <w:pPr>
        <w:pStyle w:val="Heading2"/>
      </w:pPr>
      <w:r>
        <w:t>Why the Key Controls</w:t>
      </w:r>
    </w:p>
    <w:p>
      <w:r>
        <w:t>Financial arrangements can become boundary issues. The ethical question is whether the arrangement is client-requested, customary, fair, and nonexploitative.</w:t>
      </w:r>
    </w:p>
    <w:p>
      <w:pPr>
        <w:pStyle w:val="Heading2"/>
      </w:pPr>
      <w:r>
        <w:t>CTA Exam Strategy</w:t>
      </w:r>
    </w:p>
    <w:p>
      <w:r>
        <w:t>Avoid absolute rules unless the code actually uses one. For bartering, look for safeguards rather than a categorical prohibition.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Ethical Bartering Conditions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Ethics Appl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WB6-C4 Gifts, Bartering, and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BARTERING-CONDITIONS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A.10.e.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33 - Controlled Rationale</w:t>
      </w:r>
    </w:p>
    <w:p>
      <w:r>
        <w:rPr>
          <w:b/>
        </w:rPr>
        <w:t>Item ID: LPCC-LE-CUM-B-033</w:t>
      </w:r>
      <w:r/>
    </w:p>
    <w:p>
      <w:r>
        <w:rPr>
          <w:b/>
        </w:rPr>
        <w:t>Stem: An LPCC ended counseling with a former client three years ago. Both are now single, and the former client proposes a romantic relationship. Under the current working ACA Code of Ethics, what is the BEST response?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Begin the relationship because three years is sufficient if both adults consent.</w:t>
            </w:r>
          </w:p>
        </w:tc>
        <w:tc>
          <w:tcPr>
            <w:tcW w:type="dxa" w:w="5040"/>
            <w:tcMar>
              <w:top w:w="70" w:type="dxa"/>
              <w:start w:w="70" w:type="dxa"/>
              <w:bottom w:w="70" w:type="dxa"/>
              <w:end w:w="70" w:type="dxa"/>
            </w:tcMar>
            <w:vAlign w:val="center"/>
            <w:shd w:fill="E7F5F4"/>
          </w:tcPr>
          <w:p>
            <w:r>
              <w:t>Incorrect. The current ACA Code establishes a five-year prohibition, so three years is not sufficient.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Begin the relationship after documenting that the former client initiated contact.</w:t>
            </w:r>
          </w:p>
        </w:tc>
        <w:tc>
          <w:tcPr>
            <w:tcW w:type="dxa" w:w="5040"/>
            <w:tcMar>
              <w:top w:w="70" w:type="dxa"/>
              <w:start w:w="70" w:type="dxa"/>
              <w:bottom w:w="70" w:type="dxa"/>
              <w:end w:w="70" w:type="dxa"/>
            </w:tcMar>
            <w:vAlign w:val="center"/>
          </w:tcPr>
          <w:p>
            <w:r>
              <w:t>Incorrect. Who initiated contact does not shorten the five-year prohibition.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Do not enter the romantic relationship because the ACA Code prohibits sexual or romantic relationships with former clients for five years after the last professional contact.</w:t>
            </w:r>
          </w:p>
        </w:tc>
        <w:tc>
          <w:tcPr>
            <w:tcW w:type="dxa" w:w="5040"/>
            <w:tcMar>
              <w:top w:w="70" w:type="dxa"/>
              <w:start w:w="70" w:type="dxa"/>
              <w:bottom w:w="70" w:type="dxa"/>
              <w:end w:w="70" w:type="dxa"/>
            </w:tcMar>
            <w:vAlign w:val="center"/>
          </w:tcPr>
          <w:p>
            <w:r>
              <w:t>Correct. The current 2014 ACA Code—still the operative code while the 2026 revision is pending—prohibits sexual or romantic relationships with former clients for five years after last professional contact.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Begin the relationship if the LPCC obtains consultation and the former client signs a waiver.</w:t>
            </w:r>
          </w:p>
        </w:tc>
        <w:tc>
          <w:tcPr>
            <w:tcW w:type="dxa" w:w="5040"/>
            <w:tcMar>
              <w:top w:w="70" w:type="dxa"/>
              <w:start w:w="70" w:type="dxa"/>
              <w:bottom w:w="70" w:type="dxa"/>
              <w:end w:w="70" w:type="dxa"/>
            </w:tcMar>
            <w:vAlign w:val="center"/>
          </w:tcPr>
          <w:p>
            <w:r>
              <w:t>Incorrect. Consultation or waiver cannot override the express five-year prohibition.</w:t>
            </w:r>
          </w:p>
        </w:tc>
      </w:tr>
    </w:tbl>
    <w:p>
      <w:pPr>
        <w:pStyle w:val="Heading2"/>
      </w:pPr>
      <w:r>
        <w:t>Why the Key Controls</w:t>
      </w:r>
    </w:p>
    <w:p>
      <w:r>
        <w:t>Some ethics standards are absolute for a defined period. When the Code specifies a bright-line prohibition, balancing factors do not override it during that period.</w:t>
      </w:r>
    </w:p>
    <w:p>
      <w:pPr>
        <w:pStyle w:val="Heading2"/>
      </w:pPr>
      <w:r>
        <w:t>CTA Exam Strategy</w:t>
      </w:r>
    </w:p>
    <w:p>
      <w:r>
        <w:t>Distinguish boundary extensions, which may allow risk-benefit analysis, from expressly prohibited sexual or romantic relationships.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Romantic Relationship With Former Client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Boundary Scen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WB6-C5 Sexual Misconduct and Client Exploitation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FORMER-CLIENT-ROMANCE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A.5.c; future official ACA revisions trigger controlled post-release review.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34 - Controlled Rationale</w:t>
      </w:r>
    </w:p>
    <w:p>
      <w:r>
        <w:rPr>
          <w:b/>
        </w:rPr>
        <w:t>Item ID: LPCC-LE-CUM-B-034</w:t>
      </w:r>
      <w:r/>
    </w:p>
    <w:p>
      <w:r>
        <w:rPr>
          <w:b/>
        </w:rPr>
        <w:t>Stem: A long-term adolescent client invites the LPCC to the client’s public high-school graduation. The client believes attendance would mark an important therapeutic milestone. What is the BEST ethical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Decline automatically because any contact outside the office is a boundary violation.</w:t>
            </w:r>
          </w:p>
        </w:tc>
        <w:tc>
          <w:tcPr>
            <w:tcW w:type="dxa" w:w="5040"/>
            <w:tcMar>
              <w:top w:w="70" w:type="dxa"/>
              <w:start w:w="70" w:type="dxa"/>
              <w:bottom w:w="70" w:type="dxa"/>
              <w:end w:w="70" w:type="dxa"/>
            </w:tcMar>
            <w:vAlign w:val="center"/>
          </w:tcPr>
          <w:p>
            <w:r>
              <w:t>Incorrect. Not every boundary extension is automatically a violation; the ethical analysis is contextual.</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Attend automatically because the client requested it.</w:t>
            </w:r>
          </w:p>
        </w:tc>
        <w:tc>
          <w:tcPr>
            <w:tcW w:type="dxa" w:w="5040"/>
            <w:tcMar>
              <w:top w:w="70" w:type="dxa"/>
              <w:start w:w="70" w:type="dxa"/>
              <w:bottom w:w="70" w:type="dxa"/>
              <w:end w:w="70" w:type="dxa"/>
            </w:tcMar>
            <w:vAlign w:val="center"/>
            <w:shd w:fill="E7F5F4"/>
          </w:tcPr>
          <w:p>
            <w:r>
              <w:t>Incorrect. Client invitation alone does not establish that attendance is clinically appropriate or low risk.</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the client’s parent to decide whether the boundary crossing is ethical.</w:t>
            </w:r>
          </w:p>
        </w:tc>
        <w:tc>
          <w:tcPr>
            <w:tcW w:type="dxa" w:w="5040"/>
            <w:tcMar>
              <w:top w:w="70" w:type="dxa"/>
              <w:start w:w="70" w:type="dxa"/>
              <w:bottom w:w="70" w:type="dxa"/>
              <w:end w:w="70" w:type="dxa"/>
            </w:tcMar>
            <w:vAlign w:val="center"/>
          </w:tcPr>
          <w:p>
            <w:r>
              <w:t>Incorrect. Family input may matter, but professional responsibility for the boundary decision remains with the counselor.</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Evaluate risks and benefits, cultural and therapeutic meaning, confidentiality and role concerns, consult as appropriate, and document the rationale if the boundary is extended.</w:t>
            </w:r>
          </w:p>
        </w:tc>
        <w:tc>
          <w:tcPr>
            <w:tcW w:type="dxa" w:w="5040"/>
            <w:tcMar>
              <w:top w:w="70" w:type="dxa"/>
              <w:start w:w="70" w:type="dxa"/>
              <w:bottom w:w="70" w:type="dxa"/>
              <w:end w:w="70" w:type="dxa"/>
            </w:tcMar>
            <w:vAlign w:val="center"/>
          </w:tcPr>
          <w:p>
            <w:r>
              <w:t>Correct. ACA ethics directs counselors to consider risks and benefits and use safeguards such as informed consent, consultation, and documentation when extending boundaries.</w:t>
            </w:r>
          </w:p>
        </w:tc>
      </w:tr>
    </w:tbl>
    <w:p>
      <w:pPr>
        <w:pStyle w:val="Heading2"/>
      </w:pPr>
      <w:r>
        <w:t>Why the Key Controls</w:t>
      </w:r>
    </w:p>
    <w:p>
      <w:r>
        <w:t>Boundary management is not simply “inside office good, outside office bad.” The issue is whether the extension benefits the client without impairing judgment, creating exploitation, or undermining confidentiality.</w:t>
      </w:r>
    </w:p>
    <w:p>
      <w:pPr>
        <w:pStyle w:val="Heading2"/>
      </w:pPr>
      <w:r>
        <w:t>CTA Exam Strategy</w:t>
      </w:r>
    </w:p>
    <w:p>
      <w:r>
        <w:t>When a boundary crossing may be beneficial, look for a structured risk-benefit analysis and documented safeguards.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Attending a Client Graduation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Boundary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WB6-C2 Boundary Crossings and Boundary Violations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BOUNDARY-EXTENSION-GRADUATION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A.6.b-A.6.c.</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35 - Controlled Rationale</w:t>
      </w:r>
    </w:p>
    <w:p>
      <w:r>
        <w:rPr>
          <w:b/>
        </w:rPr>
        <w:t>Item ID: LPCC-LE-CUM-B-035</w:t>
      </w:r>
      <w:r/>
    </w:p>
    <w:p>
      <w:r>
        <w:rPr>
          <w:b/>
        </w:rPr>
        <w:t>Stem: An LPCC is competent to counsel a gay client but feels personal religious discomfort with the client’s relationship goals. The LPCC wants to refer the client solely because of that discomfort. What is the BEST ethical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Refer immediately because counselor comfort always takes priority over continuity of care.</w:t>
            </w:r>
          </w:p>
        </w:tc>
        <w:tc>
          <w:tcPr>
            <w:tcW w:type="dxa" w:w="5040"/>
            <w:tcMar>
              <w:top w:w="70" w:type="dxa"/>
              <w:start w:w="70" w:type="dxa"/>
              <w:bottom w:w="70" w:type="dxa"/>
              <w:end w:w="70" w:type="dxa"/>
            </w:tcMar>
            <w:vAlign w:val="center"/>
          </w:tcPr>
          <w:p>
            <w:r>
              <w:t>Incorrect. Counselor comfort is not the governing ethical priority when competent care can be provided.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Tell the client the counselor disapproves of the relationship and let the client decide whether to stay.</w:t>
            </w:r>
          </w:p>
        </w:tc>
        <w:tc>
          <w:tcPr>
            <w:tcW w:type="dxa" w:w="5040"/>
            <w:tcMar>
              <w:top w:w="70" w:type="dxa"/>
              <w:start w:w="70" w:type="dxa"/>
              <w:bottom w:w="70" w:type="dxa"/>
              <w:end w:w="70" w:type="dxa"/>
            </w:tcMar>
            <w:vAlign w:val="center"/>
          </w:tcPr>
          <w:p>
            <w:r>
              <w:t>Incorrect. Disclosing disapproval can pressure the client and impose counselor values.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Continue only if the client agrees not to discuss the relationship.</w:t>
            </w:r>
          </w:p>
        </w:tc>
        <w:tc>
          <w:tcPr>
            <w:tcW w:type="dxa" w:w="5040"/>
            <w:tcMar>
              <w:top w:w="70" w:type="dxa"/>
              <w:start w:w="70" w:type="dxa"/>
              <w:bottom w:w="70" w:type="dxa"/>
              <w:end w:w="70" w:type="dxa"/>
            </w:tcMar>
            <w:vAlign w:val="center"/>
          </w:tcPr>
          <w:p>
            <w:r>
              <w:t>Incorrect. Conditioning treatment on avoidance of a core client concern distorts the counseling relationship and client goals.</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Do not refer solely because of the counselor’s personal values; address the risk of value imposition through supervision, consultation, training, and other steps that protect competent client-centered care.</w:t>
            </w:r>
          </w:p>
        </w:tc>
        <w:tc>
          <w:tcPr>
            <w:tcW w:type="dxa" w:w="5040"/>
            <w:tcMar>
              <w:top w:w="70" w:type="dxa"/>
              <w:start w:w="70" w:type="dxa"/>
              <w:bottom w:w="70" w:type="dxa"/>
              <w:end w:w="70" w:type="dxa"/>
            </w:tcMar>
            <w:vAlign w:val="center"/>
            <w:shd w:fill="E7F5F4"/>
          </w:tcPr>
          <w:p>
            <w:r>
              <w:t>Correct. ACA ethics directs counselors not to refer clients solely because of personal values and to seek training or support where values threaten ethical practice.</w:t>
            </w:r>
          </w:p>
        </w:tc>
      </w:tr>
    </w:tbl>
    <w:p>
      <w:pPr>
        <w:pStyle w:val="Heading2"/>
      </w:pPr>
      <w:r>
        <w:t>Why the Key Controls</w:t>
      </w:r>
    </w:p>
    <w:p>
      <w:r>
        <w:t>A values conflict is first a counselor self-management issue. The counselor should not solve personal discomfort by transferring burden or stigma to the client.</w:t>
      </w:r>
    </w:p>
    <w:p>
      <w:pPr>
        <w:pStyle w:val="Heading2"/>
      </w:pPr>
      <w:r>
        <w:t>CTA Exam Strategy</w:t>
      </w:r>
    </w:p>
    <w:p>
      <w:r>
        <w:t>If the counselor is competent and the only barrier is personal values, referral is usually the distractor—not the ethical solution.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Referral Based Solely on Counselor Values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Values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WB7-C2 Bias, Assumptions, and Ethical Decision-Making; WB5-C3 Beneficence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VALUES-REFERRAL</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A.11.b and A.4.b.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36 - Controlled Rationale</w:t>
      </w:r>
    </w:p>
    <w:p>
      <w:r>
        <w:rPr>
          <w:b/>
        </w:rPr>
        <w:t>Item ID: LPCC-LE-CUM-B-036</w:t>
      </w:r>
      <w:r/>
    </w:p>
    <w:p>
      <w:r>
        <w:rPr>
          <w:b/>
        </w:rPr>
        <w:t>Stem: An LPCC plans to retire in three months. Several clients will need ongoing treatment after the practice closes. Which action BEST protects client welfare?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Tell clients at the final session so they do not become anxious in advance.</w:t>
            </w:r>
          </w:p>
        </w:tc>
        <w:tc>
          <w:tcPr>
            <w:tcW w:type="dxa" w:w="5040"/>
            <w:tcMar>
              <w:top w:w="70" w:type="dxa"/>
              <w:start w:w="70" w:type="dxa"/>
              <w:bottom w:w="70" w:type="dxa"/>
              <w:end w:w="70" w:type="dxa"/>
            </w:tcMar>
            <w:vAlign w:val="center"/>
          </w:tcPr>
          <w:p>
            <w:r>
              <w:t>Incorrect. Delaying notice can impair client choice and continuity and increase abandonment risk.</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Stop accepting payment now but continue indefinitely until every client independently terminates.</w:t>
            </w:r>
          </w:p>
        </w:tc>
        <w:tc>
          <w:tcPr>
            <w:tcW w:type="dxa" w:w="5040"/>
            <w:tcMar>
              <w:top w:w="70" w:type="dxa"/>
              <w:start w:w="70" w:type="dxa"/>
              <w:bottom w:w="70" w:type="dxa"/>
              <w:end w:w="70" w:type="dxa"/>
            </w:tcMar>
            <w:vAlign w:val="center"/>
          </w:tcPr>
          <w:p>
            <w:r>
              <w:t>Incorrect. Retirement does not require indefinite continuation of practice; it requires an orderly transition.</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Give reasonable advance notice, discuss transition options and referrals, make an orderly plan for records and continuity, and avoid abrupt abandonment.</w:t>
            </w:r>
          </w:p>
        </w:tc>
        <w:tc>
          <w:tcPr>
            <w:tcW w:type="dxa" w:w="5040"/>
            <w:tcMar>
              <w:top w:w="70" w:type="dxa"/>
              <w:start w:w="70" w:type="dxa"/>
              <w:bottom w:w="70" w:type="dxa"/>
              <w:end w:w="70" w:type="dxa"/>
            </w:tcMar>
            <w:vAlign w:val="center"/>
            <w:shd w:fill="E7F5F4"/>
          </w:tcPr>
          <w:p>
            <w:r>
              <w:t>Correct. Planned closure should include timely notice, continuity/referral planning, and secure record arrangements so clients are not abandoned.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Transfer all records to another clinician without informing clients because continuity outweighs confidentiality.</w:t>
            </w:r>
          </w:p>
        </w:tc>
        <w:tc>
          <w:tcPr>
            <w:tcW w:type="dxa" w:w="5040"/>
            <w:tcMar>
              <w:top w:w="70" w:type="dxa"/>
              <w:start w:w="70" w:type="dxa"/>
              <w:bottom w:w="70" w:type="dxa"/>
              <w:end w:w="70" w:type="dxa"/>
            </w:tcMar>
            <w:vAlign w:val="center"/>
          </w:tcPr>
          <w:p>
            <w:r>
              <w:t>Incorrect. Continuity planning does not erase confidentiality and authorization requirements for record transfer.</w:t>
            </w:r>
          </w:p>
        </w:tc>
      </w:tr>
    </w:tbl>
    <w:p>
      <w:pPr>
        <w:pStyle w:val="Heading2"/>
      </w:pPr>
      <w:r>
        <w:t>Why the Key Controls</w:t>
      </w:r>
    </w:p>
    <w:p>
      <w:r>
        <w:t>Ending a practice is a clinical transition, not merely an administrative event. The counselor plans early enough for clients to make informed choices and continue needed care.</w:t>
      </w:r>
    </w:p>
    <w:p>
      <w:pPr>
        <w:pStyle w:val="Heading2"/>
      </w:pPr>
      <w:r>
        <w:t>CTA Exam Strategy</w:t>
      </w:r>
    </w:p>
    <w:p>
      <w:r>
        <w:t>When the clinician is ending services for a foreseeable reason, choose advance planning and continuity rather than abrupt termination.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Planned Retirement and Continuity of Care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Continuity Sc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WB5-C3 Beneficence and Promoting Client Welfare; WB3-C6 Professional Roles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RETIREMENT-CONTINUITY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C.2.h; A.12.</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37 - Controlled Rationale</w:t>
      </w:r>
    </w:p>
    <w:p>
      <w:r>
        <w:rPr>
          <w:b/>
        </w:rPr>
        <w:t>Item ID: LPCC-LE-CUM-B-037</w:t>
      </w:r>
      <w:r/>
    </w:p>
    <w:p>
      <w:r>
        <w:rPr>
          <w:b/>
        </w:rPr>
        <w:t>Stem: An LPCC learns that a client is simultaneously receiving psychotherapy from another clinician for overlapping concerns. No emergency exists. What should the LPCC do FIRST?</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Discuss the overlap with the client, request appropriate authorization to communicate with the other provider, and clarify roles to support coordinated care.</w:t>
            </w:r>
          </w:p>
        </w:tc>
        <w:tc>
          <w:tcPr>
            <w:tcW w:type="dxa" w:w="5040"/>
            <w:tcMar>
              <w:top w:w="70" w:type="dxa"/>
              <w:start w:w="70" w:type="dxa"/>
              <w:bottom w:w="70" w:type="dxa"/>
              <w:end w:w="70" w:type="dxa"/>
            </w:tcMar>
            <w:vAlign w:val="center"/>
          </w:tcPr>
          <w:p>
            <w:r>
              <w:t>Correct. Counselors should address overlapping professional relationships collaboratively, using client authorization and role clarification to reduce conflicting treatment.</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Contact the other clinician immediately and exchange full records without client authorization.</w:t>
            </w:r>
          </w:p>
        </w:tc>
        <w:tc>
          <w:tcPr>
            <w:tcW w:type="dxa" w:w="5040"/>
            <w:tcMar>
              <w:top w:w="70" w:type="dxa"/>
              <w:start w:w="70" w:type="dxa"/>
              <w:bottom w:w="70" w:type="dxa"/>
              <w:end w:w="70" w:type="dxa"/>
            </w:tcMar>
            <w:vAlign w:val="center"/>
            <w:shd w:fill="E7F5F4"/>
          </w:tcPr>
          <w:p>
            <w:r>
              <w:t>Incorrect. Coordination does not justify unrestricted disclosure without a lawful basis.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Terminate automatically because two therapists may never treat the same client.</w:t>
            </w:r>
          </w:p>
        </w:tc>
        <w:tc>
          <w:tcPr>
            <w:tcW w:type="dxa" w:w="5040"/>
            <w:tcMar>
              <w:top w:w="70" w:type="dxa"/>
              <w:start w:w="70" w:type="dxa"/>
              <w:bottom w:w="70" w:type="dxa"/>
              <w:end w:w="70" w:type="dxa"/>
            </w:tcMar>
            <w:vAlign w:val="center"/>
          </w:tcPr>
          <w:p>
            <w:r>
              <w:t>Incorrect. Concurrent care is not automatically unethical; the issue is whether roles and treatment are coordinated appropriately.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Ignore the information because coordination is outside the LPCC’s responsibility.</w:t>
            </w:r>
          </w:p>
        </w:tc>
        <w:tc>
          <w:tcPr>
            <w:tcW w:type="dxa" w:w="5040"/>
            <w:tcMar>
              <w:top w:w="70" w:type="dxa"/>
              <w:start w:w="70" w:type="dxa"/>
              <w:bottom w:w="70" w:type="dxa"/>
              <w:end w:w="70" w:type="dxa"/>
            </w:tcMar>
            <w:vAlign w:val="center"/>
          </w:tcPr>
          <w:p>
            <w:r>
              <w:t>Incorrect. Ignoring potentially conflicting services can undermine treatment effectiveness and client welfare.</w:t>
            </w:r>
          </w:p>
        </w:tc>
      </w:tr>
    </w:tbl>
    <w:p>
      <w:pPr>
        <w:pStyle w:val="Heading2"/>
      </w:pPr>
      <w:r>
        <w:t>Why the Key Controls</w:t>
      </w:r>
    </w:p>
    <w:p>
      <w:r>
        <w:t>Multiple-provider cases require both confidentiality and collaboration. The client remains central to any information-sharing decision.</w:t>
      </w:r>
    </w:p>
    <w:p>
      <w:pPr>
        <w:pStyle w:val="Heading2"/>
      </w:pPr>
      <w:r>
        <w:t>CTA Exam Strategy</w:t>
      </w:r>
    </w:p>
    <w:p>
      <w:r>
        <w:t>When another provider appears in the stem, do not jump directly to disclosure or termination. Clarify roles and obtain proper authorization.</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Client Served by Multiple Professionals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Collaboration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and Role Clarification; WB7-C3 Working With Diverse Populations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MULTIPLE-PROVIDERS-COLLABORATION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A.3.</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38 - Controlled Rationale</w:t>
      </w:r>
    </w:p>
    <w:p>
      <w:r>
        <w:rPr>
          <w:b/>
        </w:rPr>
        <w:t>Item ID: LPCC-LE-CUM-B-038</w:t>
      </w:r>
      <w:r/>
    </w:p>
    <w:p>
      <w:r>
        <w:rPr>
          <w:b/>
        </w:rPr>
        <w:t>Stem: Before beginning a therapy group, what is the BEST way for the LPCC to address confidentiality?</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Promise that everything said in group is legally privileged and can never be repeated by members.</w:t>
            </w:r>
          </w:p>
        </w:tc>
        <w:tc>
          <w:tcPr>
            <w:tcW w:type="dxa" w:w="5040"/>
            <w:tcMar>
              <w:top w:w="70" w:type="dxa"/>
              <w:start w:w="70" w:type="dxa"/>
              <w:bottom w:w="70" w:type="dxa"/>
              <w:end w:w="70" w:type="dxa"/>
            </w:tcMar>
            <w:vAlign w:val="center"/>
            <w:shd w:fill="E7F5F4"/>
          </w:tcPr>
          <w:p>
            <w:r>
              <w:t>Incorrect. The counselor cannot guarantee the conduct of other group members or create legal privilege by promise.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Avoid discussing confidentiality because doing so may make members anxious.</w:t>
            </w:r>
          </w:p>
        </w:tc>
        <w:tc>
          <w:tcPr>
            <w:tcW w:type="dxa" w:w="5040"/>
            <w:tcMar>
              <w:top w:w="70" w:type="dxa"/>
              <w:start w:w="70" w:type="dxa"/>
              <w:bottom w:w="70" w:type="dxa"/>
              <w:end w:w="70" w:type="dxa"/>
            </w:tcMar>
            <w:vAlign w:val="center"/>
          </w:tcPr>
          <w:p>
            <w:r>
              <w:t>Incorrect. Group-specific confidentiality limits are material information that should be discussed, not avoided.</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Explain the importance and limits of confidentiality, establish expectations among members, and clarify that the counselor cannot guarantee that every member will keep information private.</w:t>
            </w:r>
          </w:p>
        </w:tc>
        <w:tc>
          <w:tcPr>
            <w:tcW w:type="dxa" w:w="5040"/>
            <w:tcMar>
              <w:top w:w="70" w:type="dxa"/>
              <w:start w:w="70" w:type="dxa"/>
              <w:bottom w:w="70" w:type="dxa"/>
              <w:end w:w="70" w:type="dxa"/>
            </w:tcMar>
            <w:vAlign w:val="center"/>
          </w:tcPr>
          <w:p>
            <w:r>
              <w:t>Correct. Ethical group practice includes explaining confidentiality and its limits and establishing member expectations without making guarantees the counselor cannot enforce.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Require members to sign a contract stating that any breach will automatically result in criminal charges.</w:t>
            </w:r>
          </w:p>
        </w:tc>
        <w:tc>
          <w:tcPr>
            <w:tcW w:type="dxa" w:w="5040"/>
            <w:tcMar>
              <w:top w:w="70" w:type="dxa"/>
              <w:start w:w="70" w:type="dxa"/>
              <w:bottom w:w="70" w:type="dxa"/>
              <w:end w:w="70" w:type="dxa"/>
            </w:tcMar>
            <w:vAlign w:val="center"/>
          </w:tcPr>
          <w:p>
            <w:r>
              <w:t>Incorrect. A private group agreement does not automatically create criminal penalties.</w:t>
            </w:r>
          </w:p>
        </w:tc>
      </w:tr>
    </w:tbl>
    <w:p>
      <w:pPr>
        <w:pStyle w:val="Heading2"/>
      </w:pPr>
      <w:r>
        <w:t>Why the Key Controls</w:t>
      </w:r>
    </w:p>
    <w:p>
      <w:r>
        <w:t>The counselor can set norms, educate members, and protect information under the counselor’s control, but cannot promise absolute control over what other members do.</w:t>
      </w:r>
    </w:p>
    <w:p>
      <w:pPr>
        <w:pStyle w:val="Heading2"/>
      </w:pPr>
      <w:r>
        <w:t>CTA Exam Strategy</w:t>
      </w:r>
    </w:p>
    <w:p>
      <w:r>
        <w:t>Be suspicious of absolute confidentiality promises in group settings. The best answer acknowledges both expectations and limits.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Group Confidentiality Limits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Ethics Appl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WB8-C1 Confidentiality in Individual, Couple, Family, and Group Treatment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GROUP-CONFIDENTIALITY-LIMITS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B.4.a.</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39 - Controlled Rationale</w:t>
      </w:r>
    </w:p>
    <w:p>
      <w:r>
        <w:rPr>
          <w:b/>
        </w:rPr>
        <w:t>Item ID: LPCC-LE-CUM-B-039</w:t>
      </w:r>
      <w:r/>
    </w:p>
    <w:p>
      <w:r>
        <w:rPr>
          <w:b/>
        </w:rPr>
        <w:t>Stem: A new client has limited English proficiency and does not understand the LPCC’s informed-consent explanation. The client’s 12-year-old child offers to interpret. What is the BEST response?</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Arrange qualified language assistance that protects accuracy and confidentiality and confirm the client’s understanding, rather than automatically relying on the child.</w:t>
            </w:r>
          </w:p>
        </w:tc>
        <w:tc>
          <w:tcPr>
            <w:tcW w:type="dxa" w:w="5040"/>
            <w:tcMar>
              <w:top w:w="70" w:type="dxa"/>
              <w:start w:w="70" w:type="dxa"/>
              <w:bottom w:w="70" w:type="dxa"/>
              <w:end w:w="70" w:type="dxa"/>
            </w:tcMar>
            <w:vAlign w:val="center"/>
          </w:tcPr>
          <w:p>
            <w:r>
              <w:t>Correct. Counselors communicate consent information in understandable, culturally appropriate ways and use qualified interpretation or translation when needed.</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Proceed with the child interpreting because family members are always the most culturally appropriate translators.</w:t>
            </w:r>
          </w:p>
        </w:tc>
        <w:tc>
          <w:tcPr>
            <w:tcW w:type="dxa" w:w="5040"/>
            <w:tcMar>
              <w:top w:w="70" w:type="dxa"/>
              <w:start w:w="70" w:type="dxa"/>
              <w:bottom w:w="70" w:type="dxa"/>
              <w:end w:w="70" w:type="dxa"/>
            </w:tcMar>
            <w:vAlign w:val="center"/>
            <w:shd w:fill="E7F5F4"/>
          </w:tcPr>
          <w:p>
            <w:r>
              <w:t>Incorrect. A minor family member can create accuracy, role, and confidentiality problems and should not be treated as the automatic solution.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the client to sign the English form anyway because a signature is sufficient.</w:t>
            </w:r>
          </w:p>
        </w:tc>
        <w:tc>
          <w:tcPr>
            <w:tcW w:type="dxa" w:w="5040"/>
            <w:tcMar>
              <w:top w:w="70" w:type="dxa"/>
              <w:start w:w="70" w:type="dxa"/>
              <w:bottom w:w="70" w:type="dxa"/>
              <w:end w:w="70" w:type="dxa"/>
            </w:tcMar>
            <w:vAlign w:val="center"/>
          </w:tcPr>
          <w:p>
            <w:r>
              <w:t>Incorrect. A signature without comprehension does not create meaningful informed consent.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Refuse treatment permanently because informed consent cannot be provided in another language.</w:t>
            </w:r>
          </w:p>
        </w:tc>
        <w:tc>
          <w:tcPr>
            <w:tcW w:type="dxa" w:w="5040"/>
            <w:tcMar>
              <w:top w:w="70" w:type="dxa"/>
              <w:start w:w="70" w:type="dxa"/>
              <w:bottom w:w="70" w:type="dxa"/>
              <w:end w:w="70" w:type="dxa"/>
            </w:tcMar>
            <w:vAlign w:val="center"/>
          </w:tcPr>
          <w:p>
            <w:r>
              <w:t>Incorrect. Language access is a service-delivery problem to solve, not a categorical reason to deny counseling.</w:t>
            </w:r>
          </w:p>
        </w:tc>
      </w:tr>
    </w:tbl>
    <w:p>
      <w:pPr>
        <w:pStyle w:val="Heading2"/>
      </w:pPr>
      <w:r>
        <w:t>Why the Key Controls</w:t>
      </w:r>
    </w:p>
    <w:p>
      <w:r>
        <w:t>Informed consent requires comprehension. The ethical response is to adapt communication while protecting privacy and the client’s autonomy.</w:t>
      </w:r>
    </w:p>
    <w:p>
      <w:pPr>
        <w:pStyle w:val="Heading2"/>
      </w:pPr>
      <w:r>
        <w:t>CTA Exam Strategy</w:t>
      </w:r>
    </w:p>
    <w:p>
      <w:r>
        <w:t>If the client cannot understand the consent language, choose qualified access support—not a signature-only workaround.</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Qualified Language Assistance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Access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WB7-C3 Working With Diverse Populations; WB1-C2 Information Required for Informed Decision-Making</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LANGUAGE-ACCESS-CONSENT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A.2.c; multicultural competence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40 - Controlled Rationale</w:t>
      </w:r>
    </w:p>
    <w:p>
      <w:r>
        <w:rPr>
          <w:b/>
        </w:rPr>
        <w:t>Item ID: LPCC-LE-CUM-B-040</w:t>
      </w:r>
      <w:r/>
    </w:p>
    <w:p>
      <w:r>
        <w:rPr>
          <w:b/>
        </w:rPr>
        <w:t>Stem: A client strongly requests a technique the LPCC knows is supported by substantial evidence of harm. The client states, “I accept the risk, so please do it.” What is the BEST ethical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Provide the technique because informed consent transfers the risk to the client.</w:t>
            </w:r>
          </w:p>
        </w:tc>
        <w:tc>
          <w:tcPr>
            <w:tcW w:type="dxa" w:w="5040"/>
            <w:tcMar>
              <w:top w:w="70" w:type="dxa"/>
              <w:start w:w="70" w:type="dxa"/>
              <w:bottom w:w="70" w:type="dxa"/>
              <w:end w:w="70" w:type="dxa"/>
            </w:tcMar>
            <w:vAlign w:val="center"/>
          </w:tcPr>
          <w:p>
            <w:r>
              <w:t>Incorrect. Client consent does not make a substantially harmful professional practice ethically acceptable.</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Provide the technique once, then evaluate whether harm occurs.</w:t>
            </w:r>
          </w:p>
        </w:tc>
        <w:tc>
          <w:tcPr>
            <w:tcW w:type="dxa" w:w="5040"/>
            <w:tcMar>
              <w:top w:w="70" w:type="dxa"/>
              <w:start w:w="70" w:type="dxa"/>
              <w:bottom w:w="70" w:type="dxa"/>
              <w:end w:w="70" w:type="dxa"/>
            </w:tcMar>
            <w:vAlign w:val="center"/>
            <w:shd w:fill="E7F5F4"/>
          </w:tcPr>
          <w:p>
            <w:r>
              <w:t>Incorrect. Ethical standards do not require exposing a client to known substantial risk in order to “test” whether harm occurs.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Have the client sign a waiver releasing the LPCC from responsibility.</w:t>
            </w:r>
          </w:p>
        </w:tc>
        <w:tc>
          <w:tcPr>
            <w:tcW w:type="dxa" w:w="5040"/>
            <w:tcMar>
              <w:top w:w="70" w:type="dxa"/>
              <w:start w:w="70" w:type="dxa"/>
              <w:bottom w:w="70" w:type="dxa"/>
              <w:end w:w="70" w:type="dxa"/>
            </w:tcMar>
            <w:vAlign w:val="center"/>
          </w:tcPr>
          <w:p>
            <w:r>
              <w:t>Incorrect. A waiver does not transform an unethical or harmful technique into acceptable care.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Do not use a technique when substantial evidence suggests harm, even if the client requests it; instead discuss safer, ethically supportable alternatives.</w:t>
            </w:r>
          </w:p>
        </w:tc>
        <w:tc>
          <w:tcPr>
            <w:tcW w:type="dxa" w:w="5040"/>
            <w:tcMar>
              <w:top w:w="70" w:type="dxa"/>
              <w:start w:w="70" w:type="dxa"/>
              <w:bottom w:w="70" w:type="dxa"/>
              <w:end w:w="70" w:type="dxa"/>
            </w:tcMar>
            <w:vAlign w:val="center"/>
          </w:tcPr>
          <w:p>
            <w:r>
              <w:t>Correct. ACA ethics directs counselors not to use techniques when substantial evidence suggests harm, even when clients request them.</w:t>
            </w:r>
          </w:p>
        </w:tc>
      </w:tr>
    </w:tbl>
    <w:p>
      <w:pPr>
        <w:pStyle w:val="Heading2"/>
      </w:pPr>
      <w:r>
        <w:t>Why the Key Controls</w:t>
      </w:r>
    </w:p>
    <w:p>
      <w:r>
        <w:t>Autonomy matters, but it does not require a counselor to provide professionally harmful services. Beneficence and nonmaleficence set limits on what can be offered.</w:t>
      </w:r>
    </w:p>
    <w:p>
      <w:pPr>
        <w:pStyle w:val="Heading2"/>
      </w:pPr>
      <w:r>
        <w:t>CTA Exam Strategy</w:t>
      </w:r>
    </w:p>
    <w:p>
      <w:r>
        <w:t>When the stem says substantial evidence of harm, informed consent is not the escape hatch. The technique itself is the problem.</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Client Request for Harmful Technique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Treatment Sc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 WB5-C3 Beneficence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HARMFUL-TECHNIQUE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C.7.a-C.7.c.</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41 - Controlled Rationale</w:t>
      </w:r>
    </w:p>
    <w:p>
      <w:r>
        <w:rPr>
          <w:b/>
        </w:rPr>
        <w:t>Item ID: LPCC-LE-CUM-B-041</w:t>
      </w:r>
      <w:r/>
    </w:p>
    <w:p>
      <w:r>
        <w:rPr>
          <w:b/>
        </w:rPr>
        <w:t>Stem: An LPCC has been treating a couple. After separation begins, one partner asks the LPCC to become that partner’s individual therapist while the other partner remains involved in divorce litigation. What should the LPCC do FIRST?</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Assess the proposed role change for conflicts, confidentiality and objectivity concerns, clarify the implications with the involved clients, and obtain informed consent if an ethically appropriate change is made.</w:t>
            </w:r>
          </w:p>
        </w:tc>
        <w:tc>
          <w:tcPr>
            <w:tcW w:type="dxa" w:w="5040"/>
            <w:tcMar>
              <w:top w:w="70" w:type="dxa"/>
              <w:start w:w="70" w:type="dxa"/>
              <w:bottom w:w="70" w:type="dxa"/>
              <w:end w:w="70" w:type="dxa"/>
            </w:tcMar>
            <w:vAlign w:val="center"/>
          </w:tcPr>
          <w:p>
            <w:r>
              <w:t>Correct. Role changes require careful analysis and informed consent, especially when prior conjoint treatment and active litigation can create competing duties and impaired objectivity.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Accept the individual immediately because the requesting partner was already a client.</w:t>
            </w:r>
          </w:p>
        </w:tc>
        <w:tc>
          <w:tcPr>
            <w:tcW w:type="dxa" w:w="5040"/>
            <w:tcMar>
              <w:top w:w="70" w:type="dxa"/>
              <w:start w:w="70" w:type="dxa"/>
              <w:bottom w:w="70" w:type="dxa"/>
              <w:end w:w="70" w:type="dxa"/>
            </w:tcMar>
            <w:vAlign w:val="center"/>
          </w:tcPr>
          <w:p>
            <w:r>
              <w:t>Incorrect. Prior client status does not eliminate conflicts created by changing from a conjoint role to an individual role.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Provide individual treatment secretly so the other partner is not upset.</w:t>
            </w:r>
          </w:p>
        </w:tc>
        <w:tc>
          <w:tcPr>
            <w:tcW w:type="dxa" w:w="5040"/>
            <w:tcMar>
              <w:top w:w="70" w:type="dxa"/>
              <w:start w:w="70" w:type="dxa"/>
              <w:bottom w:w="70" w:type="dxa"/>
              <w:end w:w="70" w:type="dxa"/>
            </w:tcMar>
            <w:vAlign w:val="center"/>
          </w:tcPr>
          <w:p>
            <w:r>
              <w:t>Incorrect. Secret role changes can undermine informed consent and create serious confidentiality and trust problems.</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Automatically destroy the couple record and start a new individual record.</w:t>
            </w:r>
          </w:p>
        </w:tc>
        <w:tc>
          <w:tcPr>
            <w:tcW w:type="dxa" w:w="5040"/>
            <w:tcMar>
              <w:top w:w="70" w:type="dxa"/>
              <w:start w:w="70" w:type="dxa"/>
              <w:bottom w:w="70" w:type="dxa"/>
              <w:end w:w="70" w:type="dxa"/>
            </w:tcMar>
            <w:vAlign w:val="center"/>
            <w:shd w:fill="E7F5F4"/>
          </w:tcPr>
          <w:p>
            <w:r>
              <w:t>Incorrect. Record destruction is not an ethical method of resolving role conflicts.</w:t>
            </w:r>
          </w:p>
        </w:tc>
      </w:tr>
    </w:tbl>
    <w:p>
      <w:pPr>
        <w:pStyle w:val="Heading2"/>
      </w:pPr>
      <w:r>
        <w:t>Why the Key Controls</w:t>
      </w:r>
    </w:p>
    <w:p>
      <w:r>
        <w:t>Role changes can alter who the client is, what information is confidential, and how prior information may affect objectivity. Those implications must be resolved before the role changes.</w:t>
      </w:r>
    </w:p>
    <w:p>
      <w:pPr>
        <w:pStyle w:val="Heading2"/>
      </w:pPr>
      <w:r>
        <w:t>CTA Exam Strategy</w:t>
      </w:r>
    </w:p>
    <w:p>
      <w:r>
        <w:t>When the professional role changes, pause. Reassess conflicts, consent, confidentiality, and whether the new role can be performed objectively.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Role Change From Couples to Individual Counseling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Role Scen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and Role Clarification; WB8-C1 Confidentiality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ROLE-CHANGE-COUPLE-INDIVIDUAL</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A.6.d; B.4.b.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42 - Controlled Rationale</w:t>
      </w:r>
    </w:p>
    <w:p>
      <w:r>
        <w:rPr>
          <w:b/>
        </w:rPr>
        <w:t>Item ID: LPCC-LE-CUM-B-042</w:t>
      </w:r>
      <w:r/>
    </w:p>
    <w:p>
      <w:r>
        <w:rPr>
          <w:b/>
        </w:rPr>
        <w:t>Stem: At the end of a treatment milestone, a client offers the LPCC a modest handmade item that has important cultural meaning. What is the BEST ethical response?</w:t>
      </w:r>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Reject every gift because accepting any item from a client is unethical.</w:t>
            </w:r>
          </w:p>
        </w:tc>
        <w:tc>
          <w:tcPr>
            <w:tcW w:type="dxa" w:w="5040"/>
            <w:tcMar>
              <w:top w:w="70" w:type="dxa"/>
              <w:start w:w="70" w:type="dxa"/>
              <w:bottom w:w="70" w:type="dxa"/>
              <w:end w:w="70" w:type="dxa"/>
            </w:tcMar>
            <w:vAlign w:val="center"/>
            <w:shd w:fill="E7F5F4"/>
          </w:tcPr>
          <w:p>
            <w:r>
              <w:t>Incorrect. ACA ethics does not impose an absolute prohibition on receiving gifts.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Consider the therapeutic relationship, the item’s monetary value, the client’s motivation, the counselor’s motivation, and the cultural meaning before deciding whether acceptance is appropriate.</w:t>
            </w:r>
          </w:p>
        </w:tc>
        <w:tc>
          <w:tcPr>
            <w:tcW w:type="dxa" w:w="5040"/>
            <w:tcMar>
              <w:top w:w="70" w:type="dxa"/>
              <w:start w:w="70" w:type="dxa"/>
              <w:bottom w:w="70" w:type="dxa"/>
              <w:end w:w="70" w:type="dxa"/>
            </w:tcMar>
            <w:vAlign w:val="center"/>
          </w:tcPr>
          <w:p>
            <w:r>
              <w:t>Correct. Gift decisions are contextual and should consider value, motivation, therapeutic effects, and cultural meaning.</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Accept every culturally meaningful gift to avoid appearing disrespectful.</w:t>
            </w:r>
          </w:p>
        </w:tc>
        <w:tc>
          <w:tcPr>
            <w:tcW w:type="dxa" w:w="5040"/>
            <w:tcMar>
              <w:top w:w="70" w:type="dxa"/>
              <w:start w:w="70" w:type="dxa"/>
              <w:bottom w:w="70" w:type="dxa"/>
              <w:end w:w="70" w:type="dxa"/>
            </w:tcMar>
            <w:vAlign w:val="center"/>
          </w:tcPr>
          <w:p>
            <w:r>
              <w:t>Incorrect. Cultural meaning is important but does not eliminate the need to consider boundaries and possible exploitation.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Accept the gift only if the client agrees to extend treatment.</w:t>
            </w:r>
          </w:p>
        </w:tc>
        <w:tc>
          <w:tcPr>
            <w:tcW w:type="dxa" w:w="5040"/>
            <w:tcMar>
              <w:top w:w="70" w:type="dxa"/>
              <w:start w:w="70" w:type="dxa"/>
              <w:bottom w:w="70" w:type="dxa"/>
              <w:end w:w="70" w:type="dxa"/>
            </w:tcMar>
            <w:vAlign w:val="center"/>
          </w:tcPr>
          <w:p>
            <w:r>
              <w:t>Incorrect. Linking gift acceptance to continued treatment would create an inappropriate financial or relational contingency.</w:t>
            </w:r>
          </w:p>
        </w:tc>
      </w:tr>
    </w:tbl>
    <w:p>
      <w:pPr>
        <w:pStyle w:val="Heading2"/>
      </w:pPr>
      <w:r>
        <w:t>Why the Key Controls</w:t>
      </w:r>
    </w:p>
    <w:p>
      <w:r>
        <w:t>Gift ethics require contextual judgment. Both automatic refusal and automatic acceptance can miss the meaning of the interaction.</w:t>
      </w:r>
    </w:p>
    <w:p>
      <w:pPr>
        <w:pStyle w:val="Heading2"/>
      </w:pPr>
      <w:r>
        <w:t>CTA Exam Strategy</w:t>
      </w:r>
    </w:p>
    <w:p>
      <w:r>
        <w:t>For gifts, look for a multi-factor boundary analysis rather than a blanket rule.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Receiving a Culturally Meaningful Gift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Boundary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WB6-C4 Gifts, Bartering, and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GIFT-CULTURAL-MEANING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A.10.f.</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43 - Controlled Rationale</w:t>
      </w:r>
    </w:p>
    <w:p>
      <w:r>
        <w:rPr>
          <w:b/>
        </w:rPr>
        <w:t>Item ID: LPCC-LE-CUM-B-043</w:t>
      </w:r>
      <w:r/>
    </w:p>
    <w:p>
      <w:r>
        <w:rPr>
          <w:b/>
        </w:rPr>
        <w:t>Stem: A set of client records has reached the end of the applicable retention period and is eligible for destruction. Which method BEST reflects professional confidentiality duties?</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Place paper files in ordinary recycling because the treatment has ended.</w:t>
            </w:r>
          </w:p>
        </w:tc>
        <w:tc>
          <w:tcPr>
            <w:tcW w:type="dxa" w:w="5040"/>
            <w:tcMar>
              <w:top w:w="70" w:type="dxa"/>
              <w:start w:w="70" w:type="dxa"/>
              <w:bottom w:w="70" w:type="dxa"/>
              <w:end w:w="70" w:type="dxa"/>
            </w:tcMar>
            <w:vAlign w:val="center"/>
          </w:tcPr>
          <w:p>
            <w:r>
              <w:t>Incorrect. Confidentiality survives termination and ordinary recycling can expose identifiable health information.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Give the files to an office employee to take home and dispose of later.</w:t>
            </w:r>
          </w:p>
        </w:tc>
        <w:tc>
          <w:tcPr>
            <w:tcW w:type="dxa" w:w="5040"/>
            <w:tcMar>
              <w:top w:w="70" w:type="dxa"/>
              <w:start w:w="70" w:type="dxa"/>
              <w:bottom w:w="70" w:type="dxa"/>
              <w:end w:w="70" w:type="dxa"/>
            </w:tcMar>
            <w:vAlign w:val="center"/>
          </w:tcPr>
          <w:p>
            <w:r>
              <w:t>Incorrect. Casual offsite disposal increases unauthorized access risk and lacks appropriate control.</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Use a secure destruction process, such as cross-cut shredding or secure professional destruction for paper and verified secure deletion for electronic records, consistent with applicable policy and law.</w:t>
            </w:r>
          </w:p>
        </w:tc>
        <w:tc>
          <w:tcPr>
            <w:tcW w:type="dxa" w:w="5040"/>
            <w:tcMar>
              <w:top w:w="70" w:type="dxa"/>
              <w:start w:w="70" w:type="dxa"/>
              <w:bottom w:w="70" w:type="dxa"/>
              <w:end w:w="70" w:type="dxa"/>
            </w:tcMar>
            <w:vAlign w:val="center"/>
          </w:tcPr>
          <w:p>
            <w:r>
              <w:t>Correct. Destruction should render confidential information unreadable or unrecoverable through a controlled process appropriate to the record medium.</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Leave the files in an unlocked storage area until enough records accumulate to justify disposal.</w:t>
            </w:r>
          </w:p>
        </w:tc>
        <w:tc>
          <w:tcPr>
            <w:tcW w:type="dxa" w:w="5040"/>
            <w:tcMar>
              <w:top w:w="70" w:type="dxa"/>
              <w:start w:w="70" w:type="dxa"/>
              <w:bottom w:w="70" w:type="dxa"/>
              <w:end w:w="70" w:type="dxa"/>
            </w:tcMar>
            <w:vAlign w:val="center"/>
            <w:shd w:fill="E7F5F4"/>
          </w:tcPr>
          <w:p>
            <w:r>
              <w:t>Incorrect. Eligibility for destruction does not justify insecure interim storage.</w:t>
            </w:r>
          </w:p>
        </w:tc>
      </w:tr>
    </w:tbl>
    <w:p>
      <w:pPr>
        <w:pStyle w:val="Heading2"/>
      </w:pPr>
      <w:r>
        <w:t>Why the Key Controls</w:t>
      </w:r>
    </w:p>
    <w:p>
      <w:r>
        <w:t>Record confidentiality continues through the destruction stage. Security obligations do not end merely because the retention clock has run.</w:t>
      </w:r>
    </w:p>
    <w:p>
      <w:pPr>
        <w:pStyle w:val="Heading2"/>
      </w:pPr>
      <w:r>
        <w:t>CTA Exam Strategy</w:t>
      </w:r>
    </w:p>
    <w:p>
      <w:r>
        <w:t>When records are being destroyed, ask whether the method actually prevents reconstruction or unauthorized access.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Secure Destruction of Expired Records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Records Scen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WB9-C4 Record Security, Storage, and Record Destruction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SECURE-RECORD-DESTRUCTION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B.6; California record-security duties.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44 - Controlled Rationale</w:t>
      </w:r>
    </w:p>
    <w:p>
      <w:r>
        <w:rPr>
          <w:b/>
        </w:rPr>
        <w:t>Item ID: LPCC-LE-CUM-B-044</w:t>
      </w:r>
      <w:r/>
    </w:p>
    <w:p>
      <w:r>
        <w:rPr>
          <w:b/>
        </w:rPr>
        <w:t>Stem: An LPCC wants an online presence for both personal interests and professional counseling information. Which approach BEST follows ACA social-media ethics?</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Use one mixed profile so clients can see the counselor’s complete personal life.</w:t>
            </w:r>
          </w:p>
        </w:tc>
        <w:tc>
          <w:tcPr>
            <w:tcW w:type="dxa" w:w="5040"/>
            <w:tcMar>
              <w:top w:w="70" w:type="dxa"/>
              <w:start w:w="70" w:type="dxa"/>
              <w:bottom w:w="70" w:type="dxa"/>
              <w:end w:w="70" w:type="dxa"/>
            </w:tcMar>
            <w:vAlign w:val="center"/>
          </w:tcPr>
          <w:p>
            <w:r>
              <w:t>Incorrect. Mixing personal and professional identities can blur boundaries and increase confidentiality risk.</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Create a personal account but invite all clients to follow it for convenience.</w:t>
            </w:r>
          </w:p>
        </w:tc>
        <w:tc>
          <w:tcPr>
            <w:tcW w:type="dxa" w:w="5040"/>
            <w:tcMar>
              <w:top w:w="70" w:type="dxa"/>
              <w:start w:w="70" w:type="dxa"/>
              <w:bottom w:w="70" w:type="dxa"/>
              <w:end w:w="70" w:type="dxa"/>
            </w:tcMar>
            <w:vAlign w:val="center"/>
          </w:tcPr>
          <w:p>
            <w:r>
              <w:t>Incorrect. Inviting current clients into a personal virtual relationship conflicts with professional-boundary standards.</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Avoid all social media because counselors may not have any online presence.</w:t>
            </w:r>
          </w:p>
        </w:tc>
        <w:tc>
          <w:tcPr>
            <w:tcW w:type="dxa" w:w="5040"/>
            <w:tcMar>
              <w:top w:w="70" w:type="dxa"/>
              <w:start w:w="70" w:type="dxa"/>
              <w:bottom w:w="70" w:type="dxa"/>
              <w:end w:w="70" w:type="dxa"/>
            </w:tcMar>
            <w:vAlign w:val="center"/>
            <w:shd w:fill="E7F5F4"/>
          </w:tcPr>
          <w:p>
            <w:r>
              <w:t>Incorrect. ACA ethics does not ban a professional online presence; it establishes safeguards.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Maintain clearly separate professional and personal profiles and explain relevant social-media boundaries as part of informed consent.</w:t>
            </w:r>
          </w:p>
        </w:tc>
        <w:tc>
          <w:tcPr>
            <w:tcW w:type="dxa" w:w="5040"/>
            <w:tcMar>
              <w:top w:w="70" w:type="dxa"/>
              <w:start w:w="70" w:type="dxa"/>
              <w:bottom w:w="70" w:type="dxa"/>
              <w:end w:w="70" w:type="dxa"/>
            </w:tcMar>
            <w:vAlign w:val="center"/>
          </w:tcPr>
          <w:p>
            <w:r>
              <w:t>Correct. Separate professional and personal virtual presences help clarify boundaries, and social-media expectations should be addressed with clients.</w:t>
            </w:r>
          </w:p>
        </w:tc>
      </w:tr>
    </w:tbl>
    <w:p>
      <w:pPr>
        <w:pStyle w:val="Heading2"/>
      </w:pPr>
      <w:r>
        <w:t>Why the Key Controls</w:t>
      </w:r>
    </w:p>
    <w:p>
      <w:r>
        <w:t>Digital boundaries require intentional structure. A professional social-media presence should not become a pathway into the counselor’s personal relationships.</w:t>
      </w:r>
    </w:p>
    <w:p>
      <w:pPr>
        <w:pStyle w:val="Heading2"/>
      </w:pPr>
      <w:r>
        <w:t>CTA Exam Strategy</w:t>
      </w:r>
    </w:p>
    <w:p>
      <w:r>
        <w:t>For social-media questions, distinguish professional visibility from personal virtual relationships with clients.</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Separate Personal and Professional Social Media</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Technology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WB2-C5 Social Media, Boundaries, and Digital Ethics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SOCIAL-MEDIA-SEPARATION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H.6.a-H.6.b.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45 - Controlled Rationale</w:t>
      </w:r>
    </w:p>
    <w:p>
      <w:r>
        <w:rPr>
          <w:b/>
        </w:rPr>
        <w:t>Item ID: LPCC-LE-CUM-B-045</w:t>
      </w:r>
      <w:r/>
    </w:p>
    <w:p>
      <w:r>
        <w:rPr>
          <w:b/>
        </w:rPr>
        <w:t>Stem: After completing a weekend trauma workshop that does not confer a recognized certification, an LPCC adds “Certified Trauma Specialist” to the practice website. What is the BEST response?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Keep the title because the workshop certificate proves specialist certification.</w:t>
            </w:r>
          </w:p>
        </w:tc>
        <w:tc>
          <w:tcPr>
            <w:tcW w:type="dxa" w:w="5040"/>
            <w:tcMar>
              <w:top w:w="70" w:type="dxa"/>
              <w:start w:w="70" w:type="dxa"/>
              <w:bottom w:w="70" w:type="dxa"/>
              <w:end w:w="70" w:type="dxa"/>
            </w:tcMar>
            <w:vAlign w:val="center"/>
          </w:tcPr>
          <w:p>
            <w:r>
              <w:t>Incorrect. A certificate of attendance is not automatically equivalent to a professional certification.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Keep the title if no client has complained.</w:t>
            </w:r>
          </w:p>
        </w:tc>
        <w:tc>
          <w:tcPr>
            <w:tcW w:type="dxa" w:w="5040"/>
            <w:tcMar>
              <w:top w:w="70" w:type="dxa"/>
              <w:start w:w="70" w:type="dxa"/>
              <w:bottom w:w="70" w:type="dxa"/>
              <w:end w:w="70" w:type="dxa"/>
            </w:tcMar>
            <w:vAlign w:val="center"/>
          </w:tcPr>
          <w:p>
            <w:r>
              <w:t>Incorrect. Advertising must be accurate before a complaint occurs.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Use the title only in paid advertisements, not on the website biography.</w:t>
            </w:r>
          </w:p>
        </w:tc>
        <w:tc>
          <w:tcPr>
            <w:tcW w:type="dxa" w:w="5040"/>
            <w:tcMar>
              <w:top w:w="70" w:type="dxa"/>
              <w:start w:w="70" w:type="dxa"/>
              <w:bottom w:w="70" w:type="dxa"/>
              <w:end w:w="70" w:type="dxa"/>
            </w:tcMar>
            <w:vAlign w:val="center"/>
          </w:tcPr>
          <w:p>
            <w:r>
              <w:t>Incorrect. Accuracy requirements apply across professional advertising formats.</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Remove or revise the claim so the website accurately describes the training without implying a credential the LPCC does not actually hold.</w:t>
            </w:r>
          </w:p>
        </w:tc>
        <w:tc>
          <w:tcPr>
            <w:tcW w:type="dxa" w:w="5040"/>
            <w:tcMar>
              <w:top w:w="70" w:type="dxa"/>
              <w:start w:w="70" w:type="dxa"/>
              <w:bottom w:w="70" w:type="dxa"/>
              <w:end w:w="70" w:type="dxa"/>
            </w:tcMar>
            <w:vAlign w:val="center"/>
            <w:shd w:fill="E7F5F4"/>
          </w:tcPr>
          <w:p>
            <w:r>
              <w:t>Correct. Counselors must represent credentials accurately and avoid false, misleading, or deceptive claims about qualifications.</w:t>
            </w:r>
          </w:p>
        </w:tc>
      </w:tr>
    </w:tbl>
    <w:p>
      <w:pPr>
        <w:pStyle w:val="Heading2"/>
      </w:pPr>
      <w:r>
        <w:t>Why the Key Controls</w:t>
      </w:r>
    </w:p>
    <w:p>
      <w:r>
        <w:t>The issue is not whether the counselor learned something useful; it is whether the public claim accurately describes the credential actually held.</w:t>
      </w:r>
    </w:p>
    <w:p>
      <w:pPr>
        <w:pStyle w:val="Heading2"/>
      </w:pPr>
      <w:r>
        <w:t>CTA Exam Strategy</w:t>
      </w:r>
    </w:p>
    <w:p>
      <w:r>
        <w:t>In advertising questions, separate training from certification and competence from credentialing. Use the exact status that can be substantiated.</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Misleading Specialty Credential</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Advertising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and Role Clarification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ADVERTISING-MISLEADING-CREDENTIAL</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C.3.a and C.4.a; California advertising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46 - Controlled Rationale</w:t>
      </w:r>
    </w:p>
    <w:p>
      <w:r>
        <w:rPr>
          <w:b/>
        </w:rPr>
        <w:t>Item ID: LPCC-LE-CUM-B-046</w:t>
      </w:r>
      <w:r/>
    </w:p>
    <w:p>
      <w:r>
        <w:rPr>
          <w:b/>
        </w:rPr>
        <w:t>Stem: A clinic director instructs an LPCC to document psychotherapy sessions that did not occur so the program can meet productivity targets. What should the LPCC do FIRST?</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Follow the order because the director is responsible for agency compliance.</w:t>
            </w:r>
          </w:p>
        </w:tc>
        <w:tc>
          <w:tcPr>
            <w:tcW w:type="dxa" w:w="5040"/>
            <w:tcMar>
              <w:top w:w="70" w:type="dxa"/>
              <w:start w:w="70" w:type="dxa"/>
              <w:bottom w:w="70" w:type="dxa"/>
              <w:end w:w="70" w:type="dxa"/>
            </w:tcMar>
            <w:vAlign w:val="center"/>
          </w:tcPr>
          <w:p>
            <w:r>
              <w:t>Incorrect. Employer authority does not excuse falsification of clinical records or other unlawful/unethical conduct.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Enter the false notes but add a private memo explaining they were required by management.</w:t>
            </w:r>
          </w:p>
        </w:tc>
        <w:tc>
          <w:tcPr>
            <w:tcW w:type="dxa" w:w="5040"/>
            <w:tcMar>
              <w:top w:w="70" w:type="dxa"/>
              <w:start w:w="70" w:type="dxa"/>
              <w:bottom w:w="70" w:type="dxa"/>
              <w:end w:w="70" w:type="dxa"/>
            </w:tcMar>
            <w:vAlign w:val="center"/>
          </w:tcPr>
          <w:p>
            <w:r>
              <w:t>Incorrect. A private memo does not make a knowingly false clinical record truthful.</w:t>
            </w:r>
          </w:p>
        </w:tc>
      </w:tr>
      <w:tr>
        <w:tc>
          <w:tcPr>
            <w:tcW w:type="dxa" w:w="792"/>
            <w:tcMar>
              <w:top w:w="70" w:type="dxa"/>
              <w:start w:w="70" w:type="dxa"/>
              <w:bottom w:w="70" w:type="dxa"/>
              <w:end w:w="70" w:type="dxa"/>
            </w:tcMar>
            <w:vAlign w:val="center"/>
            <w:shd w:fill="E7F5F4"/>
          </w:tcPr>
          <w:p>
            <w:r>
              <w:t>C</w:t>
            </w:r>
          </w:p>
        </w:tc>
        <w:tc>
          <w:tcPr>
            <w:tcW w:type="dxa" w:w="4392"/>
            <w:tcMar>
              <w:top w:w="70" w:type="dxa"/>
              <w:start w:w="70" w:type="dxa"/>
              <w:bottom w:w="70" w:type="dxa"/>
              <w:end w:w="70" w:type="dxa"/>
            </w:tcMar>
            <w:vAlign w:val="center"/>
            <w:shd w:fill="E7F5F4"/>
          </w:tcPr>
          <w:p>
            <w:r>
              <w:t>Refuse to falsify the record, identify the legal and ethical conflict, use appropriate organizational or compliance channels, and protect accurate client documentation.</w:t>
            </w:r>
          </w:p>
        </w:tc>
        <w:tc>
          <w:tcPr>
            <w:tcW w:type="dxa" w:w="5040"/>
            <w:tcMar>
              <w:top w:w="70" w:type="dxa"/>
              <w:start w:w="70" w:type="dxa"/>
              <w:bottom w:w="70" w:type="dxa"/>
              <w:end w:w="70" w:type="dxa"/>
            </w:tcMar>
            <w:vAlign w:val="center"/>
            <w:shd w:fill="E7F5F4"/>
          </w:tcPr>
          <w:p>
            <w:r>
              <w:t>Correct. The LPCC should preserve record integrity, make the conflict known through appropriate channels, and not participate in deceptive documentation.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Delete all existing notes so no productivity comparison can be made.</w:t>
            </w:r>
          </w:p>
        </w:tc>
        <w:tc>
          <w:tcPr>
            <w:tcW w:type="dxa" w:w="5040"/>
            <w:tcMar>
              <w:top w:w="70" w:type="dxa"/>
              <w:start w:w="70" w:type="dxa"/>
              <w:bottom w:w="70" w:type="dxa"/>
              <w:end w:w="70" w:type="dxa"/>
            </w:tcMar>
            <w:vAlign w:val="center"/>
          </w:tcPr>
          <w:p>
            <w:r>
              <w:t>Incorrect. Destroying legitimate records would compound the integrity and legal problems.</w:t>
            </w:r>
          </w:p>
        </w:tc>
      </w:tr>
    </w:tbl>
    <w:p>
      <w:pPr>
        <w:pStyle w:val="Heading2"/>
      </w:pPr>
      <w:r>
        <w:t>Why the Key Controls</w:t>
      </w:r>
    </w:p>
    <w:p>
      <w:r>
        <w:t>Organizational pressure does not change the clinician’s personal professional duties. Record integrity is a direct client-welfare and public-protection responsibility.</w:t>
      </w:r>
    </w:p>
    <w:p>
      <w:pPr>
        <w:pStyle w:val="Heading2"/>
      </w:pPr>
      <w:r>
        <w:t>CTA Exam Strategy</w:t>
      </w:r>
    </w:p>
    <w:p>
      <w:r>
        <w:t>When agency policy conflicts with law or ethics, do not assume hierarchy equals authority. Preserve lawful, accurate practice and escalate appropriately.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Organizational Pressure to Falsify Records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 Organization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WB5-C4 Professional Responsibility and Accountability; WB9-C1 Clinical Documentation Standards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ORG-PRESSURE-FALSIFY-RECORDS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I.2.d; A.1.b; applicable California record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47 - Controlled Rationale</w:t>
      </w:r>
    </w:p>
    <w:p>
      <w:r>
        <w:rPr>
          <w:b/>
        </w:rPr>
        <w:t>Item ID: LPCC-LE-CUM-B-047</w:t>
      </w:r>
      <w:r/>
    </w:p>
    <w:p>
      <w:r>
        <w:rPr>
          <w:b/>
        </w:rPr>
        <w:t>Stem: An LPCC seeks consultation about a difficult case. The consultant does not need the client’s identity to answer the clinical question. What is the BEST information-sharing approach?</w:t>
      </w:r>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Share only information germane to the consultation and protect the client’s identity when it is not necessary for the professional purpose.</w:t>
            </w:r>
          </w:p>
        </w:tc>
        <w:tc>
          <w:tcPr>
            <w:tcW w:type="dxa" w:w="5040"/>
            <w:tcMar>
              <w:top w:w="70" w:type="dxa"/>
              <w:start w:w="70" w:type="dxa"/>
              <w:bottom w:w="70" w:type="dxa"/>
              <w:end w:w="70" w:type="dxa"/>
            </w:tcMar>
            <w:vAlign w:val="center"/>
            <w:shd w:fill="E7F5F4"/>
          </w:tcPr>
          <w:p>
            <w:r>
              <w:t>Correct. Ethical consultation limits information to what is professionally relevant and protects identifying information when disclosure is unnecessary.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Send the entire record because consultants are automatically entitled to all client information.</w:t>
            </w:r>
          </w:p>
        </w:tc>
        <w:tc>
          <w:tcPr>
            <w:tcW w:type="dxa" w:w="5040"/>
            <w:tcMar>
              <w:top w:w="70" w:type="dxa"/>
              <w:start w:w="70" w:type="dxa"/>
              <w:bottom w:w="70" w:type="dxa"/>
              <w:end w:w="70" w:type="dxa"/>
            </w:tcMar>
            <w:vAlign w:val="center"/>
          </w:tcPr>
          <w:p>
            <w:r>
              <w:t>Incorrect. Consultation does not create an automatic need or right to the entire clinical record.</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Post the case anonymously in a large public online forum because the client’s name is omitted.</w:t>
            </w:r>
          </w:p>
        </w:tc>
        <w:tc>
          <w:tcPr>
            <w:tcW w:type="dxa" w:w="5040"/>
            <w:tcMar>
              <w:top w:w="70" w:type="dxa"/>
              <w:start w:w="70" w:type="dxa"/>
              <w:bottom w:w="70" w:type="dxa"/>
              <w:end w:w="70" w:type="dxa"/>
            </w:tcMar>
            <w:vAlign w:val="center"/>
          </w:tcPr>
          <w:p>
            <w:r>
              <w:t>Incorrect. A public forum can create re-identification and confidentiality risks even without the client’s name.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Avoid consultation entirely because discussing any client information with another professional is unethical.</w:t>
            </w:r>
          </w:p>
        </w:tc>
        <w:tc>
          <w:tcPr>
            <w:tcW w:type="dxa" w:w="5040"/>
            <w:tcMar>
              <w:top w:w="70" w:type="dxa"/>
              <w:start w:w="70" w:type="dxa"/>
              <w:bottom w:w="70" w:type="dxa"/>
              <w:end w:w="70" w:type="dxa"/>
            </w:tcMar>
            <w:vAlign w:val="center"/>
          </w:tcPr>
          <w:p>
            <w:r>
              <w:t>Incorrect. Appropriate confidential consultation is an important professional competence and risk-management tool.</w:t>
            </w:r>
          </w:p>
        </w:tc>
      </w:tr>
    </w:tbl>
    <w:p>
      <w:pPr>
        <w:pStyle w:val="Heading2"/>
      </w:pPr>
      <w:r>
        <w:t>Why the Key Controls</w:t>
      </w:r>
    </w:p>
    <w:p>
      <w:r>
        <w:t>Consultation should be purposeful and proportionate. Share what the consultant needs, not everything the counselor has.</w:t>
      </w:r>
    </w:p>
    <w:p>
      <w:pPr>
        <w:pStyle w:val="Heading2"/>
      </w:pPr>
      <w:r>
        <w:t>CTA Exam Strategy</w:t>
      </w:r>
    </w:p>
    <w:p>
      <w:r>
        <w:t>Use the minimum-relevant-information rule in consultation questions, especially when client identity is not necessary.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Privacy in Case Consultation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Consultation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WB3-C4 Consultation and Seeking Professional Assistance; WB8-C1 Confidentiality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CONSULTATION-MINIMUM-NECESSARY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B.7.a-B.7.b.</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48 - Controlled Rationale</w:t>
      </w:r>
    </w:p>
    <w:p>
      <w:r>
        <w:rPr>
          <w:b/>
        </w:rPr>
        <w:t>Item ID: LPCC-LE-CUM-B-048</w:t>
      </w:r>
      <w:r/>
    </w:p>
    <w:p>
      <w:r>
        <w:rPr>
          <w:b/>
        </w:rPr>
        <w:t>Stem: An LPCC decides to increase the session fee for existing private-pay clients beginning next month. What is the BEST practice?</w:t>
      </w:r>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Apply the increase retroactively to sessions already completed.</w:t>
            </w:r>
          </w:p>
        </w:tc>
        <w:tc>
          <w:tcPr>
            <w:tcW w:type="dxa" w:w="5040"/>
            <w:tcMar>
              <w:top w:w="70" w:type="dxa"/>
              <w:start w:w="70" w:type="dxa"/>
              <w:bottom w:w="70" w:type="dxa"/>
              <w:end w:w="70" w:type="dxa"/>
            </w:tcMar>
            <w:vAlign w:val="center"/>
          </w:tcPr>
          <w:p>
            <w:r>
              <w:t>Incorrect. Retroactive fee changes undermine informed financial agreements and can create billing disputes.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Wait until clients receive a larger bill and explain the increase only if they complain.</w:t>
            </w:r>
          </w:p>
        </w:tc>
        <w:tc>
          <w:tcPr>
            <w:tcW w:type="dxa" w:w="5040"/>
            <w:tcMar>
              <w:top w:w="70" w:type="dxa"/>
              <w:start w:w="70" w:type="dxa"/>
              <w:bottom w:w="70" w:type="dxa"/>
              <w:end w:w="70" w:type="dxa"/>
            </w:tcMar>
            <w:vAlign w:val="center"/>
          </w:tcPr>
          <w:p>
            <w:r>
              <w:t>Incorrect. Surprise billing is inconsistent with transparent informed consent and business practices.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Give clients reasonable advance notice, clearly explain the new fee and effective date, and address questions or continuity concerns before the change takes effect.</w:t>
            </w:r>
          </w:p>
        </w:tc>
        <w:tc>
          <w:tcPr>
            <w:tcW w:type="dxa" w:w="5040"/>
            <w:tcMar>
              <w:top w:w="70" w:type="dxa"/>
              <w:start w:w="70" w:type="dxa"/>
              <w:bottom w:w="70" w:type="dxa"/>
              <w:end w:w="70" w:type="dxa"/>
            </w:tcMar>
            <w:vAlign w:val="center"/>
          </w:tcPr>
          <w:p>
            <w:r>
              <w:t>Correct. Fees are material treatment information; advance disclosure supports informed choice and allows clients to plan for continuity or alternatives.</w:t>
            </w:r>
          </w:p>
        </w:tc>
      </w:tr>
      <w:tr>
        <w:tc>
          <w:tcPr>
            <w:tcW w:type="dxa" w:w="792"/>
            <w:tcMar>
              <w:top w:w="70" w:type="dxa"/>
              <w:start w:w="70" w:type="dxa"/>
              <w:bottom w:w="70" w:type="dxa"/>
              <w:end w:w="70" w:type="dxa"/>
            </w:tcMar>
            <w:vAlign w:val="center"/>
            <w:shd w:fill="E7F5F4"/>
          </w:tcPr>
          <w:p>
            <w:r>
              <w:t>D</w:t>
            </w:r>
          </w:p>
        </w:tc>
        <w:tc>
          <w:tcPr>
            <w:tcW w:type="dxa" w:w="4392"/>
            <w:tcMar>
              <w:top w:w="70" w:type="dxa"/>
              <w:start w:w="70" w:type="dxa"/>
              <w:bottom w:w="70" w:type="dxa"/>
              <w:end w:w="70" w:type="dxa"/>
            </w:tcMar>
            <w:vAlign w:val="center"/>
            <w:shd w:fill="E7F5F4"/>
          </w:tcPr>
          <w:p>
            <w:r>
              <w:t>Avoid documenting the new fee because written fee policies create legal obligations.</w:t>
            </w:r>
          </w:p>
        </w:tc>
        <w:tc>
          <w:tcPr>
            <w:tcW w:type="dxa" w:w="5040"/>
            <w:tcMar>
              <w:top w:w="70" w:type="dxa"/>
              <w:start w:w="70" w:type="dxa"/>
              <w:bottom w:w="70" w:type="dxa"/>
              <w:end w:w="70" w:type="dxa"/>
            </w:tcMar>
            <w:vAlign w:val="center"/>
            <w:shd w:fill="E7F5F4"/>
          </w:tcPr>
          <w:p>
            <w:r>
              <w:t>Incorrect. Clear documentation of fee arrangements is a safeguard, not a reason to avoid disclosure.</w:t>
            </w:r>
          </w:p>
        </w:tc>
      </w:tr>
    </w:tbl>
    <w:p>
      <w:pPr>
        <w:pStyle w:val="Heading2"/>
      </w:pPr>
      <w:r>
        <w:t>Why the Key Controls</w:t>
      </w:r>
    </w:p>
    <w:p>
      <w:r>
        <w:t>Financial policies are part of the treatment relationship. Changes should be prospective, transparent, and communicated before they affect the client.</w:t>
      </w:r>
    </w:p>
    <w:p>
      <w:pPr>
        <w:pStyle w:val="Heading2"/>
      </w:pPr>
      <w:r>
        <w:t>CTA Exam Strategy</w:t>
      </w:r>
    </w:p>
    <w:p>
      <w:r>
        <w:t>For fee-change questions, choose advance disclosure and client choice rather than surprise or retroactive billing.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Prospective Fee Increase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Practice-Pol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WB1-C2 Information Required for Informed Decision-Making; WB6-C4 Gifts, Bartering, and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FEE-INCREASE-NOTICE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A.2.b and A.10; California fee-disclosure duties.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49 - Controlled Rationale</w:t>
      </w:r>
    </w:p>
    <w:p>
      <w:r>
        <w:rPr>
          <w:b/>
        </w:rPr>
        <w:t>Item ID: LPCC-LE-CUM-B-049</w:t>
      </w:r>
      <w:r/>
    </w:p>
    <w:p>
      <w:r>
        <w:rPr>
          <w:b/>
        </w:rPr>
        <w:t>Stem: Which preparation BEST reflects an LPCC’s ethical responsibility for client records if the counselor becomes incapacitated, dies, retires, or unexpectedly terminates practice?</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Leave no plan so confidentiality is preserved by default.</w:t>
            </w:r>
          </w:p>
        </w:tc>
        <w:tc>
          <w:tcPr>
            <w:tcW w:type="dxa" w:w="5040"/>
            <w:tcMar>
              <w:top w:w="70" w:type="dxa"/>
              <w:start w:w="70" w:type="dxa"/>
              <w:bottom w:w="70" w:type="dxa"/>
              <w:end w:w="70" w:type="dxa"/>
            </w:tcMar>
            <w:vAlign w:val="center"/>
          </w:tcPr>
          <w:p>
            <w:r>
              <w:t>Incorrect. Lack of planning can make records inaccessible or insecure and can disrupt client continuity.</w:t>
            </w:r>
          </w:p>
        </w:tc>
      </w:tr>
      <w:tr>
        <w:tc>
          <w:tcPr>
            <w:tcW w:type="dxa" w:w="792"/>
            <w:tcMar>
              <w:top w:w="70" w:type="dxa"/>
              <w:start w:w="70" w:type="dxa"/>
              <w:bottom w:w="70" w:type="dxa"/>
              <w:end w:w="70" w:type="dxa"/>
            </w:tcMar>
            <w:vAlign w:val="center"/>
            <w:shd w:fill="E7F5F4"/>
          </w:tcPr>
          <w:p>
            <w:r>
              <w:t>B</w:t>
            </w:r>
          </w:p>
        </w:tc>
        <w:tc>
          <w:tcPr>
            <w:tcW w:type="dxa" w:w="4392"/>
            <w:tcMar>
              <w:top w:w="70" w:type="dxa"/>
              <w:start w:w="70" w:type="dxa"/>
              <w:bottom w:w="70" w:type="dxa"/>
              <w:end w:w="70" w:type="dxa"/>
            </w:tcMar>
            <w:vAlign w:val="center"/>
            <w:shd w:fill="E7F5F4"/>
          </w:tcPr>
          <w:p>
            <w:r>
              <w:t>Tell clients to keep their own copies because the counselor has no responsibility after practice closure.</w:t>
            </w:r>
          </w:p>
        </w:tc>
        <w:tc>
          <w:tcPr>
            <w:tcW w:type="dxa" w:w="5040"/>
            <w:tcMar>
              <w:top w:w="70" w:type="dxa"/>
              <w:start w:w="70" w:type="dxa"/>
              <w:bottom w:w="70" w:type="dxa"/>
              <w:end w:w="70" w:type="dxa"/>
            </w:tcMar>
            <w:vAlign w:val="center"/>
            <w:shd w:fill="E7F5F4"/>
          </w:tcPr>
          <w:p>
            <w:r>
              <w:t>Incorrect. Professional recordkeeping duties do not disappear because the practice closes.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Give passwords to several friends so someone can decide what to do later.</w:t>
            </w:r>
          </w:p>
        </w:tc>
        <w:tc>
          <w:tcPr>
            <w:tcW w:type="dxa" w:w="5040"/>
            <w:tcMar>
              <w:top w:w="70" w:type="dxa"/>
              <w:start w:w="70" w:type="dxa"/>
              <w:bottom w:w="70" w:type="dxa"/>
              <w:end w:w="70" w:type="dxa"/>
            </w:tcMar>
            <w:vAlign w:val="center"/>
          </w:tcPr>
          <w:p>
            <w:r>
              <w:t>Incorrect. Unstructured password sharing creates serious confidentiality and access-control risks.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Maintain a secure continuity plan for transfer or dissemination of records, including an identified records custodian or other appropriate arrangement when needed.</w:t>
            </w:r>
          </w:p>
        </w:tc>
        <w:tc>
          <w:tcPr>
            <w:tcW w:type="dxa" w:w="5040"/>
            <w:tcMar>
              <w:top w:w="70" w:type="dxa"/>
              <w:start w:w="70" w:type="dxa"/>
              <w:bottom w:w="70" w:type="dxa"/>
              <w:end w:w="70" w:type="dxa"/>
            </w:tcMar>
            <w:vAlign w:val="center"/>
          </w:tcPr>
          <w:p>
            <w:r>
              <w:t>Correct. Ethical practice includes planning for secure record continuity and access in the event the counselor can no longer manage the practice.</w:t>
            </w:r>
          </w:p>
        </w:tc>
      </w:tr>
    </w:tbl>
    <w:p>
      <w:pPr>
        <w:pStyle w:val="Heading2"/>
      </w:pPr>
      <w:r>
        <w:t>Why the Key Controls</w:t>
      </w:r>
    </w:p>
    <w:p>
      <w:r>
        <w:t>Practice-closure planning protects both confidentiality and continuity. The time to create a records plan is before an incapacity or emergency occurs.</w:t>
      </w:r>
    </w:p>
    <w:p>
      <w:pPr>
        <w:pStyle w:val="Heading2"/>
      </w:pPr>
      <w:r>
        <w:t>CTA Exam Strategy</w:t>
      </w:r>
    </w:p>
    <w:p>
      <w:r>
        <w:t>When a stem asks about incapacity or death, think records custodian, secure access, continuity, and advance planning.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Records Custodian and Practice Closure Plan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 Practice-Pol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WB9-C4 Record Security, Storage, and Record Destruction; WB3-C6 Professional Roles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RECORDS-CUSTODIAN-PLAN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C.2.h; B.6.i.</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50 - Controlled Rationale</w:t>
      </w:r>
    </w:p>
    <w:p>
      <w:r>
        <w:rPr>
          <w:b/>
        </w:rPr>
        <w:t>Item ID: LPCC-LE-CUM-B-050</w:t>
      </w:r>
      <w:r/>
    </w:p>
    <w:p>
      <w:r>
        <w:rPr>
          <w:b/>
        </w:rPr>
        <w:t>Stem: An LPCC is interviewed on a podcast about coping with grief. Which approach BEST reflects professional ethics?</w:t>
      </w:r>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t>A</w:t>
            </w:r>
          </w:p>
        </w:tc>
        <w:tc>
          <w:tcPr>
            <w:tcW w:type="dxa" w:w="4392"/>
            <w:tcMar>
              <w:top w:w="70" w:type="dxa"/>
              <w:start w:w="70" w:type="dxa"/>
              <w:bottom w:w="70" w:type="dxa"/>
              <w:end w:w="70" w:type="dxa"/>
            </w:tcMar>
            <w:vAlign w:val="center"/>
            <w:shd w:fill="E7F5F4"/>
          </w:tcPr>
          <w:p>
            <w:r>
              <w:t>Give individualized treatment instructions to callers and tell them a counseling relationship has been established.</w:t>
            </w:r>
          </w:p>
        </w:tc>
        <w:tc>
          <w:tcPr>
            <w:tcW w:type="dxa" w:w="5040"/>
            <w:tcMar>
              <w:top w:w="70" w:type="dxa"/>
              <w:start w:w="70" w:type="dxa"/>
              <w:bottom w:w="70" w:type="dxa"/>
              <w:end w:w="70" w:type="dxa"/>
            </w:tcMar>
            <w:vAlign w:val="center"/>
            <w:shd w:fill="E7F5F4"/>
          </w:tcPr>
          <w:p>
            <w:r>
              <w:t>Incorrect. General media education does not ordinarily create an individualized counseling relationship, and the counselor should not blur that boundary.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Use dramatic claims that are likely to attract listeners even if the evidence is weak.</w:t>
            </w:r>
          </w:p>
        </w:tc>
        <w:tc>
          <w:tcPr>
            <w:tcW w:type="dxa" w:w="5040"/>
            <w:tcMar>
              <w:top w:w="70" w:type="dxa"/>
              <w:start w:w="70" w:type="dxa"/>
              <w:bottom w:w="70" w:type="dxa"/>
              <w:end w:w="70" w:type="dxa"/>
            </w:tcMar>
            <w:vAlign w:val="center"/>
          </w:tcPr>
          <w:p>
            <w:r>
              <w:t>Incorrect. Public professional statements should be accurate and grounded in appropriate knowledge rather than sensationalized.</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Present personal opinions as official positions of the counseling profession without clarification.</w:t>
            </w:r>
          </w:p>
        </w:tc>
        <w:tc>
          <w:tcPr>
            <w:tcW w:type="dxa" w:w="5040"/>
            <w:tcMar>
              <w:top w:w="70" w:type="dxa"/>
              <w:start w:w="70" w:type="dxa"/>
              <w:bottom w:w="70" w:type="dxa"/>
              <w:end w:w="70" w:type="dxa"/>
            </w:tcMar>
            <w:vAlign w:val="center"/>
          </w:tcPr>
          <w:p>
            <w:r>
              <w:t>Incorrect. Counselors should clarify when public statements are personal and should not misrepresent them as official professional positions.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Provide general information grounded in appropriate professional literature and ethics, avoid misleading claims, and do not encourage listeners to believe a professional counseling relationship has been established.</w:t>
            </w:r>
          </w:p>
        </w:tc>
        <w:tc>
          <w:tcPr>
            <w:tcW w:type="dxa" w:w="5040"/>
            <w:tcMar>
              <w:top w:w="70" w:type="dxa"/>
              <w:start w:w="70" w:type="dxa"/>
              <w:bottom w:w="70" w:type="dxa"/>
              <w:end w:w="70" w:type="dxa"/>
            </w:tcMar>
            <w:vAlign w:val="center"/>
          </w:tcPr>
          <w:p>
            <w:r>
              <w:t>Correct. Ethical media participation requires accurate, professionally grounded information and clear boundaries so recipients do not infer that counseling has begun.</w:t>
            </w:r>
          </w:p>
        </w:tc>
      </w:tr>
    </w:tbl>
    <w:p>
      <w:pPr>
        <w:pStyle w:val="Heading2"/>
      </w:pPr>
      <w:r>
        <w:t>Why the Key Controls</w:t>
      </w:r>
    </w:p>
    <w:p>
      <w:r>
        <w:t>Public education can be valuable, but it remains professional communication. Accuracy and role clarity still apply outside the therapy room.</w:t>
      </w:r>
    </w:p>
    <w:p>
      <w:pPr>
        <w:pStyle w:val="Heading2"/>
      </w:pPr>
      <w:r>
        <w:t>CTA Exam Strategy</w:t>
      </w:r>
    </w:p>
    <w:p>
      <w:r>
        <w:t>In media questions, look for three controls: evidence-based accuracy, ethical consistency, and no false implication of a counseling relationship.</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Professional Advice in Public Media</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 Public-Comm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WB5-C4 Professional Responsibility and Accountability; WB3-C6 Professional Roles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PUBLIC-MEDIA-ADVICE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current working source), C.6.c and C.8.a.</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POST-ATTEMPT CONTROLLED ANSWER MATERIAL | R7 v1.1 | August 7, 2026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CTA | LPCC California Law &amp; Ethics | R7 | Practice Examination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A9B9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California Law &amp; Ethics Exam Preparation Program - R7 - Practice Examination B</dc:title>
  <dc:subject>Controlled CTA LPCC Law &amp; Ethics Exam Preparation assessment material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