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2423160" cy="1666724"/>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2423160" cy="1666724"/>
                    </a:xfrm>
                    <a:prstGeom prst="rect"/>
                  </pic:spPr>
                </pic:pic>
              </a:graphicData>
            </a:graphic>
          </wp:inline>
        </w:drawing>
      </w:r>
    </w:p>
    <w:p>
      <w:pPr>
        <w:jc w:val="center"/>
      </w:pPr>
      <w:r>
        <w:rPr>
          <w:rFonts w:ascii="Noto Sans" w:hAnsi="Noto Sans"/>
          <w:b/>
          <w:color w:val="159791"/>
          <w:sz w:val="22"/>
        </w:rPr>
        <w:t>LEARNER FINAL READINESS</w:t>
      </w:r>
    </w:p>
    <w:p>
      <w:pPr>
        <w:pStyle w:val="Title"/>
        <w:jc w:val="center"/>
      </w:pPr>
      <w:r>
        <w:t>LPCC California Law &amp; Ethics Exam Preparation</w:t>
      </w:r>
    </w:p>
    <w:p>
      <w:pPr>
        <w:jc w:val="center"/>
      </w:pPr>
      <w:r>
        <w:rPr>
          <w:rFonts w:ascii="Noto Sans" w:hAnsi="Noto Sans"/>
          <w:b/>
          <w:color w:val="1B345D"/>
          <w:sz w:val="22"/>
        </w:rPr>
        <w:t>Program Close &amp; Final Readiness Guide</w:t>
      </w:r>
    </w:p>
    <w:p>
      <w:pPr>
        <w:jc w:val="center"/>
      </w:pPr>
      <w:r>
        <w:rPr>
          <w:rFonts w:ascii="Noto Sans" w:hAnsi="Noto Sans"/>
          <w:b/>
          <w:color w:val="159791"/>
          <w:sz w:val="19"/>
        </w:rPr>
        <w:t>SELF-PACED STUDY | NO CE CREDIT | FINAL PLANNING RESOURCE</w:t>
      </w:r>
    </w:p>
    <w:p>
      <w:pPr>
        <w:jc w:val="center"/>
      </w:pPr>
      <w:r>
        <w:rPr>
          <w:rFonts w:ascii="Noto Sans" w:hAnsi="Noto Sans"/>
          <w:color w:val="5A5A5A"/>
          <w:sz w:val="17"/>
        </w:rPr>
        <w:t>CTA-EP-003 | Version 1.1 | August 7, 2026</w:t>
      </w:r>
    </w:p>
    <w:p>
      <w:pPr>
        <w:jc w:val="center"/>
      </w:pPr>
      <w:r>
        <w:rPr>
          <w:rFonts w:ascii="Noto Sans" w:hAnsi="Noto Sans"/>
          <w:i/>
          <w:color w:val="159791"/>
          <w:sz w:val="19"/>
        </w:rPr>
        <w:t>Teaching Clinicians How to Think.</w:t>
      </w:r>
    </w:p>
    <w:tbl>
      <w:tblPr>
        <w:tblStyle w:val="TableGrid"/>
        <w:tblW w:type="auto" w:w="0"/>
        <w:jc w:val="center"/>
        <w:tblLayout w:type="fixed"/>
        <w:tblLook w:firstColumn="1" w:firstRow="1" w:lastColumn="0" w:lastRow="0" w:noHBand="0" w:noVBand="1" w:val="04A0"/>
      </w:tblPr>
      <w:tblGrid>
        <w:gridCol w:w="10368"/>
      </w:tblGrid>
      <w:tr>
        <w:tc>
          <w:tcPr>
            <w:tcW w:type="dxa" w:w="10080"/>
            <w:tcMar>
              <w:top w:w="80" w:type="dxa"/>
              <w:start w:w="80" w:type="dxa"/>
              <w:bottom w:w="80" w:type="dxa"/>
              <w:end w:w="80" w:type="dxa"/>
            </w:tcMar>
            <w:shd w:fill="E9F7F6"/>
          </w:tcPr>
          <w:p>
            <w:pPr>
              <w:spacing w:after="0"/>
            </w:pPr>
            <w:r/>
            <w:r>
              <w:rPr>
                <w:rFonts w:ascii="Noto Sans" w:hAnsi="Noto Sans"/>
                <w:b/>
                <w:color w:val="1B345D"/>
                <w:sz w:val="19"/>
              </w:rPr>
              <w:t>PURPOSE</w:t>
              <w:br/>
            </w:r>
            <w:r>
              <w:rPr>
                <w:rFonts w:ascii="Noto Sans" w:hAnsi="Noto Sans"/>
                <w:sz w:val="18"/>
              </w:rPr>
              <w:t>Use this final learner resource after your main study cycle to convert performance data into a focused test-day plan. It does not predict passage, determine eligibility, or replace current official examination instructions.</w:t>
            </w:r>
          </w:p>
        </w:tc>
      </w:tr>
    </w:tbl>
    <w:p>
      <w:pPr>
        <w:spacing w:after="0"/>
      </w:pPr>
    </w:p>
    <w:p>
      <w:pPr>
        <w:pStyle w:val="Heading1"/>
      </w:pPr>
      <w:r>
        <w:t>1. Final Readiness Review</w:t>
      </w:r>
    </w:p>
    <w:p>
      <w:pPr>
        <w:pStyle w:val="ListBullet"/>
        <w:spacing w:after="30"/>
        <w:ind w:left="216"/>
      </w:pPr>
      <w:r>
        <w:rPr>
          <w:rFonts w:ascii="Noto Sans" w:hAnsi="Noto Sans"/>
          <w:sz w:val="19"/>
        </w:rPr>
        <w:t>Revisit the final remediation plan from the 100-question Comprehensive Final.</w:t>
      </w:r>
    </w:p>
    <w:p>
      <w:pPr>
        <w:pStyle w:val="ListBullet"/>
        <w:spacing w:after="30"/>
        <w:ind w:left="216"/>
      </w:pPr>
      <w:r>
        <w:rPr>
          <w:rFonts w:ascii="Noto Sans" w:hAnsi="Noto Sans"/>
          <w:sz w:val="19"/>
        </w:rPr>
        <w:t>Prioritize recurring reasoning errors, low-confidence correct answers, and chapters with weak transfer across different scenarios.</w:t>
      </w:r>
    </w:p>
    <w:p>
      <w:pPr>
        <w:pStyle w:val="ListBullet"/>
        <w:spacing w:after="30"/>
        <w:ind w:left="216"/>
      </w:pPr>
      <w:r>
        <w:rPr>
          <w:rFonts w:ascii="Noto Sans" w:hAnsi="Noto Sans"/>
          <w:sz w:val="19"/>
        </w:rPr>
        <w:t>Use the 807-card Study Center and high-yield toolkits for targeted retrieval rather than trying to reread the entire program indiscriminately.</w:t>
      </w:r>
    </w:p>
    <w:p>
      <w:pPr>
        <w:pStyle w:val="ListBullet"/>
        <w:spacing w:after="30"/>
        <w:ind w:left="216"/>
      </w:pPr>
      <w:r>
        <w:rPr>
          <w:rFonts w:ascii="Noto Sans" w:hAnsi="Noto Sans"/>
          <w:sz w:val="19"/>
        </w:rPr>
        <w:t>Complete one final review of numbers, timelines, trigger words, legal decision sequences, ethics decision guides, and recurring exam traps.</w:t>
      </w:r>
    </w:p>
    <w:p>
      <w:pPr>
        <w:pStyle w:val="ListBullet"/>
        <w:spacing w:after="30"/>
        <w:ind w:left="216"/>
      </w:pPr>
      <w:r>
        <w:rPr>
          <w:rFonts w:ascii="Noto Sans" w:hAnsi="Noto Sans"/>
          <w:sz w:val="19"/>
        </w:rPr>
        <w:t>Stop adding new study systems in the final days unless a specific identified gap requires them.</w:t>
      </w:r>
    </w:p>
    <w:p>
      <w:pPr>
        <w:pStyle w:val="Heading1"/>
      </w:pPr>
      <w:r>
        <w:t>2. Current Official-Material Check</w:t>
      </w:r>
    </w:p>
    <w:p>
      <w:pPr>
        <w:pStyle w:val="ListNumber"/>
        <w:spacing w:after="40"/>
      </w:pPr>
      <w:r>
        <w:rPr>
          <w:rFonts w:ascii="Noto Sans" w:hAnsi="Noto Sans"/>
          <w:sz w:val="19"/>
        </w:rPr>
        <w:t>Review the current California BBS LPCC Law and Ethics Examination page.</w:t>
      </w:r>
    </w:p>
    <w:p>
      <w:pPr>
        <w:pStyle w:val="ListNumber"/>
        <w:spacing w:after="40"/>
      </w:pPr>
      <w:r>
        <w:rPr>
          <w:rFonts w:ascii="Noto Sans" w:hAnsi="Noto Sans"/>
          <w:sz w:val="19"/>
        </w:rPr>
        <w:t>Review the current examination candidate handbook and administrator instructions.</w:t>
      </w:r>
    </w:p>
    <w:p>
      <w:pPr>
        <w:pStyle w:val="ListNumber"/>
        <w:spacing w:after="40"/>
      </w:pPr>
      <w:r>
        <w:rPr>
          <w:rFonts w:ascii="Noto Sans" w:hAnsi="Noto Sans"/>
          <w:sz w:val="19"/>
        </w:rPr>
        <w:t>Confirm current identification, scheduling, rescheduling, security, accommodation, and test-center procedures.</w:t>
      </w:r>
    </w:p>
    <w:p>
      <w:pPr>
        <w:pStyle w:val="ListNumber"/>
        <w:spacing w:after="40"/>
      </w:pPr>
      <w:r>
        <w:rPr>
          <w:rFonts w:ascii="Noto Sans" w:hAnsi="Noto Sans"/>
          <w:sz w:val="19"/>
        </w:rPr>
        <w:t>Confirm any current BBS applicant or eligibility instructions that apply to your own status.</w:t>
      </w:r>
    </w:p>
    <w:p>
      <w:pPr>
        <w:pStyle w:val="ListNumber"/>
        <w:spacing w:after="40"/>
      </w:pPr>
      <w:r>
        <w:rPr>
          <w:rFonts w:ascii="Noto Sans" w:hAnsi="Noto Sans"/>
          <w:sz w:val="19"/>
        </w:rPr>
        <w:t>Treat CTA date-bound legal or ethical statements as educational summaries and use current official sources when a later change conflicts.</w:t>
      </w:r>
    </w:p>
    <w:tbl>
      <w:tblPr>
        <w:tblStyle w:val="TableGrid"/>
        <w:tblW w:type="auto" w:w="0"/>
        <w:jc w:val="center"/>
        <w:tblLayout w:type="fixed"/>
        <w:tblLook w:firstColumn="1" w:firstRow="1" w:lastColumn="0" w:lastRow="0" w:noHBand="0" w:noVBand="1" w:val="04A0"/>
      </w:tblPr>
      <w:tblGrid>
        <w:gridCol w:w="10368"/>
      </w:tblGrid>
      <w:tr>
        <w:tc>
          <w:tcPr>
            <w:tcW w:type="dxa" w:w="10080"/>
            <w:tcMar>
              <w:top w:w="80" w:type="dxa"/>
              <w:start w:w="80" w:type="dxa"/>
              <w:bottom w:w="80" w:type="dxa"/>
              <w:end w:w="80" w:type="dxa"/>
            </w:tcMar>
            <w:shd w:fill="FFF3CD"/>
          </w:tcPr>
          <w:p>
            <w:pPr>
              <w:spacing w:after="0"/>
            </w:pPr>
            <w:r>
              <w:t>CTA CURRENTNESS AND UPDATE CONTROL</w:t>
              <w:br/>
              <w:t>This program was released using the current official California and examination sources available on August 7, 2026 and the currently operative 2014 ACA Code of Ethics. CTA will update affected materials when material official sources or ethics standards change. Learners should also review current official materials near their actual examination date.</w:t>
            </w:r>
            <w:r>
              <w:rPr>
                <w:rFonts w:ascii="Noto Sans" w:hAnsi="Noto Sans"/>
                <w:b/>
                <w:color w:val="1B345D"/>
                <w:sz w:val="19"/>
              </w:rPr>
            </w:r>
            <w:r>
              <w:rPr>
                <w:rFonts w:ascii="Noto Sans" w:hAnsi="Noto Sans"/>
                <w:sz w:val="18"/>
              </w:rPr>
            </w:r>
          </w:p>
        </w:tc>
      </w:tr>
    </w:tbl>
    <w:p>
      <w:pPr>
        <w:spacing w:after="0"/>
      </w:pPr>
    </w:p>
    <w:p>
      <w:pPr>
        <w:pStyle w:val="Heading1"/>
      </w:pPr>
      <w:r>
        <w:t>3. How to Interpret Your CTA Scores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096"/>
            <w:vAlign w:val="center"/>
            <w:tcMar>
              <w:top w:w="80" w:type="dxa"/>
              <w:start w:w="80" w:type="dxa"/>
              <w:bottom w:w="80" w:type="dxa"/>
              <w:end w:w="80" w:type="dxa"/>
            </w:tcMar>
            <w:shd w:fill="1B345D"/>
          </w:tcPr>
          <w:p>
            <w:pPr>
              <w:spacing w:after="0" w:before="0"/>
              <w:jc w:val="left"/>
            </w:pPr>
            <w:r>
              <w:rPr>
                <w:rFonts w:ascii="Noto Sans" w:hAnsi="Noto Sans"/>
                <w:b/>
                <w:color w:val="FFFFFF"/>
                <w:sz w:val="18"/>
              </w:rPr>
            </w:r>
            <w:r>
              <w:rPr>
                <w:rFonts w:ascii="Noto Sans" w:hAnsi="Noto Sans"/>
                <w:b/>
                <w:color w:val="FFFFFF"/>
                <w:sz w:val="18"/>
              </w:rPr>
              <w:t>Field</w:t>
            </w:r>
          </w:p>
        </w:tc>
        <w:tc>
          <w:tcPr>
            <w:tcW w:type="dxa" w:w="6912"/>
            <w:vAlign w:val="center"/>
            <w:tcMar>
              <w:top w:w="80" w:type="dxa"/>
              <w:start w:w="80" w:type="dxa"/>
              <w:bottom w:w="80" w:type="dxa"/>
              <w:end w:w="80" w:type="dxa"/>
            </w:tcMar>
            <w:shd w:fill="1B345D"/>
          </w:tcPr>
          <w:p>
            <w:pPr>
              <w:spacing w:after="0" w:before="0"/>
              <w:jc w:val="left"/>
            </w:pPr>
            <w:r>
              <w:rPr>
                <w:rFonts w:ascii="Noto Sans" w:hAnsi="Noto Sans"/>
                <w:b/>
                <w:color w:val="FFFFFF"/>
                <w:sz w:val="18"/>
              </w:rPr>
            </w:r>
            <w:r>
              <w:rPr>
                <w:rFonts w:ascii="Noto Sans" w:hAnsi="Noto Sans"/>
                <w:b/>
                <w:color w:val="FFFFFF"/>
                <w:sz w:val="18"/>
              </w:rPr>
              <w:t>Controlling entry</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80% CTA benchmark</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A study-readiness benchmark only; not an official passing score and not a guarantee.</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70% chapter-test threshold</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A technical internal chapter-test completion/scoring setting where implemented; it does not gate access to other study materials and is not an official examination standard.</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Correct + low confidence</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Treat as a study signal; verify the rule and why the strongest distractor fails.</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Incorrect + high confidence</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High-priority remediation because the reasoning model may be stable but wrong.</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Repeated error category</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Route back to the exact workbook/chapter, source concept, decision guide, and related flashcards.</w:t>
            </w:r>
          </w:p>
        </w:tc>
      </w:tr>
    </w:tbl>
    <w:p>
      <w:pPr>
        <w:pStyle w:val="Heading1"/>
      </w:pPr>
      <w:r>
        <w:t>4. Final 7-Day Planning Template</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936"/>
            <w:vAlign w:val="center"/>
            <w:tcMar>
              <w:top w:w="80" w:type="dxa"/>
              <w:start w:w="80" w:type="dxa"/>
              <w:bottom w:w="80" w:type="dxa"/>
              <w:end w:w="80" w:type="dxa"/>
            </w:tcMar>
            <w:shd w:fill="1B345D"/>
          </w:tcPr>
          <w:p>
            <w:pPr>
              <w:spacing w:after="0" w:before="0"/>
              <w:jc w:val="left"/>
            </w:pPr>
            <w:r>
              <w:rPr>
                <w:rFonts w:ascii="Noto Sans" w:hAnsi="Noto Sans"/>
                <w:b/>
                <w:color w:val="FFFFFF"/>
                <w:sz w:val="17"/>
              </w:rPr>
            </w:r>
            <w:r>
              <w:rPr>
                <w:rFonts w:ascii="Noto Sans" w:hAnsi="Noto Sans"/>
                <w:b/>
                <w:color w:val="FFFFFF"/>
                <w:sz w:val="17"/>
              </w:rPr>
              <w:t>Day</w:t>
            </w:r>
          </w:p>
        </w:tc>
        <w:tc>
          <w:tcPr>
            <w:tcW w:type="dxa" w:w="3096"/>
            <w:vAlign w:val="center"/>
            <w:tcMar>
              <w:top w:w="80" w:type="dxa"/>
              <w:start w:w="80" w:type="dxa"/>
              <w:bottom w:w="80" w:type="dxa"/>
              <w:end w:w="80" w:type="dxa"/>
            </w:tcMar>
            <w:shd w:fill="1B345D"/>
          </w:tcPr>
          <w:p>
            <w:pPr>
              <w:spacing w:after="0" w:before="0"/>
              <w:jc w:val="left"/>
            </w:pPr>
            <w:r>
              <w:rPr>
                <w:rFonts w:ascii="Noto Sans" w:hAnsi="Noto Sans"/>
                <w:b/>
                <w:color w:val="FFFFFF"/>
                <w:sz w:val="17"/>
              </w:rPr>
            </w:r>
            <w:r>
              <w:rPr>
                <w:rFonts w:ascii="Noto Sans" w:hAnsi="Noto Sans"/>
                <w:b/>
                <w:color w:val="FFFFFF"/>
                <w:sz w:val="17"/>
              </w:rPr>
              <w:t>Primary target</w:t>
            </w:r>
          </w:p>
        </w:tc>
        <w:tc>
          <w:tcPr>
            <w:tcW w:type="dxa" w:w="3096"/>
            <w:vAlign w:val="center"/>
            <w:tcMar>
              <w:top w:w="80" w:type="dxa"/>
              <w:start w:w="80" w:type="dxa"/>
              <w:bottom w:w="80" w:type="dxa"/>
              <w:end w:w="80" w:type="dxa"/>
            </w:tcMar>
            <w:shd w:fill="1B345D"/>
          </w:tcPr>
          <w:p>
            <w:pPr>
              <w:spacing w:after="0" w:before="0"/>
              <w:jc w:val="left"/>
            </w:pPr>
            <w:r>
              <w:rPr>
                <w:rFonts w:ascii="Noto Sans" w:hAnsi="Noto Sans"/>
                <w:b/>
                <w:color w:val="FFFFFF"/>
                <w:sz w:val="17"/>
              </w:rPr>
            </w:r>
            <w:r>
              <w:rPr>
                <w:rFonts w:ascii="Noto Sans" w:hAnsi="Noto Sans"/>
                <w:b/>
                <w:color w:val="FFFFFF"/>
                <w:sz w:val="17"/>
              </w:rPr>
              <w:t>Evidence of mastery</w:t>
            </w:r>
          </w:p>
        </w:tc>
        <w:tc>
          <w:tcPr>
            <w:tcW w:type="dxa" w:w="2880"/>
            <w:vAlign w:val="center"/>
            <w:tcMar>
              <w:top w:w="80" w:type="dxa"/>
              <w:start w:w="80" w:type="dxa"/>
              <w:bottom w:w="80" w:type="dxa"/>
              <w:end w:w="80" w:type="dxa"/>
            </w:tcMar>
            <w:shd w:fill="1B345D"/>
          </w:tcPr>
          <w:p>
            <w:pPr>
              <w:spacing w:after="0" w:before="0"/>
              <w:jc w:val="left"/>
            </w:pPr>
            <w:r>
              <w:rPr>
                <w:rFonts w:ascii="Noto Sans" w:hAnsi="Noto Sans"/>
                <w:b/>
                <w:color w:val="FFFFFF"/>
                <w:sz w:val="17"/>
              </w:rPr>
            </w:r>
            <w:r>
              <w:rPr>
                <w:rFonts w:ascii="Noto Sans" w:hAnsi="Noto Sans"/>
                <w:b/>
                <w:color w:val="FFFFFF"/>
                <w:sz w:val="17"/>
              </w:rPr>
              <w:t>Stop rule</w:t>
            </w:r>
          </w:p>
        </w:tc>
      </w:tr>
      <w:tr>
        <w:tc>
          <w:tcPr>
            <w:tcW w:type="dxa" w:w="936"/>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sz w:val="17"/>
              </w:rPr>
              <w:t>7</w:t>
            </w:r>
          </w:p>
        </w:tc>
        <w:tc>
          <w:tcPr>
            <w:tcW w:type="dxa" w:w="3096"/>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____________________</w:t>
            </w:r>
          </w:p>
        </w:tc>
        <w:tc>
          <w:tcPr>
            <w:tcW w:type="dxa" w:w="3096"/>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____________________</w:t>
            </w:r>
          </w:p>
        </w:tc>
        <w:tc>
          <w:tcPr>
            <w:tcW w:type="dxa" w:w="2880"/>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____________________</w:t>
            </w:r>
          </w:p>
        </w:tc>
      </w:tr>
      <w:tr>
        <w:tc>
          <w:tcPr>
            <w:tcW w:type="dxa" w:w="936"/>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sz w:val="17"/>
              </w:rPr>
              <w:t>6</w:t>
            </w:r>
          </w:p>
        </w:tc>
        <w:tc>
          <w:tcPr>
            <w:tcW w:type="dxa" w:w="3096"/>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____________________</w:t>
            </w:r>
          </w:p>
        </w:tc>
        <w:tc>
          <w:tcPr>
            <w:tcW w:type="dxa" w:w="3096"/>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____________________</w:t>
            </w:r>
          </w:p>
        </w:tc>
        <w:tc>
          <w:tcPr>
            <w:tcW w:type="dxa" w:w="2880"/>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____________________</w:t>
            </w:r>
          </w:p>
        </w:tc>
      </w:tr>
      <w:tr>
        <w:tc>
          <w:tcPr>
            <w:tcW w:type="dxa" w:w="936"/>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sz w:val="17"/>
              </w:rPr>
              <w:t>5</w:t>
            </w:r>
          </w:p>
        </w:tc>
        <w:tc>
          <w:tcPr>
            <w:tcW w:type="dxa" w:w="3096"/>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____________________</w:t>
            </w:r>
          </w:p>
        </w:tc>
        <w:tc>
          <w:tcPr>
            <w:tcW w:type="dxa" w:w="3096"/>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____________________</w:t>
            </w:r>
          </w:p>
        </w:tc>
        <w:tc>
          <w:tcPr>
            <w:tcW w:type="dxa" w:w="2880"/>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____________________</w:t>
            </w:r>
          </w:p>
        </w:tc>
      </w:tr>
      <w:tr>
        <w:tc>
          <w:tcPr>
            <w:tcW w:type="dxa" w:w="936"/>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sz w:val="17"/>
              </w:rPr>
              <w:t>4</w:t>
            </w:r>
          </w:p>
        </w:tc>
        <w:tc>
          <w:tcPr>
            <w:tcW w:type="dxa" w:w="3096"/>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____________________</w:t>
            </w:r>
          </w:p>
        </w:tc>
        <w:tc>
          <w:tcPr>
            <w:tcW w:type="dxa" w:w="3096"/>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____________________</w:t>
            </w:r>
          </w:p>
        </w:tc>
        <w:tc>
          <w:tcPr>
            <w:tcW w:type="dxa" w:w="2880"/>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____________________</w:t>
            </w:r>
          </w:p>
        </w:tc>
      </w:tr>
      <w:tr>
        <w:tc>
          <w:tcPr>
            <w:tcW w:type="dxa" w:w="936"/>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sz w:val="17"/>
              </w:rPr>
              <w:t>3</w:t>
            </w:r>
          </w:p>
        </w:tc>
        <w:tc>
          <w:tcPr>
            <w:tcW w:type="dxa" w:w="3096"/>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____________________</w:t>
            </w:r>
          </w:p>
        </w:tc>
        <w:tc>
          <w:tcPr>
            <w:tcW w:type="dxa" w:w="3096"/>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____________________</w:t>
            </w:r>
          </w:p>
        </w:tc>
        <w:tc>
          <w:tcPr>
            <w:tcW w:type="dxa" w:w="2880"/>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____________________</w:t>
            </w:r>
          </w:p>
        </w:tc>
      </w:tr>
      <w:tr>
        <w:tc>
          <w:tcPr>
            <w:tcW w:type="dxa" w:w="936"/>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sz w:val="17"/>
              </w:rPr>
              <w:t>2</w:t>
            </w:r>
          </w:p>
        </w:tc>
        <w:tc>
          <w:tcPr>
            <w:tcW w:type="dxa" w:w="3096"/>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____________________</w:t>
            </w:r>
          </w:p>
        </w:tc>
        <w:tc>
          <w:tcPr>
            <w:tcW w:type="dxa" w:w="3096"/>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____________________</w:t>
            </w:r>
          </w:p>
        </w:tc>
        <w:tc>
          <w:tcPr>
            <w:tcW w:type="dxa" w:w="2880"/>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____________________</w:t>
            </w:r>
          </w:p>
        </w:tc>
      </w:tr>
      <w:tr>
        <w:tc>
          <w:tcPr>
            <w:tcW w:type="dxa" w:w="936"/>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sz w:val="17"/>
              </w:rPr>
              <w:t>1</w:t>
            </w:r>
          </w:p>
        </w:tc>
        <w:tc>
          <w:tcPr>
            <w:tcW w:type="dxa" w:w="3096"/>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____________________</w:t>
            </w:r>
          </w:p>
        </w:tc>
        <w:tc>
          <w:tcPr>
            <w:tcW w:type="dxa" w:w="3096"/>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____________________</w:t>
            </w:r>
          </w:p>
        </w:tc>
        <w:tc>
          <w:tcPr>
            <w:tcW w:type="dxa" w:w="2880"/>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____________________</w:t>
            </w:r>
          </w:p>
        </w:tc>
      </w:tr>
    </w:tbl>
    <w:p>
      <w:pPr>
        <w:pStyle w:val="Heading1"/>
      </w:pPr>
      <w:r>
        <w:t>5. Test-Day Decision Rules</w:t>
      </w:r>
    </w:p>
    <w:p>
      <w:pPr>
        <w:pStyle w:val="ListBullet"/>
        <w:spacing w:after="30"/>
        <w:ind w:left="216"/>
      </w:pPr>
      <w:r>
        <w:rPr>
          <w:rFonts w:ascii="Noto Sans" w:hAnsi="Noto Sans"/>
          <w:sz w:val="19"/>
        </w:rPr>
        <w:t>Read the entire stem and identify the decision point before comparing options.</w:t>
      </w:r>
    </w:p>
    <w:p>
      <w:pPr>
        <w:pStyle w:val="ListBullet"/>
        <w:spacing w:after="30"/>
        <w:ind w:left="216"/>
      </w:pPr>
      <w:r>
        <w:rPr>
          <w:rFonts w:ascii="Noto Sans" w:hAnsi="Noto Sans"/>
          <w:sz w:val="19"/>
        </w:rPr>
        <w:t>Classify the question: legal mandate, ethical responsibility, scope/authority, safety, client welfare, professional role, or sequencing.</w:t>
      </w:r>
    </w:p>
    <w:p>
      <w:pPr>
        <w:pStyle w:val="ListBullet"/>
        <w:spacing w:after="30"/>
        <w:ind w:left="216"/>
      </w:pPr>
      <w:r>
        <w:rPr>
          <w:rFonts w:ascii="Noto Sans" w:hAnsi="Noto Sans"/>
          <w:sz w:val="19"/>
        </w:rPr>
        <w:t>Prioritize immediate safety and controlling law before later administrative or idealized actions.</w:t>
      </w:r>
    </w:p>
    <w:p>
      <w:pPr>
        <w:pStyle w:val="ListBullet"/>
        <w:spacing w:after="30"/>
        <w:ind w:left="216"/>
      </w:pPr>
      <w:r>
        <w:rPr>
          <w:rFonts w:ascii="Noto Sans" w:hAnsi="Noto Sans"/>
          <w:sz w:val="19"/>
        </w:rPr>
        <w:t>Do not let a broad good idea defeat a narrower action that is required FIRST, NEXT, BEST, MOST, INITIAL, or PRIMARY.</w:t>
      </w:r>
    </w:p>
    <w:p>
      <w:pPr>
        <w:pStyle w:val="ListBullet"/>
        <w:spacing w:after="30"/>
        <w:ind w:left="216"/>
      </w:pPr>
      <w:r>
        <w:rPr>
          <w:rFonts w:ascii="Noto Sans" w:hAnsi="Noto Sans"/>
          <w:sz w:val="19"/>
        </w:rPr>
        <w:t>When two options look plausible, identify what fact makes one premature, excessive, unsupported, outside scope, or improperly sequenced.</w:t>
      </w:r>
    </w:p>
    <w:p>
      <w:pPr>
        <w:pStyle w:val="Heading1"/>
      </w:pPr>
      <w:r>
        <w:t>6. Separate NCMHCE Pathway</w:t>
      </w:r>
    </w:p>
    <w:tbl>
      <w:tblPr>
        <w:tblStyle w:val="TableGrid"/>
        <w:tblW w:type="auto" w:w="0"/>
        <w:jc w:val="center"/>
        <w:tblLayout w:type="fixed"/>
        <w:tblLook w:firstColumn="1" w:firstRow="1" w:lastColumn="0" w:lastRow="0" w:noHBand="0" w:noVBand="1" w:val="04A0"/>
      </w:tblPr>
      <w:tblGrid>
        <w:gridCol w:w="10368"/>
      </w:tblGrid>
      <w:tr>
        <w:tc>
          <w:tcPr>
            <w:tcW w:type="dxa" w:w="10080"/>
            <w:tcMar>
              <w:top w:w="80" w:type="dxa"/>
              <w:start w:w="80" w:type="dxa"/>
              <w:bottom w:w="80" w:type="dxa"/>
              <w:end w:w="80" w:type="dxa"/>
            </w:tcMar>
            <w:shd w:fill="E9F7F6"/>
          </w:tcPr>
          <w:p>
            <w:pPr>
              <w:spacing w:after="0"/>
            </w:pPr>
            <w:r/>
            <w:r>
              <w:rPr>
                <w:rFonts w:ascii="Noto Sans" w:hAnsi="Noto Sans"/>
                <w:b/>
                <w:color w:val="1B345D"/>
                <w:sz w:val="19"/>
              </w:rPr>
              <w:t>SEPARATE PRODUCT BOUNDARY</w:t>
              <w:br/>
            </w:r>
            <w:r>
              <w:rPr>
                <w:rFonts w:ascii="Noto Sans" w:hAnsi="Noto Sans"/>
                <w:sz w:val="18"/>
              </w:rPr>
              <w:t>The NCMHCE is not part of this California Law &amp; Ethics Exam Preparation Program. CTA NCMHCE preparation, when available, is a separate profession-specific product with different content, assessment architecture, and study materials.</w:t>
            </w:r>
          </w:p>
        </w:tc>
      </w:tr>
    </w:tbl>
    <w:p>
      <w:pPr>
        <w:spacing w:after="0"/>
      </w:pPr>
    </w:p>
    <w:p>
      <w:pPr>
        <w:pStyle w:val="Heading1"/>
      </w:pPr>
      <w:r>
        <w:t>7. Access, Downloads, and Support Before Expiration</w:t>
      </w:r>
    </w:p>
    <w:p>
      <w:pPr>
        <w:pStyle w:val="ListBullet"/>
        <w:spacing w:after="30"/>
        <w:ind w:left="216"/>
      </w:pPr>
      <w:r>
        <w:rPr>
          <w:rFonts w:ascii="Noto Sans" w:hAnsi="Noto Sans"/>
          <w:sz w:val="19"/>
        </w:rPr>
        <w:t>Your program access lasts six months from enrollment.</w:t>
      </w:r>
    </w:p>
    <w:p>
      <w:pPr>
        <w:pStyle w:val="ListBullet"/>
        <w:spacing w:after="30"/>
        <w:ind w:left="216"/>
      </w:pPr>
      <w:r>
        <w:rPr>
          <w:rFonts w:ascii="Noto Sans" w:hAnsi="Noto Sans"/>
          <w:sz w:val="19"/>
        </w:rPr>
        <w:t>Download the learner-facing workbooks, performance tools, Study Center print formats, and toolkits you want to retain for permitted personal study before access ends.</w:t>
      </w:r>
    </w:p>
    <w:p>
      <w:pPr>
        <w:pStyle w:val="ListBullet"/>
        <w:spacing w:after="30"/>
        <w:ind w:left="216"/>
      </w:pPr>
      <w:r>
        <w:rPr>
          <w:rFonts w:ascii="Noto Sans" w:hAnsi="Noto Sans"/>
          <w:sz w:val="19"/>
        </w:rPr>
        <w:t>Keep controlled answer materials and all CTA files private and for your personal study use only.</w:t>
      </w:r>
    </w:p>
    <w:p>
      <w:pPr>
        <w:pStyle w:val="ListBullet"/>
        <w:spacing w:after="30"/>
        <w:ind w:left="216"/>
      </w:pPr>
      <w:r>
        <w:rPr>
          <w:rFonts w:ascii="Noto Sans" w:hAnsi="Noto Sans"/>
          <w:sz w:val="19"/>
        </w:rPr>
        <w:t>Contact CTA support before expiration if you have a technical access problem. Extensions or account exceptions are controlled by current CTA policy and checkout terms, not promised by this guide.</w:t>
      </w:r>
    </w:p>
    <w:p>
      <w:pPr>
        <w:pStyle w:val="Heading1"/>
      </w:pPr>
      <w:r>
        <w:t>8. My Final Test-Day Plan</w:t>
      </w:r>
    </w:p>
    <w:p>
      <w:r>
        <w:rPr>
          <w:rFonts w:ascii="Noto Sans" w:hAnsi="Noto Sans"/>
          <w:b/>
          <w:sz w:val="19"/>
        </w:rPr>
        <w:t>My three highest-priority review topics:</w:t>
      </w:r>
    </w:p>
    <w:p>
      <w:r>
        <w:t>________________________________________________________________________________</w:t>
      </w:r>
    </w:p>
    <w:p>
      <w:r>
        <w:rPr>
          <w:rFonts w:ascii="Noto Sans" w:hAnsi="Noto Sans"/>
          <w:b/>
          <w:sz w:val="19"/>
        </w:rPr>
        <w:t>My most common reasoning error:</w:t>
      </w:r>
    </w:p>
    <w:p>
      <w:r>
        <w:t>________________________________________________________________________________</w:t>
      </w:r>
    </w:p>
    <w:p>
      <w:r>
        <w:rPr>
          <w:rFonts w:ascii="Noto Sans" w:hAnsi="Noto Sans"/>
          <w:b/>
          <w:sz w:val="19"/>
        </w:rPr>
        <w:t>My plan if I am stuck between two answers:</w:t>
      </w:r>
    </w:p>
    <w:p>
      <w:r>
        <w:t>________________________________________________________________________________</w:t>
      </w:r>
    </w:p>
    <w:p>
      <w:r>
        <w:rPr>
          <w:rFonts w:ascii="Noto Sans" w:hAnsi="Noto Sans"/>
          <w:b/>
          <w:sz w:val="19"/>
        </w:rPr>
        <w:t>What I will review the evening before:</w:t>
      </w:r>
    </w:p>
    <w:p>
      <w:r>
        <w:t>________________________________________________________________________________</w:t>
      </w:r>
    </w:p>
    <w:p>
      <w:r>
        <w:rPr>
          <w:rFonts w:ascii="Noto Sans" w:hAnsi="Noto Sans"/>
          <w:b/>
          <w:sz w:val="19"/>
        </w:rPr>
        <w:t>What I will not study at the last minute:</w:t>
      </w:r>
    </w:p>
    <w:p>
      <w:r>
        <w:t>________________________________________________________________________________</w:t>
      </w:r>
    </w:p>
    <w:p>
      <w:r>
        <w:rPr>
          <w:rFonts w:ascii="Noto Sans" w:hAnsi="Noto Sans"/>
          <w:b/>
          <w:sz w:val="19"/>
        </w:rPr>
        <w:t>My scheduling / ID / arrival checklist:</w:t>
      </w:r>
    </w:p>
    <w:p>
      <w:r>
        <w:t>________________________________________________________________________________</w:t>
      </w:r>
    </w:p>
    <w:tbl>
      <w:tblPr>
        <w:tblStyle w:val="TableGrid"/>
        <w:tblW w:type="auto" w:w="0"/>
        <w:jc w:val="center"/>
        <w:tblLayout w:type="fixed"/>
        <w:tblLook w:firstColumn="1" w:firstRow="1" w:lastColumn="0" w:lastRow="0" w:noHBand="0" w:noVBand="1" w:val="04A0"/>
      </w:tblPr>
      <w:tblGrid>
        <w:gridCol w:w="10368"/>
      </w:tblGrid>
      <w:tr>
        <w:tc>
          <w:tcPr>
            <w:tcW w:type="dxa" w:w="10080"/>
            <w:tcMar>
              <w:top w:w="80" w:type="dxa"/>
              <w:start w:w="80" w:type="dxa"/>
              <w:bottom w:w="80" w:type="dxa"/>
              <w:end w:w="80" w:type="dxa"/>
            </w:tcMar>
            <w:shd w:fill="FFF3CD"/>
          </w:tcPr>
          <w:p>
            <w:pPr>
              <w:spacing w:after="0"/>
            </w:pPr>
            <w:r/>
            <w:r>
              <w:rPr>
                <w:rFonts w:ascii="Noto Sans" w:hAnsi="Noto Sans"/>
                <w:b/>
                <w:color w:val="1B345D"/>
                <w:sz w:val="19"/>
              </w:rPr>
              <w:t>FINAL REMINDER</w:t>
              <w:br/>
            </w:r>
            <w:r>
              <w:rPr>
                <w:rFonts w:ascii="Noto Sans" w:hAnsi="Noto Sans"/>
                <w:sz w:val="18"/>
              </w:rPr>
              <w:t>CTA supports preparation and reasoning practice. It does not determine eligibility, reproduce official examination content, or guarantee passage. Use current official BBS and examination-administrator materials for official rules and procedures.</w:t>
            </w:r>
          </w:p>
        </w:tc>
      </w:tr>
    </w:tbl>
    <w:p>
      <w:pPr>
        <w:spacing w:after="0"/>
      </w:pPr>
    </w:p>
    <w:sectPr w:rsidR="00FC693F" w:rsidRPr="0006063C" w:rsidSect="00034616">
      <w:footerReference w:type="default" r:id="rId9"/>
      <w:head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6E6E6E"/>
        <w:sz w:val="15"/>
      </w:rPr>
      <w:t xml:space="preserve">CTA-EP-003 | Program Close | Final Readiness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w:hAnsi="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Noto Sans" w:hAnsi="Noto Sans"/>
      <w:b/>
      <w:bCs/>
      <w:color w:val="1B345D"/>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1597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1B34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B34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15979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