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2423160" cy="1666724"/>
            <wp:docPr id="1" name="Picture 1"/>
            <wp:cNvGraphicFramePr>
              <a:graphicFrameLocks noChangeAspect="1"/>
            </wp:cNvGraphicFramePr>
            <a:graphic>
              <a:graphicData uri="http://schemas.openxmlformats.org/drawingml/2006/picture">
                <pic:pic>
                  <pic:nvPicPr>
                    <pic:cNvPr id="0" name="Primary Horizontal Logo.png"/>
                    <pic:cNvPicPr/>
                  </pic:nvPicPr>
                  <pic:blipFill>
                    <a:blip r:embed="rId10"/>
                    <a:stretch>
                      <a:fillRect/>
                    </a:stretch>
                  </pic:blipFill>
                  <pic:spPr>
                    <a:xfrm>
                      <a:off x="0" y="0"/>
                      <a:ext cx="2423160" cy="1666724"/>
                    </a:xfrm>
                    <a:prstGeom prst="rect"/>
                  </pic:spPr>
                </pic:pic>
              </a:graphicData>
            </a:graphic>
          </wp:inline>
        </w:drawing>
      </w:r>
    </w:p>
    <w:p>
      <w:pPr>
        <w:jc w:val="center"/>
      </w:pPr>
      <w:r>
        <w:rPr>
          <w:rFonts w:ascii="Noto Sans" w:hAnsi="Noto Sans"/>
          <w:b/>
          <w:color w:val="159791"/>
          <w:sz w:val="22"/>
        </w:rPr>
        <w:t>PUBLIC COPY CONTROL</w:t>
      </w:r>
    </w:p>
    <w:p>
      <w:pPr>
        <w:pStyle w:val="Title"/>
        <w:jc w:val="center"/>
      </w:pPr>
      <w:r>
        <w:t>LPCC California Law &amp; Ethics Exam Preparation</w:t>
      </w:r>
    </w:p>
    <w:p>
      <w:pPr>
        <w:jc w:val="center"/>
      </w:pPr>
      <w:r>
        <w:rPr>
          <w:rFonts w:ascii="Noto Sans" w:hAnsi="Noto Sans"/>
          <w:b/>
          <w:color w:val="1B345D"/>
          <w:sz w:val="22"/>
        </w:rPr>
        <w:t>Website, Catalog, Checkout, FAQ &amp; LMS Copy Package</w:t>
      </w:r>
    </w:p>
    <w:p>
      <w:pPr>
        <w:jc w:val="center"/>
      </w:pPr>
      <w:r>
        <w:rPr>
          <w:rFonts w:ascii="Noto Sans" w:hAnsi="Noto Sans"/>
          <w:b/>
          <w:color w:val="159791"/>
          <w:sz w:val="19"/>
        </w:rPr>
        <w:t>APPROVED PUBLIC AND LMS MASTER COPY</w:t>
      </w:r>
    </w:p>
    <w:p>
      <w:pPr>
        <w:jc w:val="center"/>
      </w:pPr>
      <w:r>
        <w:rPr>
          <w:rFonts w:ascii="Noto Sans" w:hAnsi="Noto Sans"/>
          <w:color w:val="5A5A5A"/>
          <w:sz w:val="17"/>
        </w:rPr>
        <w:t>CTA-EP-003 | Version 1.1 | August 7, 2026</w:t>
      </w:r>
    </w:p>
    <w:p>
      <w:pPr>
        <w:jc w:val="center"/>
      </w:pPr>
      <w:r>
        <w:rPr>
          <w:rFonts w:ascii="Noto Sans" w:hAnsi="Noto Sans"/>
          <w:i/>
          <w:color w:val="159791"/>
          <w:sz w:val="19"/>
        </w:rPr>
        <w:t>Teaching Clinicians How to Think.</w:t>
      </w:r>
    </w:p>
    <w:tbl>
      <w:tblPr>
        <w:tblStyle w:val="TableGrid"/>
        <w:tblW w:type="auto" w:w="0"/>
        <w:jc w:val="center"/>
        <w:tblLayout w:type="fixed"/>
        <w:tblLook w:firstColumn="1" w:firstRow="1" w:lastColumn="0" w:lastRow="0" w:noHBand="0" w:noVBand="1" w:val="04A0"/>
      </w:tblPr>
      <w:tblGrid>
        <w:gridCol w:w="10368"/>
      </w:tblGrid>
      <w:tr>
        <w:tc>
          <w:tcPr>
            <w:tcW w:type="dxa" w:w="10080"/>
            <w:tcMar>
              <w:top w:w="80" w:type="dxa"/>
              <w:start w:w="80" w:type="dxa"/>
              <w:bottom w:w="80" w:type="dxa"/>
              <w:end w:w="80" w:type="dxa"/>
            </w:tcMar>
            <w:shd w:fill="FDECEC"/>
          </w:tcPr>
          <w:p>
            <w:pPr>
              <w:spacing w:after="0"/>
            </w:pPr>
            <w:r>
              <w:t>PUBLICATION AUTHORIZATION</w:t>
              <w:br/>
              <w:t>Approved by the program owner for public posting and LMS implementation under CTA-EP-003. Use the exact title, price, access period, no-CE classification, and access rules contained in this document.</w:t>
            </w:r>
            <w:r>
              <w:rPr>
                <w:rFonts w:ascii="Noto Sans" w:hAnsi="Noto Sans"/>
                <w:b/>
                <w:color w:val="1B345D"/>
                <w:sz w:val="19"/>
              </w:rPr>
            </w:r>
            <w:r>
              <w:rPr>
                <w:rFonts w:ascii="Noto Sans" w:hAnsi="Noto Sans"/>
                <w:sz w:val="18"/>
              </w:rPr>
            </w:r>
          </w:p>
        </w:tc>
      </w:tr>
    </w:tbl>
    <w:p>
      <w:pPr>
        <w:spacing w:after="0"/>
      </w:pPr>
    </w:p>
    <w:p>
      <w:pPr>
        <w:pStyle w:val="Heading1"/>
      </w:pPr>
      <w:r>
        <w:t>1. Canonical Identity</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3096"/>
            <w:vAlign w:val="center"/>
            <w:tcMar>
              <w:top w:w="80" w:type="dxa"/>
              <w:start w:w="80" w:type="dxa"/>
              <w:bottom w:w="80" w:type="dxa"/>
              <w:end w:w="80" w:type="dxa"/>
            </w:tcMar>
            <w:shd w:fill="1B345D"/>
          </w:tcPr>
          <w:p>
            <w:pPr>
              <w:spacing w:after="0" w:before="0"/>
              <w:jc w:val="left"/>
            </w:pPr>
            <w:r>
              <w:rPr>
                <w:rFonts w:ascii="Noto Sans" w:hAnsi="Noto Sans"/>
                <w:b/>
                <w:color w:val="FFFFFF"/>
                <w:sz w:val="18"/>
              </w:rPr>
            </w:r>
            <w:r>
              <w:rPr>
                <w:rFonts w:ascii="Noto Sans" w:hAnsi="Noto Sans"/>
                <w:b/>
                <w:color w:val="FFFFFF"/>
                <w:sz w:val="18"/>
              </w:rPr>
              <w:t>Field</w:t>
            </w:r>
          </w:p>
        </w:tc>
        <w:tc>
          <w:tcPr>
            <w:tcW w:type="dxa" w:w="6912"/>
            <w:vAlign w:val="center"/>
            <w:tcMar>
              <w:top w:w="80" w:type="dxa"/>
              <w:start w:w="80" w:type="dxa"/>
              <w:bottom w:w="80" w:type="dxa"/>
              <w:end w:w="80" w:type="dxa"/>
            </w:tcMar>
            <w:shd w:fill="1B345D"/>
          </w:tcPr>
          <w:p>
            <w:pPr>
              <w:spacing w:after="0" w:before="0"/>
              <w:jc w:val="left"/>
            </w:pPr>
            <w:r>
              <w:rPr>
                <w:rFonts w:ascii="Noto Sans" w:hAnsi="Noto Sans"/>
                <w:b/>
                <w:color w:val="FFFFFF"/>
                <w:sz w:val="18"/>
              </w:rPr>
            </w:r>
            <w:r>
              <w:rPr>
                <w:rFonts w:ascii="Noto Sans" w:hAnsi="Noto Sans"/>
                <w:b/>
                <w:color w:val="FFFFFF"/>
                <w:sz w:val="18"/>
              </w:rPr>
              <w:t>Controlling entry</w:t>
            </w:r>
          </w:p>
        </w:tc>
      </w:tr>
      <w:tr>
        <w:tc>
          <w:tcPr>
            <w:tcW w:type="dxa" w:w="3096"/>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sz w:val="18"/>
              </w:rPr>
              <w:t>Formal/internal name</w:t>
            </w:r>
          </w:p>
        </w:tc>
        <w:tc>
          <w:tcPr>
            <w:tcW w:type="dxa" w:w="6912"/>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val="0"/>
                <w:sz w:val="18"/>
              </w:rPr>
              <w:t>CTA LPCC California Law &amp; Ethics Exam Preparation Program</w:t>
            </w:r>
          </w:p>
        </w:tc>
      </w:tr>
      <w:tr>
        <w:tc>
          <w:tcPr>
            <w:tcW w:type="dxa" w:w="3096"/>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sz w:val="18"/>
              </w:rPr>
              <w:t>Public display title</w:t>
            </w:r>
          </w:p>
        </w:tc>
        <w:tc>
          <w:tcPr>
            <w:tcW w:type="dxa" w:w="6912"/>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val="0"/>
                <w:sz w:val="18"/>
              </w:rPr>
              <w:t>LPCC California Law &amp; Ethics Exam Preparation</w:t>
            </w:r>
          </w:p>
        </w:tc>
      </w:tr>
      <w:tr>
        <w:tc>
          <w:tcPr>
            <w:tcW w:type="dxa" w:w="3096"/>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sz w:val="18"/>
              </w:rPr>
              <w:t>Program code / SKU</w:t>
            </w:r>
          </w:p>
        </w:tc>
        <w:tc>
          <w:tcPr>
            <w:tcW w:type="dxa" w:w="6912"/>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val="0"/>
                <w:sz w:val="18"/>
              </w:rPr>
              <w:t>CTA-EP-003</w:t>
            </w:r>
          </w:p>
        </w:tc>
      </w:tr>
      <w:tr>
        <w:tc>
          <w:tcPr>
            <w:tcW w:type="dxa" w:w="3096"/>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sz w:val="18"/>
              </w:rPr>
              <w:t>Slug</w:t>
            </w:r>
          </w:p>
        </w:tc>
        <w:tc>
          <w:tcPr>
            <w:tcW w:type="dxa" w:w="6912"/>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val="0"/>
                <w:sz w:val="18"/>
              </w:rPr>
              <w:t>lpcc-california-law-ethics-exam-preparation</w:t>
            </w:r>
          </w:p>
        </w:tc>
      </w:tr>
      <w:tr>
        <w:tc>
          <w:tcPr>
            <w:tcW w:type="dxa" w:w="3096"/>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sz w:val="18"/>
              </w:rPr>
              <w:t>Price</w:t>
            </w:r>
          </w:p>
        </w:tc>
        <w:tc>
          <w:tcPr>
            <w:tcW w:type="dxa" w:w="6912"/>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val="0"/>
                <w:sz w:val="18"/>
              </w:rPr>
              <w:t>$199</w:t>
            </w:r>
          </w:p>
        </w:tc>
      </w:tr>
      <w:tr>
        <w:tc>
          <w:tcPr>
            <w:tcW w:type="dxa" w:w="3096"/>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sz w:val="18"/>
              </w:rPr>
              <w:t>Access</w:t>
            </w:r>
          </w:p>
        </w:tc>
        <w:tc>
          <w:tcPr>
            <w:tcW w:type="dxa" w:w="6912"/>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val="0"/>
                <w:sz w:val="18"/>
              </w:rPr>
              <w:t>Six months</w:t>
            </w:r>
          </w:p>
        </w:tc>
      </w:tr>
      <w:tr>
        <w:tc>
          <w:tcPr>
            <w:tcW w:type="dxa" w:w="3096"/>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sz w:val="18"/>
              </w:rPr>
              <w:t>Classification</w:t>
            </w:r>
          </w:p>
        </w:tc>
        <w:tc>
          <w:tcPr>
            <w:tcW w:type="dxa" w:w="6912"/>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val="0"/>
                <w:sz w:val="18"/>
              </w:rPr>
              <w:t>Exam Preparation Program | No CE Credit</w:t>
            </w:r>
          </w:p>
        </w:tc>
      </w:tr>
      <w:tr>
        <w:tc>
          <w:tcPr>
            <w:tcW w:type="dxa" w:w="3096"/>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sz w:val="18"/>
              </w:rPr>
              <w:t>Audience</w:t>
            </w:r>
          </w:p>
        </w:tc>
        <w:tc>
          <w:tcPr>
            <w:tcW w:type="dxa" w:w="6912"/>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val="0"/>
                <w:sz w:val="18"/>
              </w:rPr>
              <w:t>California APCCs and other eligible LPCC applicants</w:t>
            </w:r>
          </w:p>
        </w:tc>
      </w:tr>
      <w:tr>
        <w:tc>
          <w:tcPr>
            <w:tcW w:type="dxa" w:w="3096"/>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sz w:val="18"/>
              </w:rPr>
              <w:t>Examination</w:t>
            </w:r>
          </w:p>
        </w:tc>
        <w:tc>
          <w:tcPr>
            <w:tcW w:type="dxa" w:w="6912"/>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val="0"/>
                <w:sz w:val="18"/>
              </w:rPr>
              <w:t>California LPCC Law and Ethics Examination</w:t>
            </w:r>
          </w:p>
        </w:tc>
      </w:tr>
    </w:tbl>
    <w:p>
      <w:pPr>
        <w:pStyle w:val="Heading1"/>
      </w:pPr>
      <w:r>
        <w:t>2. Website Course Card</w:t>
      </w:r>
    </w:p>
    <w:p>
      <w:r>
        <w:rPr>
          <w:b/>
        </w:rPr>
        <w:t xml:space="preserve">Title: </w:t>
      </w:r>
      <w:r>
        <w:t>LPCC California Law &amp; Ethics Exam Preparation</w:t>
      </w:r>
    </w:p>
    <w:p>
      <w:r>
        <w:rPr>
          <w:b/>
        </w:rPr>
        <w:t xml:space="preserve">Card subtitle: </w:t>
      </w:r>
      <w:r>
        <w:t>Profession-specific California law and ethics preparation for APCCs and eligible LPCC applicants.</w:t>
      </w:r>
    </w:p>
    <w:tbl>
      <w:tblPr>
        <w:tblStyle w:val="TableGrid"/>
        <w:tblW w:type="auto" w:w="0"/>
        <w:jc w:val="center"/>
        <w:tblLayout w:type="fixed"/>
        <w:tblLook w:firstColumn="1" w:firstRow="1" w:lastColumn="0" w:lastRow="0" w:noHBand="0" w:noVBand="1" w:val="04A0"/>
      </w:tblPr>
      <w:tblGrid>
        <w:gridCol w:w="10368"/>
      </w:tblGrid>
      <w:tr>
        <w:tc>
          <w:tcPr>
            <w:tcW w:type="dxa" w:w="10080"/>
            <w:tcMar>
              <w:top w:w="80" w:type="dxa"/>
              <w:start w:w="80" w:type="dxa"/>
              <w:bottom w:w="80" w:type="dxa"/>
              <w:end w:w="80" w:type="dxa"/>
            </w:tcMar>
            <w:shd w:fill="E9F7F6"/>
          </w:tcPr>
          <w:p>
            <w:pPr>
              <w:spacing w:after="0"/>
            </w:pPr>
            <w:r>
              <w:t>APPROVED PUBLIC COPY</w:t>
              <w:br/>
              <w:t>Prepare for the California LPCC Law and Ethics Examination with LPCC/APCC-specific instruction, nine structured workbooks, original practice examinations, detailed rationales, an 807-card Study Center, printable study tools, and targeted remediation. Self-paced access for six months. No CE credit.</w:t>
            </w:r>
            <w:r>
              <w:rPr>
                <w:rFonts w:ascii="Noto Sans" w:hAnsi="Noto Sans"/>
                <w:b/>
                <w:color w:val="1B345D"/>
                <w:sz w:val="19"/>
              </w:rPr>
            </w:r>
            <w:r>
              <w:rPr>
                <w:rFonts w:ascii="Noto Sans" w:hAnsi="Noto Sans"/>
                <w:sz w:val="18"/>
              </w:rPr>
            </w:r>
          </w:p>
        </w:tc>
      </w:tr>
    </w:tbl>
    <w:p>
      <w:pPr>
        <w:spacing w:after="0"/>
      </w:pPr>
    </w:p>
    <w:p>
      <w:pPr>
        <w:pStyle w:val="Heading1"/>
      </w:pPr>
      <w:r>
        <w:t>3. Full Product Description</w:t>
      </w:r>
    </w:p>
    <w:p>
      <w:r>
        <w:t>LPCC California Law &amp; Ethics Exam Preparation is a separate, profession-specific study program for California APCCs and other eligible LPCC applicants. The program combines current California legal requirements, counseling ethical standards, LPCC/APCC professional identity, applied decision-making, and original examination practice.</w:t>
      </w:r>
    </w:p>
    <w:p>
      <w:r>
        <w:t>The completed program is designed to include a required LPCC/APCC license-specific module, nine learner workbooks covering 45 law-and-ethics chapters, answer-hidden assessments, detailed option-by-option rationales, two distinct 50-question practice examinations, one 100-question comprehensive final examination, performance and remediation tools, an interactive and printable 807-card flashcard system, and six high-yield printable study toolkits.</w:t>
      </w:r>
    </w:p>
    <w:p>
      <w:r>
        <w:t>Learners may access and download approved study materials from the beginning of enrollment and study offline. The recommended order is guidance only; the program does not use continuing-education completion locks, a CE evaluation, or a certificate.</w:t>
      </w:r>
    </w:p>
    <w:p>
      <w:pPr>
        <w:pStyle w:val="Heading1"/>
      </w:pPr>
      <w:r>
        <w:t>4. What the Completed Program Includes</w:t>
      </w:r>
    </w:p>
    <w:p>
      <w:pPr>
        <w:pStyle w:val="ListBullet"/>
        <w:spacing w:after="30"/>
        <w:ind w:left="216"/>
      </w:pPr>
      <w:r>
        <w:rPr>
          <w:rFonts w:ascii="Noto Sans" w:hAnsi="Noto Sans"/>
          <w:sz w:val="19"/>
        </w:rPr>
        <w:t>LPCC Practice Act, APCC professional identity, clinical-assessment boundaries, counseling ethics, and California examination-distinction module</w:t>
      </w:r>
    </w:p>
    <w:p>
      <w:pPr>
        <w:pStyle w:val="ListBullet"/>
        <w:spacing w:after="30"/>
        <w:ind w:left="216"/>
      </w:pPr>
      <w:r>
        <w:rPr>
          <w:rFonts w:ascii="Noto Sans" w:hAnsi="Noto Sans"/>
          <w:sz w:val="19"/>
        </w:rPr>
        <w:t>Nine LPCC Candidate Edition workbooks with 45 law-and-ethics chapters</w:t>
      </w:r>
    </w:p>
    <w:p>
      <w:pPr>
        <w:pStyle w:val="ListBullet"/>
        <w:spacing w:after="30"/>
        <w:ind w:left="216"/>
      </w:pPr>
      <w:r>
        <w:rPr>
          <w:rFonts w:ascii="Noto Sans" w:hAnsi="Noto Sans"/>
          <w:sz w:val="19"/>
        </w:rPr>
        <w:t>Answer-hidden chapter assessments with detailed teaching rationales and remediation</w:t>
      </w:r>
    </w:p>
    <w:p>
      <w:pPr>
        <w:pStyle w:val="ListBullet"/>
        <w:spacing w:after="30"/>
        <w:ind w:left="216"/>
      </w:pPr>
      <w:r>
        <w:rPr>
          <w:rFonts w:ascii="Noto Sans" w:hAnsi="Noto Sans"/>
          <w:sz w:val="19"/>
        </w:rPr>
        <w:t>Practice Examination A: 50 original questions</w:t>
      </w:r>
    </w:p>
    <w:p>
      <w:pPr>
        <w:pStyle w:val="ListBullet"/>
        <w:spacing w:after="30"/>
        <w:ind w:left="216"/>
      </w:pPr>
      <w:r>
        <w:rPr>
          <w:rFonts w:ascii="Noto Sans" w:hAnsi="Noto Sans"/>
          <w:sz w:val="19"/>
        </w:rPr>
        <w:t>Practice Examination B: 50 distinct original questions</w:t>
      </w:r>
    </w:p>
    <w:p>
      <w:pPr>
        <w:pStyle w:val="ListBullet"/>
        <w:spacing w:after="30"/>
        <w:ind w:left="216"/>
      </w:pPr>
      <w:r>
        <w:rPr>
          <w:rFonts w:ascii="Noto Sans" w:hAnsi="Noto Sans"/>
          <w:sz w:val="19"/>
        </w:rPr>
        <w:t>Comprehensive Final Examination: 100 original questions</w:t>
      </w:r>
    </w:p>
    <w:p>
      <w:pPr>
        <w:pStyle w:val="ListBullet"/>
        <w:spacing w:after="30"/>
        <w:ind w:left="216"/>
      </w:pPr>
      <w:r>
        <w:rPr>
          <w:rFonts w:ascii="Noto Sans" w:hAnsi="Noto Sans"/>
          <w:sz w:val="19"/>
        </w:rPr>
        <w:t>Performance, confidence-calibration, error-log, and targeted-remediation tools</w:t>
      </w:r>
    </w:p>
    <w:p>
      <w:pPr>
        <w:pStyle w:val="ListBullet"/>
        <w:spacing w:after="30"/>
        <w:ind w:left="216"/>
      </w:pPr>
      <w:r>
        <w:rPr>
          <w:rFonts w:ascii="Noto Sans" w:hAnsi="Noto Sans"/>
          <w:sz w:val="19"/>
        </w:rPr>
        <w:t>807-card LPCC/APCC Study Center plus single-sided and duplex printable flashcards</w:t>
      </w:r>
    </w:p>
    <w:p>
      <w:pPr>
        <w:pStyle w:val="ListBullet"/>
        <w:spacing w:after="30"/>
        <w:ind w:left="216"/>
      </w:pPr>
      <w:r>
        <w:rPr>
          <w:rFonts w:ascii="Noto Sans" w:hAnsi="Noto Sans"/>
          <w:sz w:val="19"/>
        </w:rPr>
        <w:t>Six printable high-yield toolkits, rapid review, readiness map, schedules, and error log</w:t>
      </w:r>
    </w:p>
    <w:p>
      <w:pPr>
        <w:pStyle w:val="ListBullet"/>
        <w:spacing w:after="30"/>
        <w:ind w:left="216"/>
      </w:pPr>
      <w:r>
        <w:rPr>
          <w:rFonts w:ascii="Noto Sans" w:hAnsi="Noto Sans"/>
          <w:sz w:val="19"/>
        </w:rPr>
        <w:t>Six months of self-paced access and personal-study downloads</w:t>
      </w:r>
    </w:p>
    <w:p>
      <w:pPr>
        <w:pStyle w:val="Heading1"/>
      </w:pPr>
      <w:r>
        <w:t>5. Core Coverage</w:t>
      </w:r>
    </w:p>
    <w:p>
      <w:pPr>
        <w:pStyle w:val="ListBullet"/>
        <w:spacing w:after="30"/>
        <w:ind w:left="216"/>
      </w:pPr>
      <w:r>
        <w:rPr>
          <w:rFonts w:ascii="Noto Sans" w:hAnsi="Noto Sans"/>
          <w:sz w:val="19"/>
        </w:rPr>
        <w:t>LPCC and APCC professional identity, statutory scope, competence, status, setting, title, and assessment boundaries</w:t>
      </w:r>
    </w:p>
    <w:p>
      <w:pPr>
        <w:pStyle w:val="ListBullet"/>
        <w:spacing w:after="30"/>
        <w:ind w:left="216"/>
      </w:pPr>
      <w:r>
        <w:rPr>
          <w:rFonts w:ascii="Noto Sans" w:hAnsi="Noto Sans"/>
          <w:sz w:val="19"/>
        </w:rPr>
        <w:t>APCC registration, supervision, employment/volunteer settings, payment limits, advertising, and client disclosures</w:t>
      </w:r>
    </w:p>
    <w:p>
      <w:pPr>
        <w:pStyle w:val="ListBullet"/>
        <w:spacing w:after="30"/>
        <w:ind w:left="216"/>
      </w:pPr>
      <w:r>
        <w:rPr>
          <w:rFonts w:ascii="Noto Sans" w:hAnsi="Noto Sans"/>
          <w:sz w:val="19"/>
        </w:rPr>
        <w:t>Counseling ethics, professional integrity, cultural humility, client welfare, boundaries, and professional responsibility</w:t>
      </w:r>
    </w:p>
    <w:p>
      <w:pPr>
        <w:pStyle w:val="ListBullet"/>
        <w:spacing w:after="30"/>
        <w:ind w:left="216"/>
      </w:pPr>
      <w:r>
        <w:rPr>
          <w:rFonts w:ascii="Noto Sans" w:hAnsi="Noto Sans"/>
          <w:sz w:val="19"/>
        </w:rPr>
        <w:t>Informed consent, fees, policies, minors, families, groups, and required notices</w:t>
      </w:r>
    </w:p>
    <w:p>
      <w:pPr>
        <w:pStyle w:val="ListBullet"/>
        <w:spacing w:after="30"/>
        <w:ind w:left="216"/>
      </w:pPr>
      <w:r>
        <w:rPr>
          <w:rFonts w:ascii="Noto Sans" w:hAnsi="Noto Sans"/>
          <w:sz w:val="19"/>
        </w:rPr>
        <w:t>Confidentiality, privilege, authorization, subpoenas, court requests, privacy, and information sharing</w:t>
      </w:r>
    </w:p>
    <w:p>
      <w:pPr>
        <w:pStyle w:val="ListBullet"/>
        <w:spacing w:after="30"/>
        <w:ind w:left="216"/>
      </w:pPr>
      <w:r>
        <w:rPr>
          <w:rFonts w:ascii="Noto Sans" w:hAnsi="Noto Sans"/>
          <w:sz w:val="19"/>
        </w:rPr>
        <w:t>Child, elder, dependent-adult, danger, crisis, and other reporting or safety responsibilities</w:t>
      </w:r>
    </w:p>
    <w:p>
      <w:pPr>
        <w:pStyle w:val="ListBullet"/>
        <w:spacing w:after="30"/>
        <w:ind w:left="216"/>
      </w:pPr>
      <w:r>
        <w:rPr>
          <w:rFonts w:ascii="Noto Sans" w:hAnsi="Noto Sans"/>
          <w:sz w:val="19"/>
        </w:rPr>
        <w:t>Telehealth, technology, social media, privacy, security, location, jurisdiction, and continuity</w:t>
      </w:r>
    </w:p>
    <w:p>
      <w:pPr>
        <w:pStyle w:val="ListBullet"/>
        <w:spacing w:after="30"/>
        <w:ind w:left="216"/>
      </w:pPr>
      <w:r>
        <w:rPr>
          <w:rFonts w:ascii="Noto Sans" w:hAnsi="Noto Sans"/>
          <w:sz w:val="19"/>
        </w:rPr>
        <w:t>Competence, consultation, supervision, impairment, referral, termination, and accountability</w:t>
      </w:r>
    </w:p>
    <w:p>
      <w:pPr>
        <w:pStyle w:val="ListBullet"/>
        <w:spacing w:after="30"/>
        <w:ind w:left="216"/>
      </w:pPr>
      <w:r>
        <w:rPr>
          <w:rFonts w:ascii="Noto Sans" w:hAnsi="Noto Sans"/>
          <w:sz w:val="19"/>
        </w:rPr>
        <w:t>Boundaries, multiple relationships, conflicts, gifts, fees, exploitation, and sexual misconduct</w:t>
      </w:r>
    </w:p>
    <w:p>
      <w:pPr>
        <w:pStyle w:val="ListBullet"/>
        <w:spacing w:after="30"/>
        <w:ind w:left="216"/>
      </w:pPr>
      <w:r>
        <w:rPr>
          <w:rFonts w:ascii="Noto Sans" w:hAnsi="Noto Sans"/>
          <w:sz w:val="19"/>
        </w:rPr>
        <w:t>Documentation, client access, amendments, retention, security, corrections, technology, and continuity</w:t>
      </w:r>
    </w:p>
    <w:p>
      <w:pPr>
        <w:pStyle w:val="Heading1"/>
      </w:pPr>
      <w:r>
        <w:t>6. Who This Program Is For</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4968"/>
            <w:vAlign w:val="center"/>
            <w:tcMar>
              <w:top w:w="80" w:type="dxa"/>
              <w:start w:w="80" w:type="dxa"/>
              <w:bottom w:w="80" w:type="dxa"/>
              <w:end w:w="80" w:type="dxa"/>
            </w:tcMar>
            <w:shd w:fill="1B345D"/>
          </w:tcPr>
          <w:p>
            <w:pPr>
              <w:spacing w:after="0" w:before="0"/>
              <w:jc w:val="left"/>
            </w:pPr>
            <w:r>
              <w:rPr>
                <w:rFonts w:ascii="Noto Sans" w:hAnsi="Noto Sans"/>
                <w:b/>
                <w:color w:val="FFFFFF"/>
                <w:sz w:val="17"/>
              </w:rPr>
            </w:r>
            <w:r>
              <w:rPr>
                <w:rFonts w:ascii="Noto Sans" w:hAnsi="Noto Sans"/>
                <w:b/>
                <w:color w:val="FFFFFF"/>
                <w:sz w:val="17"/>
              </w:rPr>
              <w:t>Appropriate for</w:t>
            </w:r>
          </w:p>
        </w:tc>
        <w:tc>
          <w:tcPr>
            <w:tcW w:type="dxa" w:w="4968"/>
            <w:vAlign w:val="center"/>
            <w:tcMar>
              <w:top w:w="80" w:type="dxa"/>
              <w:start w:w="80" w:type="dxa"/>
              <w:bottom w:w="80" w:type="dxa"/>
              <w:end w:w="80" w:type="dxa"/>
            </w:tcMar>
            <w:shd w:fill="1B345D"/>
          </w:tcPr>
          <w:p>
            <w:pPr>
              <w:spacing w:after="0" w:before="0"/>
              <w:jc w:val="left"/>
            </w:pPr>
            <w:r>
              <w:rPr>
                <w:rFonts w:ascii="Noto Sans" w:hAnsi="Noto Sans"/>
                <w:b/>
                <w:color w:val="FFFFFF"/>
                <w:sz w:val="17"/>
              </w:rPr>
            </w:r>
            <w:r>
              <w:rPr>
                <w:rFonts w:ascii="Noto Sans" w:hAnsi="Noto Sans"/>
                <w:b/>
                <w:color w:val="FFFFFF"/>
                <w:sz w:val="17"/>
              </w:rPr>
              <w:t>Not designed for</w:t>
            </w:r>
          </w:p>
        </w:tc>
      </w:tr>
      <w:tr>
        <w:tc>
          <w:tcPr>
            <w:tcW w:type="dxa" w:w="4968"/>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California APCCs preparing for the LPCC Law and Ethics Examination</w:t>
            </w:r>
          </w:p>
        </w:tc>
        <w:tc>
          <w:tcPr>
            <w:tcW w:type="dxa" w:w="4968"/>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Candidates preparing for a different license-specific Law and Ethics examination</w:t>
            </w:r>
          </w:p>
        </w:tc>
      </w:tr>
      <w:tr>
        <w:tc>
          <w:tcPr>
            <w:tcW w:type="dxa" w:w="4968"/>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Eligible LPCC applicants who need profession-specific California review</w:t>
            </w:r>
          </w:p>
        </w:tc>
        <w:tc>
          <w:tcPr>
            <w:tcW w:type="dxa" w:w="4968"/>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Candidates seeking NCMHCE preparation</w:t>
            </w:r>
          </w:p>
        </w:tc>
      </w:tr>
      <w:tr>
        <w:tc>
          <w:tcPr>
            <w:tcW w:type="dxa" w:w="4968"/>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Learners who want downloadable, printable, self-paced study materials</w:t>
            </w:r>
          </w:p>
        </w:tc>
        <w:tc>
          <w:tcPr>
            <w:tcW w:type="dxa" w:w="4968"/>
            <w:vAlign w:val="center"/>
            <w:tcMar>
              <w:top w:w="80" w:type="dxa"/>
              <w:start w:w="80" w:type="dxa"/>
              <w:bottom w:w="80" w:type="dxa"/>
              <w:end w:w="80" w:type="dxa"/>
            </w:tcMar>
          </w:tcPr>
          <w:p>
            <w:pPr>
              <w:spacing w:after="0" w:before="0"/>
              <w:jc w:val="left"/>
            </w:pPr>
            <w:r>
              <w:rPr>
                <w:rFonts w:ascii="Noto Sans" w:hAnsi="Noto Sans"/>
                <w:sz w:val="17"/>
              </w:rPr>
            </w:r>
            <w:r>
              <w:rPr>
                <w:rFonts w:ascii="Noto Sans" w:hAnsi="Noto Sans"/>
                <w:b w:val="0"/>
                <w:sz w:val="17"/>
              </w:rPr>
              <w:t>People seeking CE credit or a CE certificate</w:t>
            </w:r>
          </w:p>
        </w:tc>
      </w:tr>
      <w:tr>
        <w:tc>
          <w:tcPr>
            <w:tcW w:type="dxa" w:w="4968"/>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Learners who want original practice and detailed rationales</w:t>
            </w:r>
          </w:p>
        </w:tc>
        <w:tc>
          <w:tcPr>
            <w:tcW w:type="dxa" w:w="4968"/>
            <w:vAlign w:val="center"/>
            <w:tcMar>
              <w:top w:w="80" w:type="dxa"/>
              <w:start w:w="80" w:type="dxa"/>
              <w:bottom w:w="80" w:type="dxa"/>
              <w:end w:w="80" w:type="dxa"/>
            </w:tcMar>
            <w:shd w:fill="F2F4F7"/>
          </w:tcPr>
          <w:p>
            <w:pPr>
              <w:spacing w:after="0" w:before="0"/>
              <w:jc w:val="left"/>
            </w:pPr>
            <w:r>
              <w:rPr>
                <w:rFonts w:ascii="Noto Sans" w:hAnsi="Noto Sans"/>
                <w:sz w:val="17"/>
              </w:rPr>
            </w:r>
            <w:r>
              <w:rPr>
                <w:rFonts w:ascii="Noto Sans" w:hAnsi="Noto Sans"/>
                <w:b w:val="0"/>
                <w:sz w:val="17"/>
              </w:rPr>
              <w:t>Anyone seeking an eligibility decision, legal advice, official questions, or a passage guarantee</w:t>
            </w:r>
          </w:p>
        </w:tc>
      </w:tr>
    </w:tbl>
    <w:p>
      <w:pPr>
        <w:pStyle w:val="Heading1"/>
      </w:pPr>
      <w:r>
        <w:t>7. Checkout Copy</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3096"/>
            <w:vAlign w:val="center"/>
            <w:tcMar>
              <w:top w:w="80" w:type="dxa"/>
              <w:start w:w="80" w:type="dxa"/>
              <w:bottom w:w="80" w:type="dxa"/>
              <w:end w:w="80" w:type="dxa"/>
            </w:tcMar>
            <w:shd w:fill="1B345D"/>
          </w:tcPr>
          <w:p>
            <w:pPr>
              <w:spacing w:after="0" w:before="0"/>
              <w:jc w:val="left"/>
            </w:pPr>
            <w:r>
              <w:rPr>
                <w:rFonts w:ascii="Noto Sans" w:hAnsi="Noto Sans"/>
                <w:b/>
                <w:color w:val="FFFFFF"/>
                <w:sz w:val="18"/>
              </w:rPr>
            </w:r>
            <w:r>
              <w:rPr>
                <w:rFonts w:ascii="Noto Sans" w:hAnsi="Noto Sans"/>
                <w:b/>
                <w:color w:val="FFFFFF"/>
                <w:sz w:val="18"/>
              </w:rPr>
              <w:t>Field</w:t>
            </w:r>
          </w:p>
        </w:tc>
        <w:tc>
          <w:tcPr>
            <w:tcW w:type="dxa" w:w="6912"/>
            <w:vAlign w:val="center"/>
            <w:tcMar>
              <w:top w:w="80" w:type="dxa"/>
              <w:start w:w="80" w:type="dxa"/>
              <w:bottom w:w="80" w:type="dxa"/>
              <w:end w:w="80" w:type="dxa"/>
            </w:tcMar>
            <w:shd w:fill="1B345D"/>
          </w:tcPr>
          <w:p>
            <w:pPr>
              <w:spacing w:after="0" w:before="0"/>
              <w:jc w:val="left"/>
            </w:pPr>
            <w:r>
              <w:rPr>
                <w:rFonts w:ascii="Noto Sans" w:hAnsi="Noto Sans"/>
                <w:b/>
                <w:color w:val="FFFFFF"/>
                <w:sz w:val="18"/>
              </w:rPr>
            </w:r>
            <w:r>
              <w:rPr>
                <w:rFonts w:ascii="Noto Sans" w:hAnsi="Noto Sans"/>
                <w:b/>
                <w:color w:val="FFFFFF"/>
                <w:sz w:val="18"/>
              </w:rPr>
              <w:t>Controlling entry</w:t>
            </w:r>
          </w:p>
        </w:tc>
      </w:tr>
      <w:tr>
        <w:tc>
          <w:tcPr>
            <w:tcW w:type="dxa" w:w="3096"/>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sz w:val="18"/>
              </w:rPr>
              <w:t>Product</w:t>
            </w:r>
          </w:p>
        </w:tc>
        <w:tc>
          <w:tcPr>
            <w:tcW w:type="dxa" w:w="6912"/>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val="0"/>
                <w:sz w:val="18"/>
              </w:rPr>
              <w:t>LPCC California Law &amp; Ethics Exam Preparation</w:t>
            </w:r>
          </w:p>
        </w:tc>
      </w:tr>
      <w:tr>
        <w:tc>
          <w:tcPr>
            <w:tcW w:type="dxa" w:w="3096"/>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sz w:val="18"/>
              </w:rPr>
              <w:t>Price</w:t>
            </w:r>
          </w:p>
        </w:tc>
        <w:tc>
          <w:tcPr>
            <w:tcW w:type="dxa" w:w="6912"/>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val="0"/>
                <w:sz w:val="18"/>
              </w:rPr>
              <w:t>$199</w:t>
            </w:r>
          </w:p>
        </w:tc>
      </w:tr>
      <w:tr>
        <w:tc>
          <w:tcPr>
            <w:tcW w:type="dxa" w:w="3096"/>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sz w:val="18"/>
              </w:rPr>
              <w:t>Access term</w:t>
            </w:r>
          </w:p>
        </w:tc>
        <w:tc>
          <w:tcPr>
            <w:tcW w:type="dxa" w:w="6912"/>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val="0"/>
                <w:sz w:val="18"/>
              </w:rPr>
              <w:t>Six months beginning on the enrollment date</w:t>
            </w:r>
          </w:p>
        </w:tc>
      </w:tr>
      <w:tr>
        <w:tc>
          <w:tcPr>
            <w:tcW w:type="dxa" w:w="3096"/>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sz w:val="18"/>
              </w:rPr>
              <w:t>Delivery</w:t>
            </w:r>
          </w:p>
        </w:tc>
        <w:tc>
          <w:tcPr>
            <w:tcW w:type="dxa" w:w="6912"/>
            <w:vAlign w:val="center"/>
            <w:tcMar>
              <w:top w:w="80" w:type="dxa"/>
              <w:start w:w="80" w:type="dxa"/>
              <w:bottom w:w="80" w:type="dxa"/>
              <w:end w:w="80" w:type="dxa"/>
            </w:tcMar>
            <w:shd w:fill="F2F4F7"/>
          </w:tcPr>
          <w:p>
            <w:pPr>
              <w:spacing w:after="0" w:before="0"/>
              <w:jc w:val="left"/>
            </w:pPr>
            <w:r>
              <w:rPr>
                <w:rFonts w:ascii="Noto Sans" w:hAnsi="Noto Sans"/>
                <w:sz w:val="18"/>
              </w:rPr>
              <w:t>Immediate online access after purchase</w:t>
            </w:r>
            <w:r>
              <w:rPr>
                <w:rFonts w:ascii="Noto Sans" w:hAnsi="Noto Sans"/>
                <w:b w:val="0"/>
                <w:sz w:val="18"/>
              </w:rPr>
            </w:r>
          </w:p>
        </w:tc>
      </w:tr>
      <w:tr>
        <w:tc>
          <w:tcPr>
            <w:tcW w:type="dxa" w:w="3096"/>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sz w:val="18"/>
              </w:rPr>
              <w:t>Downloads</w:t>
            </w:r>
          </w:p>
        </w:tc>
        <w:tc>
          <w:tcPr>
            <w:tcW w:type="dxa" w:w="6912"/>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val="0"/>
                <w:sz w:val="18"/>
              </w:rPr>
              <w:t>Approved learner resources may be downloaded and printed for personal study</w:t>
            </w:r>
          </w:p>
        </w:tc>
      </w:tr>
      <w:tr>
        <w:tc>
          <w:tcPr>
            <w:tcW w:type="dxa" w:w="3096"/>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sz w:val="18"/>
              </w:rPr>
              <w:t>Attempts</w:t>
            </w:r>
          </w:p>
        </w:tc>
        <w:tc>
          <w:tcPr>
            <w:tcW w:type="dxa" w:w="6912"/>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val="0"/>
                <w:sz w:val="18"/>
              </w:rPr>
              <w:t>Unlimited practice attempts; no minimum score controls access</w:t>
            </w:r>
          </w:p>
        </w:tc>
      </w:tr>
      <w:tr>
        <w:tc>
          <w:tcPr>
            <w:tcW w:type="dxa" w:w="3096"/>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sz w:val="18"/>
              </w:rPr>
              <w:t>Readiness benchmark</w:t>
            </w:r>
          </w:p>
        </w:tc>
        <w:tc>
          <w:tcPr>
            <w:tcW w:type="dxa" w:w="6912"/>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val="0"/>
                <w:sz w:val="18"/>
              </w:rPr>
              <w:t>80% may be displayed as a CTA study benchmark only</w:t>
            </w:r>
          </w:p>
        </w:tc>
      </w:tr>
      <w:tr>
        <w:tc>
          <w:tcPr>
            <w:tcW w:type="dxa" w:w="3096"/>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sz w:val="18"/>
              </w:rPr>
              <w:t>CE credit</w:t>
            </w:r>
          </w:p>
        </w:tc>
        <w:tc>
          <w:tcPr>
            <w:tcW w:type="dxa" w:w="6912"/>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val="0"/>
                <w:sz w:val="18"/>
              </w:rPr>
              <w:t>None</w:t>
            </w:r>
          </w:p>
        </w:tc>
      </w:tr>
      <w:tr>
        <w:tc>
          <w:tcPr>
            <w:tcW w:type="dxa" w:w="3096"/>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sz w:val="18"/>
              </w:rPr>
              <w:t>Certificate</w:t>
            </w:r>
          </w:p>
        </w:tc>
        <w:tc>
          <w:tcPr>
            <w:tcW w:type="dxa" w:w="6912"/>
            <w:vAlign w:val="center"/>
            <w:tcMar>
              <w:top w:w="80" w:type="dxa"/>
              <w:start w:w="80" w:type="dxa"/>
              <w:bottom w:w="80" w:type="dxa"/>
              <w:end w:w="80" w:type="dxa"/>
            </w:tcMar>
          </w:tcPr>
          <w:p>
            <w:pPr>
              <w:spacing w:after="0" w:before="0"/>
              <w:jc w:val="left"/>
            </w:pPr>
            <w:r>
              <w:rPr>
                <w:rFonts w:ascii="Noto Sans" w:hAnsi="Noto Sans"/>
                <w:sz w:val="18"/>
              </w:rPr>
            </w:r>
            <w:r>
              <w:rPr>
                <w:rFonts w:ascii="Noto Sans" w:hAnsi="Noto Sans"/>
                <w:b w:val="0"/>
                <w:sz w:val="18"/>
              </w:rPr>
              <w:t>None</w:t>
            </w:r>
          </w:p>
        </w:tc>
      </w:tr>
      <w:tr>
        <w:tc>
          <w:tcPr>
            <w:tcW w:type="dxa" w:w="3096"/>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sz w:val="18"/>
              </w:rPr>
              <w:t>Refund / extension terms</w:t>
            </w:r>
          </w:p>
        </w:tc>
        <w:tc>
          <w:tcPr>
            <w:tcW w:type="dxa" w:w="6912"/>
            <w:vAlign w:val="center"/>
            <w:tcMar>
              <w:top w:w="80" w:type="dxa"/>
              <w:start w:w="80" w:type="dxa"/>
              <w:bottom w:w="80" w:type="dxa"/>
              <w:end w:w="80" w:type="dxa"/>
            </w:tcMar>
            <w:shd w:fill="F2F4F7"/>
          </w:tcPr>
          <w:p>
            <w:pPr>
              <w:spacing w:after="0" w:before="0"/>
              <w:jc w:val="left"/>
            </w:pPr>
            <w:r>
              <w:rPr>
                <w:rFonts w:ascii="Noto Sans" w:hAnsi="Noto Sans"/>
                <w:sz w:val="18"/>
              </w:rPr>
            </w:r>
            <w:r>
              <w:rPr>
                <w:rFonts w:ascii="Noto Sans" w:hAnsi="Noto Sans"/>
                <w:b w:val="0"/>
                <w:sz w:val="18"/>
              </w:rPr>
              <w:t>Use the controlling CTA checkout terms and policy links; do not promise a separate or automatic exception here.</w:t>
            </w:r>
          </w:p>
        </w:tc>
      </w:tr>
    </w:tbl>
    <w:p>
      <w:pPr>
        <w:pStyle w:val="Heading1"/>
      </w:pPr>
      <w:r>
        <w:t>8. Frequently Asked Questions</w:t>
      </w:r>
    </w:p>
    <w:p>
      <w:r>
        <w:rPr>
          <w:b/>
          <w:color w:val="159791"/>
          <w:sz w:val="19"/>
        </w:rPr>
        <w:t>Is this the NCMHCE exam-preparation program?</w:t>
      </w:r>
    </w:p>
    <w:p>
      <w:pPr>
        <w:spacing w:after="60"/>
        <w:ind w:left="72"/>
      </w:pPr>
      <w:r>
        <w:t>No. This product prepares for the California LPCC Law and Ethics Examination. NCMHCE preparation is a separate CTA program and a later licensure-pathway step.</w:t>
      </w:r>
    </w:p>
    <w:p>
      <w:r>
        <w:rPr>
          <w:b/>
          <w:color w:val="159791"/>
          <w:sz w:val="19"/>
        </w:rPr>
        <w:t>Does the program provide continuing education credit?</w:t>
      </w:r>
    </w:p>
    <w:p>
      <w:pPr>
        <w:spacing w:after="60"/>
        <w:ind w:left="72"/>
      </w:pPr>
      <w:r>
        <w:t>No. It is exam preparation only and does not include CE hours, an evaluation, or a certificate.</w:t>
      </w:r>
    </w:p>
    <w:p>
      <w:r>
        <w:rPr>
          <w:b/>
          <w:color w:val="159791"/>
          <w:sz w:val="19"/>
        </w:rPr>
        <w:t>How long do I have access?</w:t>
      </w:r>
    </w:p>
    <w:p>
      <w:pPr>
        <w:spacing w:after="60"/>
        <w:ind w:left="72"/>
      </w:pPr>
      <w:r>
        <w:t>Six months from enrollment.</w:t>
      </w:r>
    </w:p>
    <w:p>
      <w:r>
        <w:rPr>
          <w:b/>
          <w:color w:val="159791"/>
          <w:sz w:val="19"/>
        </w:rPr>
        <w:t>Can I download and print the materials?</w:t>
      </w:r>
    </w:p>
    <w:p>
      <w:pPr>
        <w:spacing w:after="60"/>
        <w:ind w:left="72"/>
      </w:pPr>
      <w:r>
        <w:t>Yes. Approved learner-facing materials may be downloaded and printed for personal study during the access term.</w:t>
      </w:r>
    </w:p>
    <w:p>
      <w:r>
        <w:rPr>
          <w:b/>
          <w:color w:val="159791"/>
          <w:sz w:val="19"/>
        </w:rPr>
        <w:t>Do I have to complete the modules in order?</w:t>
      </w:r>
    </w:p>
    <w:p>
      <w:pPr>
        <w:spacing w:after="60"/>
        <w:ind w:left="72"/>
      </w:pPr>
      <w:r>
        <w:t>No. The program displays a recommended sequence, but learner-facing resources are not locked. You may study in the order that works best for you.</w:t>
      </w:r>
    </w:p>
    <w:p>
      <w:r>
        <w:rPr>
          <w:b/>
          <w:color w:val="159791"/>
          <w:sz w:val="19"/>
        </w:rPr>
        <w:t>When can I see rationales?</w:t>
      </w:r>
    </w:p>
    <w:p>
      <w:pPr>
        <w:spacing w:after="60"/>
        <w:ind w:left="72"/>
      </w:pPr>
      <w:r>
        <w:t>Online quiz feedback appears after submission. Separate downloadable rationale files are available as study resources; learners are strongly encouraged to complete a first attempt before opening them.</w:t>
      </w:r>
    </w:p>
    <w:p>
      <w:r>
        <w:rPr>
          <w:b/>
          <w:color w:val="159791"/>
          <w:sz w:val="19"/>
        </w:rPr>
        <w:t>How many attempts do I receive?</w:t>
      </w:r>
    </w:p>
    <w:p>
      <w:pPr>
        <w:spacing w:after="60"/>
        <w:ind w:left="72"/>
      </w:pPr>
      <w:r>
        <w:t>Unlimited practice attempts during the access term.</w:t>
      </w:r>
    </w:p>
    <w:p>
      <w:r>
        <w:rPr>
          <w:b/>
          <w:color w:val="159791"/>
          <w:sz w:val="19"/>
        </w:rPr>
        <w:t>Is 80% the official passing score?</w:t>
      </w:r>
    </w:p>
    <w:p>
      <w:pPr>
        <w:spacing w:after="60"/>
        <w:ind w:left="72"/>
      </w:pPr>
      <w:r>
        <w:t>No. It is only a CTA study benchmark. Official scoring and passing standards are controlled by the examination program.</w:t>
      </w:r>
    </w:p>
    <w:p>
      <w:r>
        <w:rPr>
          <w:b/>
          <w:color w:val="159791"/>
          <w:sz w:val="19"/>
        </w:rPr>
        <w:t>Are these real or recalled examination questions?</w:t>
      </w:r>
    </w:p>
    <w:p>
      <w:pPr>
        <w:spacing w:after="60"/>
        <w:ind w:left="72"/>
      </w:pPr>
      <w:r>
        <w:t>No. CTA uses original educational questions and does not reproduce live or recalled examination content.</w:t>
      </w:r>
    </w:p>
    <w:p>
      <w:r>
        <w:rPr>
          <w:b/>
          <w:color w:val="159791"/>
          <w:sz w:val="19"/>
        </w:rPr>
        <w:t>Does CTA guarantee I will pass or determine eligibility?</w:t>
      </w:r>
    </w:p>
    <w:p>
      <w:pPr>
        <w:spacing w:after="60"/>
        <w:ind w:left="72"/>
      </w:pPr>
      <w:r>
        <w:t>No. CTA does not determine eligibility or guarantee passage. Use current BBS and examination-administrator materials for official requirements and procedures.</w:t>
      </w:r>
    </w:p>
    <w:p>
      <w:r>
        <w:rPr>
          <w:b/>
          <w:color w:val="159791"/>
          <w:sz w:val="19"/>
        </w:rPr>
        <w:t>Are recordings included?</w:t>
      </w:r>
    </w:p>
    <w:p>
      <w:pPr>
        <w:spacing w:after="60"/>
        <w:ind w:left="72"/>
      </w:pPr>
      <w:r>
        <w:t>No recordings or PowerPoint lessons are required for this program. The program is designed around workbooks, practice, rationales, flashcards, and printable study tools.</w:t>
      </w:r>
    </w:p>
    <w:p>
      <w:pPr>
        <w:pStyle w:val="Heading1"/>
      </w:pPr>
      <w:r>
        <w:t>9. LMS Dashboard and Lesson Copy</w:t>
      </w:r>
    </w:p>
    <w:p>
      <w:r>
        <w:rPr>
          <w:b/>
          <w:color w:val="159791"/>
          <w:sz w:val="19"/>
        </w:rPr>
        <w:t>00 | Start Here</w:t>
      </w:r>
    </w:p>
    <w:p>
      <w:r>
        <w:t>Program identity, no-CE notice, source-currentness notice, access rules, and study instructions.</w:t>
      </w:r>
    </w:p>
    <w:p>
      <w:pPr>
        <w:jc w:val="center"/>
      </w:pPr>
      <w:r>
        <w:rPr>
          <w:i/>
          <w:color w:val="4B73A5"/>
          <w:sz w:val="17"/>
        </w:rPr>
        <w:t>Access: Open from enrollment. Recommended sequence only; no prerequisite lock.</w:t>
      </w:r>
    </w:p>
    <w:p>
      <w:r>
        <w:rPr>
          <w:b/>
          <w:color w:val="159791"/>
          <w:sz w:val="19"/>
        </w:rPr>
        <w:t>01 | LPCC/APCC License-Specific Module</w:t>
      </w:r>
    </w:p>
    <w:p>
      <w:r>
        <w:t>Build the profession-specific foundation: LPCC scope, APCC status, assessment boundaries, advertising, supervision, professional conduct, counseling ethics, and examination distinctions.</w:t>
      </w:r>
    </w:p>
    <w:p>
      <w:pPr>
        <w:jc w:val="center"/>
      </w:pPr>
      <w:r>
        <w:rPr>
          <w:i/>
          <w:color w:val="4B73A5"/>
          <w:sz w:val="17"/>
        </w:rPr>
        <w:t>Access: Open from enrollment. Recommended sequence only; no prerequisite lock.</w:t>
      </w:r>
    </w:p>
    <w:p>
      <w:r>
        <w:rPr>
          <w:b/>
          <w:color w:val="159791"/>
          <w:sz w:val="19"/>
        </w:rPr>
        <w:t>02 | Workbook 1 - Informed Consent, Minors, and Family Involvement</w:t>
      </w:r>
    </w:p>
    <w:p>
      <w:r>
        <w:t>Consent, client identity, fees, policies, minors, families, groups, and required disclosures.</w:t>
      </w:r>
    </w:p>
    <w:p>
      <w:pPr>
        <w:jc w:val="center"/>
      </w:pPr>
      <w:r>
        <w:rPr>
          <w:i/>
          <w:color w:val="4B73A5"/>
          <w:sz w:val="17"/>
        </w:rPr>
        <w:t>Access: Open from enrollment. Recommended sequence only; no prerequisite lock.</w:t>
      </w:r>
    </w:p>
    <w:p>
      <w:r>
        <w:rPr>
          <w:b/>
          <w:color w:val="159791"/>
          <w:sz w:val="19"/>
        </w:rPr>
        <w:t>03 | Workbook 2 - Telehealth Law and Ethics</w:t>
      </w:r>
    </w:p>
    <w:p>
      <w:r>
        <w:t>Consent, identity/location, jurisdiction, privacy/security, crisis planning, technology, and digital professionalism.</w:t>
      </w:r>
    </w:p>
    <w:p>
      <w:pPr>
        <w:jc w:val="center"/>
      </w:pPr>
      <w:r>
        <w:rPr>
          <w:i/>
          <w:color w:val="4B73A5"/>
          <w:sz w:val="17"/>
        </w:rPr>
        <w:t>Access: Open from enrollment. Recommended sequence only; no prerequisite lock.</w:t>
      </w:r>
    </w:p>
    <w:p>
      <w:r>
        <w:rPr>
          <w:b/>
          <w:color w:val="159791"/>
          <w:sz w:val="19"/>
        </w:rPr>
        <w:t>04 | Workbook 3 - Professional Competence</w:t>
      </w:r>
    </w:p>
    <w:p>
      <w:r>
        <w:t>Scope, competence, consultation, supervision, accountability, professional roles, and role clarification.</w:t>
      </w:r>
    </w:p>
    <w:p>
      <w:pPr>
        <w:jc w:val="center"/>
      </w:pPr>
      <w:r>
        <w:rPr>
          <w:i/>
          <w:color w:val="4B73A5"/>
          <w:sz w:val="17"/>
        </w:rPr>
        <w:t>Access: Open from enrollment. Recommended sequence only; no prerequisite lock.</w:t>
      </w:r>
    </w:p>
    <w:p>
      <w:r>
        <w:rPr>
          <w:b/>
          <w:color w:val="159791"/>
          <w:sz w:val="19"/>
        </w:rPr>
        <w:t>05 | Workbook 4 - Professional Impairment</w:t>
      </w:r>
    </w:p>
    <w:p>
      <w:r>
        <w:t>Self-monitoring, colleague impairment, consultation, coverage, remediation, and client protection.</w:t>
      </w:r>
    </w:p>
    <w:p>
      <w:pPr>
        <w:jc w:val="center"/>
      </w:pPr>
      <w:r>
        <w:rPr>
          <w:i/>
          <w:color w:val="4B73A5"/>
          <w:sz w:val="17"/>
        </w:rPr>
        <w:t>Access: Open from enrollment. Recommended sequence only; no prerequisite lock.</w:t>
      </w:r>
    </w:p>
    <w:p>
      <w:r>
        <w:rPr>
          <w:b/>
          <w:color w:val="159791"/>
          <w:sz w:val="19"/>
        </w:rPr>
        <w:t>06 | Workbook 5 - Preventing Harm and Promoting Client Welfare</w:t>
      </w:r>
    </w:p>
    <w:p>
      <w:r>
        <w:t>Mandated duties, safety, crisis response, nonmaleficence, beneficence, and documentation.</w:t>
      </w:r>
    </w:p>
    <w:p>
      <w:pPr>
        <w:jc w:val="center"/>
      </w:pPr>
      <w:r>
        <w:rPr>
          <w:i/>
          <w:color w:val="4B73A5"/>
          <w:sz w:val="17"/>
        </w:rPr>
        <w:t>Access: Open from enrollment. Recommended sequence only; no prerequisite lock.</w:t>
      </w:r>
    </w:p>
    <w:p>
      <w:r>
        <w:rPr>
          <w:b/>
          <w:color w:val="159791"/>
          <w:sz w:val="19"/>
        </w:rPr>
        <w:t>07 | Workbook 6 - Professional Boundaries</w:t>
      </w:r>
    </w:p>
    <w:p>
      <w:r>
        <w:t>Multiple relationships, conflicts, gifts, fees, exploitation, sexual misconduct, and boundary repair.</w:t>
      </w:r>
    </w:p>
    <w:p>
      <w:pPr>
        <w:jc w:val="center"/>
      </w:pPr>
      <w:r>
        <w:rPr>
          <w:i/>
          <w:color w:val="4B73A5"/>
          <w:sz w:val="17"/>
        </w:rPr>
        <w:t>Access: Open from enrollment. Recommended sequence only; no prerequisite lock.</w:t>
      </w:r>
    </w:p>
    <w:p>
      <w:r>
        <w:rPr>
          <w:b/>
          <w:color w:val="159791"/>
          <w:sz w:val="19"/>
        </w:rPr>
        <w:t>08 | Workbook 7 - Cultural Humility and Diverse Populations</w:t>
      </w:r>
    </w:p>
    <w:p>
      <w:r>
        <w:t>Dignity, self-determination, intersectionality, language and disability access, advocacy, and organizational barriers.</w:t>
      </w:r>
    </w:p>
    <w:p>
      <w:pPr>
        <w:jc w:val="center"/>
      </w:pPr>
      <w:r>
        <w:rPr>
          <w:i/>
          <w:color w:val="4B73A5"/>
          <w:sz w:val="17"/>
        </w:rPr>
        <w:t>Access: Open from enrollment. Recommended sequence only; no prerequisite lock.</w:t>
      </w:r>
    </w:p>
    <w:p>
      <w:r>
        <w:rPr>
          <w:b/>
          <w:color w:val="159791"/>
          <w:sz w:val="19"/>
        </w:rPr>
        <w:t>09 | Workbook 8 - Confidentiality and Information Sharing</w:t>
      </w:r>
    </w:p>
    <w:p>
      <w:r>
        <w:t>Confidentiality, privilege, authorization, subpoenas, court requests, privacy, and multi-person services.</w:t>
      </w:r>
    </w:p>
    <w:p>
      <w:pPr>
        <w:jc w:val="center"/>
      </w:pPr>
      <w:r>
        <w:rPr>
          <w:i/>
          <w:color w:val="4B73A5"/>
          <w:sz w:val="17"/>
        </w:rPr>
        <w:t>Access: Open from enrollment. Recommended sequence only; no prerequisite lock.</w:t>
      </w:r>
    </w:p>
    <w:p>
      <w:r>
        <w:rPr>
          <w:b/>
          <w:color w:val="159791"/>
          <w:sz w:val="19"/>
        </w:rPr>
        <w:t>10 | Workbook 9 - Documentation and Records</w:t>
      </w:r>
    </w:p>
    <w:p>
      <w:r>
        <w:t>Record creation, access, amendment, retention, security, technology, and continuity.</w:t>
      </w:r>
    </w:p>
    <w:p>
      <w:pPr>
        <w:jc w:val="center"/>
      </w:pPr>
      <w:r>
        <w:rPr>
          <w:i/>
          <w:color w:val="4B73A5"/>
          <w:sz w:val="17"/>
        </w:rPr>
        <w:t>Access: Open from enrollment. Recommended sequence only; no prerequisite lock.</w:t>
      </w:r>
    </w:p>
    <w:p>
      <w:r>
        <w:rPr>
          <w:b/>
          <w:color w:val="159791"/>
          <w:sz w:val="19"/>
        </w:rPr>
        <w:t>11 | Practice Examination A</w:t>
      </w:r>
    </w:p>
    <w:p>
      <w:r>
        <w:t>Complete the 50-question diagnostic form, then use detailed rationales and the performance worksheet.</w:t>
      </w:r>
    </w:p>
    <w:p>
      <w:pPr>
        <w:jc w:val="center"/>
      </w:pPr>
      <w:r>
        <w:rPr>
          <w:i/>
          <w:color w:val="4B73A5"/>
          <w:sz w:val="17"/>
        </w:rPr>
        <w:t>Access: Open from enrollment. Recommended sequence only; no prerequisite lock.</w:t>
      </w:r>
    </w:p>
    <w:p>
      <w:r>
        <w:rPr>
          <w:b/>
          <w:color w:val="159791"/>
          <w:sz w:val="19"/>
        </w:rPr>
        <w:t>12 | Practice Examination B</w:t>
      </w:r>
    </w:p>
    <w:p>
      <w:r>
        <w:t>Use the distinct transfer form after reviewing Practice A reasoning errors.</w:t>
      </w:r>
    </w:p>
    <w:p>
      <w:pPr>
        <w:jc w:val="center"/>
      </w:pPr>
      <w:r>
        <w:rPr>
          <w:i/>
          <w:color w:val="4B73A5"/>
          <w:sz w:val="17"/>
        </w:rPr>
        <w:t>Access: Open from enrollment. Recommended sequence only; no prerequisite lock.</w:t>
      </w:r>
    </w:p>
    <w:p>
      <w:r>
        <w:rPr>
          <w:b/>
          <w:color w:val="159791"/>
          <w:sz w:val="19"/>
        </w:rPr>
        <w:t>13 | Comprehensive Final Examination</w:t>
      </w:r>
    </w:p>
    <w:p>
      <w:r>
        <w:t>Complete the 100-question cumulative readiness exercise and final remediation plan.</w:t>
      </w:r>
    </w:p>
    <w:p>
      <w:pPr>
        <w:jc w:val="center"/>
      </w:pPr>
      <w:r>
        <w:rPr>
          <w:i/>
          <w:color w:val="4B73A5"/>
          <w:sz w:val="17"/>
        </w:rPr>
        <w:t>Access: Open from enrollment. Recommended sequence only; no prerequisite lock.</w:t>
      </w:r>
    </w:p>
    <w:p>
      <w:r>
        <w:rPr>
          <w:b/>
          <w:color w:val="159791"/>
          <w:sz w:val="19"/>
        </w:rPr>
        <w:t>14 | Study Center</w:t>
      </w:r>
    </w:p>
    <w:p>
      <w:r>
        <w:t>Use the 807-card Study Center, decision guides, numbers/timelines, exam traps, readiness checklist, rapid review, schedules, and error log.</w:t>
      </w:r>
    </w:p>
    <w:p>
      <w:pPr>
        <w:jc w:val="center"/>
      </w:pPr>
      <w:r>
        <w:rPr>
          <w:i/>
          <w:color w:val="4B73A5"/>
          <w:sz w:val="17"/>
        </w:rPr>
        <w:t>Access: Open from enrollment. Recommended sequence only; no prerequisite lock.</w:t>
      </w:r>
    </w:p>
    <w:p>
      <w:r>
        <w:rPr>
          <w:b/>
          <w:color w:val="159791"/>
          <w:sz w:val="19"/>
        </w:rPr>
        <w:t>15 | Program Close</w:t>
      </w:r>
    </w:p>
    <w:p>
      <w:r>
        <w:t>Create the final test-day plan, review current official candidate materials, and distinguish the later NCMHCE pathway.</w:t>
      </w:r>
    </w:p>
    <w:p>
      <w:pPr>
        <w:jc w:val="center"/>
      </w:pPr>
      <w:r>
        <w:rPr>
          <w:i/>
          <w:color w:val="4B73A5"/>
          <w:sz w:val="17"/>
        </w:rPr>
        <w:t>Access: Open from enrollment. Recommended sequence only; no prerequisite lock.</w:t>
      </w:r>
    </w:p>
    <w:p>
      <w:pPr>
        <w:pStyle w:val="Heading1"/>
      </w:pPr>
      <w:r>
        <w:t>10. Enrollment / Receipt Copy</w:t>
      </w:r>
    </w:p>
    <w:tbl>
      <w:tblPr>
        <w:tblStyle w:val="TableGrid"/>
        <w:tblW w:type="auto" w:w="0"/>
        <w:jc w:val="center"/>
        <w:tblLayout w:type="fixed"/>
        <w:tblLook w:firstColumn="1" w:firstRow="1" w:lastColumn="0" w:lastRow="0" w:noHBand="0" w:noVBand="1" w:val="04A0"/>
      </w:tblPr>
      <w:tblGrid>
        <w:gridCol w:w="10368"/>
      </w:tblGrid>
      <w:tr>
        <w:tc>
          <w:tcPr>
            <w:tcW w:type="dxa" w:w="10080"/>
            <w:tcMar>
              <w:top w:w="80" w:type="dxa"/>
              <w:start w:w="80" w:type="dxa"/>
              <w:bottom w:w="80" w:type="dxa"/>
              <w:end w:w="80" w:type="dxa"/>
            </w:tcMar>
            <w:shd w:fill="E9F7F6"/>
          </w:tcPr>
          <w:p>
            <w:pPr>
              <w:spacing w:after="0"/>
            </w:pPr>
            <w:r/>
            <w:r>
              <w:rPr>
                <w:rFonts w:ascii="Noto Sans" w:hAnsi="Noto Sans"/>
                <w:b/>
                <w:color w:val="1B345D"/>
                <w:sz w:val="19"/>
              </w:rPr>
              <w:t>ENROLLMENT CONFIRMATION DRAFT</w:t>
              <w:br/>
            </w:r>
            <w:r>
              <w:rPr>
                <w:rFonts w:ascii="Noto Sans" w:hAnsi="Noto Sans"/>
                <w:sz w:val="18"/>
              </w:rPr>
              <w:t>You are enrolled in the CTA LPCC California Law &amp; Ethics Exam Preparation Program (CTA-EP-003). Your six-month access begins on [START DATE] and ends on [END DATE]. This is an exam-preparation program and provides no continuing education credit or certificate. Sign in to access and download your study materials. Use the recommended sequence as guidance; learner-facing resources are open from enrollment. Keep all materials for personal study and do not share or distribute them.</w:t>
            </w:r>
          </w:p>
        </w:tc>
      </w:tr>
    </w:tbl>
    <w:p>
      <w:pPr>
        <w:spacing w:after="0"/>
      </w:pPr>
    </w:p>
    <w:p>
      <w:pPr>
        <w:pStyle w:val="Heading1"/>
      </w:pPr>
      <w:r>
        <w:t>11. Required Disclaimer</w:t>
      </w:r>
    </w:p>
    <w:tbl>
      <w:tblPr>
        <w:tblStyle w:val="TableGrid"/>
        <w:tblW w:type="auto" w:w="0"/>
        <w:jc w:val="center"/>
        <w:tblLayout w:type="fixed"/>
        <w:tblLook w:firstColumn="1" w:firstRow="1" w:lastColumn="0" w:lastRow="0" w:noHBand="0" w:noVBand="1" w:val="04A0"/>
      </w:tblPr>
      <w:tblGrid>
        <w:gridCol w:w="10368"/>
      </w:tblGrid>
      <w:tr>
        <w:tc>
          <w:tcPr>
            <w:tcW w:type="dxa" w:w="10080"/>
            <w:tcMar>
              <w:top w:w="80" w:type="dxa"/>
              <w:start w:w="80" w:type="dxa"/>
              <w:bottom w:w="80" w:type="dxa"/>
              <w:end w:w="80" w:type="dxa"/>
            </w:tcMar>
            <w:shd w:fill="E9F7F6"/>
          </w:tcPr>
          <w:p>
            <w:pPr>
              <w:spacing w:after="0"/>
            </w:pPr>
            <w:r/>
            <w:r>
              <w:rPr>
                <w:rFonts w:ascii="Noto Sans" w:hAnsi="Noto Sans"/>
                <w:b/>
                <w:color w:val="1B345D"/>
                <w:sz w:val="19"/>
              </w:rPr>
              <w:t>INDEPENDENCE AND NO-GUARANTEE NOTICE</w:t>
              <w:br/>
            </w:r>
            <w:r>
              <w:rPr>
                <w:rFonts w:ascii="Noto Sans" w:hAnsi="Noto Sans"/>
                <w:sz w:val="18"/>
              </w:rPr>
              <w:t>Clinical Training and Supervision Academy is an independent educational provider. CTA is not affiliated with or endorsed by the California Board of Behavioral Sciences, Pearson VUE, NBCC, CCE, ACA, or another licensing or examination organization. This program is not legal advice, does not determine examination or licensure eligibility, does not reproduce live or recalled examination questions, and does not guarantee passage. Requirements and procedures may change; learners should review current official materials.</w:t>
            </w:r>
          </w:p>
        </w:tc>
      </w:tr>
    </w:tbl>
    <w:p>
      <w:pPr>
        <w:spacing w:after="0"/>
      </w:pPr>
    </w:p>
    <w:p>
      <w:pPr>
        <w:pStyle w:val="Heading1"/>
      </w:pPr>
      <w:r>
        <w:t>12. Owner Publication Authorization and Implementation Status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3096"/>
            <w:vAlign w:val="center"/>
            <w:tcMar>
              <w:top w:w="80" w:type="dxa"/>
              <w:start w:w="80" w:type="dxa"/>
              <w:bottom w:w="80" w:type="dxa"/>
              <w:end w:w="80" w:type="dxa"/>
            </w:tcMar>
            <w:shd w:fill="1B345D"/>
          </w:tcPr>
          <w:p>
            <w:r>
              <w:t>Field</w:t>
            </w:r>
          </w:p>
        </w:tc>
        <w:tc>
          <w:tcPr>
            <w:tcW w:type="dxa" w:w="6912"/>
            <w:vAlign w:val="center"/>
            <w:tcMar>
              <w:top w:w="80" w:type="dxa"/>
              <w:start w:w="80" w:type="dxa"/>
              <w:bottom w:w="80" w:type="dxa"/>
              <w:end w:w="80" w:type="dxa"/>
            </w:tcMar>
            <w:shd w:fill="1B345D"/>
          </w:tcPr>
          <w:p>
            <w:r>
              <w:t>Controlling entry</w:t>
            </w:r>
          </w:p>
        </w:tc>
      </w:tr>
      <w:tr>
        <w:tc>
          <w:tcPr>
            <w:tcW w:type="dxa" w:w="3096"/>
            <w:vAlign w:val="center"/>
            <w:tcMar>
              <w:top w:w="80" w:type="dxa"/>
              <w:start w:w="80" w:type="dxa"/>
              <w:bottom w:w="80" w:type="dxa"/>
              <w:end w:w="80" w:type="dxa"/>
            </w:tcMar>
          </w:tcPr>
          <w:p>
            <w:r>
              <w:t>Current package scope documented</w:t>
            </w:r>
          </w:p>
        </w:tc>
        <w:tc>
          <w:tcPr>
            <w:tcW w:type="dxa" w:w="6912"/>
            <w:vAlign w:val="center"/>
            <w:tcMar>
              <w:top w:w="80" w:type="dxa"/>
              <w:start w:w="80" w:type="dxa"/>
              <w:bottom w:w="80" w:type="dxa"/>
              <w:end w:w="80" w:type="dxa"/>
            </w:tcMar>
          </w:tcPr>
          <w:p>
            <w:r>
              <w:t>☒ Yes  ☐ No — see Missing Earlier Binary Checklist</w:t>
            </w:r>
          </w:p>
        </w:tc>
      </w:tr>
      <w:tr>
        <w:tc>
          <w:tcPr>
            <w:tcW w:type="dxa" w:w="3096"/>
            <w:vAlign w:val="center"/>
            <w:tcMar>
              <w:top w:w="80" w:type="dxa"/>
              <w:start w:w="80" w:type="dxa"/>
              <w:bottom w:w="80" w:type="dxa"/>
              <w:end w:w="80" w:type="dxa"/>
            </w:tcMar>
            <w:shd w:fill="F2F4F7"/>
          </w:tcPr>
          <w:p>
            <w:r>
              <w:t>Catalog and public copy synchronized</w:t>
            </w:r>
          </w:p>
        </w:tc>
        <w:tc>
          <w:tcPr>
            <w:tcW w:type="dxa" w:w="6912"/>
            <w:vAlign w:val="center"/>
            <w:tcMar>
              <w:top w:w="80" w:type="dxa"/>
              <w:start w:w="80" w:type="dxa"/>
              <w:bottom w:w="80" w:type="dxa"/>
              <w:end w:w="80" w:type="dxa"/>
            </w:tcMar>
            <w:shd w:fill="F2F4F7"/>
          </w:tcPr>
          <w:p>
            <w:r>
              <w:t>☒ Yes  ☐ No</w:t>
            </w:r>
          </w:p>
        </w:tc>
      </w:tr>
      <w:tr>
        <w:tc>
          <w:tcPr>
            <w:tcW w:type="dxa" w:w="3096"/>
            <w:vAlign w:val="center"/>
            <w:tcMar>
              <w:top w:w="80" w:type="dxa"/>
              <w:start w:w="80" w:type="dxa"/>
              <w:bottom w:w="80" w:type="dxa"/>
              <w:end w:w="80" w:type="dxa"/>
            </w:tcMar>
          </w:tcPr>
          <w:p>
            <w:r>
              <w:t>Checkout fields synchronized</w:t>
            </w:r>
          </w:p>
        </w:tc>
        <w:tc>
          <w:tcPr>
            <w:tcW w:type="dxa" w:w="6912"/>
            <w:vAlign w:val="center"/>
            <w:tcMar>
              <w:top w:w="80" w:type="dxa"/>
              <w:start w:w="80" w:type="dxa"/>
              <w:bottom w:w="80" w:type="dxa"/>
              <w:end w:w="80" w:type="dxa"/>
            </w:tcMar>
          </w:tcPr>
          <w:p>
            <w:r>
              <w:t>☒ Yes  ☐ No</w:t>
            </w:r>
          </w:p>
        </w:tc>
      </w:tr>
      <w:tr>
        <w:tc>
          <w:tcPr>
            <w:tcW w:type="dxa" w:w="3096"/>
            <w:vAlign w:val="center"/>
            <w:tcMar>
              <w:top w:w="80" w:type="dxa"/>
              <w:start w:w="80" w:type="dxa"/>
              <w:bottom w:w="80" w:type="dxa"/>
              <w:end w:w="80" w:type="dxa"/>
            </w:tcMar>
            <w:shd w:fill="F2F4F7"/>
          </w:tcPr>
          <w:p>
            <w:r>
              <w:t>Implementation QA completed</w:t>
            </w:r>
          </w:p>
        </w:tc>
        <w:tc>
          <w:tcPr>
            <w:tcW w:type="dxa" w:w="6912"/>
            <w:vAlign w:val="center"/>
            <w:tcMar>
              <w:top w:w="80" w:type="dxa"/>
              <w:start w:w="80" w:type="dxa"/>
              <w:bottom w:w="80" w:type="dxa"/>
              <w:end w:w="80" w:type="dxa"/>
            </w:tcMar>
            <w:shd w:fill="F2F4F7"/>
          </w:tcPr>
          <w:p>
            <w:r>
              <w:t>☐ Yes  ☒ No — complete after upload and retain evidence</w:t>
            </w:r>
          </w:p>
        </w:tc>
      </w:tr>
      <w:tr>
        <w:tc>
          <w:tcPr>
            <w:tcW w:type="dxa" w:w="3096"/>
            <w:vAlign w:val="center"/>
            <w:tcMar>
              <w:top w:w="80" w:type="dxa"/>
              <w:start w:w="80" w:type="dxa"/>
              <w:bottom w:w="80" w:type="dxa"/>
              <w:end w:w="80" w:type="dxa"/>
            </w:tcMar>
          </w:tcPr>
          <w:p>
            <w:r>
              <w:t>Known critical content defect at owner release</w:t>
            </w:r>
          </w:p>
        </w:tc>
        <w:tc>
          <w:tcPr>
            <w:tcW w:type="dxa" w:w="6912"/>
            <w:vAlign w:val="center"/>
            <w:tcMar>
              <w:top w:w="80" w:type="dxa"/>
              <w:start w:w="80" w:type="dxa"/>
              <w:bottom w:w="80" w:type="dxa"/>
              <w:end w:w="80" w:type="dxa"/>
            </w:tcMar>
          </w:tcPr>
          <w:p>
            <w:r>
              <w:t>☐ Yes  ☒ No</w:t>
            </w:r>
          </w:p>
        </w:tc>
      </w:tr>
      <w:tr>
        <w:tc>
          <w:tcPr>
            <w:tcW w:type="dxa" w:w="3096"/>
            <w:vAlign w:val="center"/>
            <w:tcMar>
              <w:top w:w="80" w:type="dxa"/>
              <w:start w:w="80" w:type="dxa"/>
              <w:bottom w:w="80" w:type="dxa"/>
              <w:end w:w="80" w:type="dxa"/>
            </w:tcMar>
            <w:shd w:fill="F2F4F7"/>
          </w:tcPr>
          <w:p>
            <w:r>
              <w:t>Current-source release baseline documented</w:t>
            </w:r>
          </w:p>
        </w:tc>
        <w:tc>
          <w:tcPr>
            <w:tcW w:type="dxa" w:w="6912"/>
            <w:vAlign w:val="center"/>
            <w:tcMar>
              <w:top w:w="80" w:type="dxa"/>
              <w:start w:w="80" w:type="dxa"/>
              <w:bottom w:w="80" w:type="dxa"/>
              <w:end w:w="80" w:type="dxa"/>
            </w:tcMar>
            <w:shd w:fill="F2F4F7"/>
          </w:tcPr>
          <w:p>
            <w:r>
              <w:t>☒ Yes  ☐ No</w:t>
            </w:r>
          </w:p>
        </w:tc>
      </w:tr>
      <w:tr>
        <w:tc>
          <w:tcPr>
            <w:tcW w:type="dxa" w:w="3096"/>
            <w:vAlign w:val="center"/>
            <w:tcMar>
              <w:top w:w="80" w:type="dxa"/>
              <w:start w:w="80" w:type="dxa"/>
              <w:bottom w:w="80" w:type="dxa"/>
              <w:end w:w="80" w:type="dxa"/>
            </w:tcMar>
          </w:tcPr>
          <w:p>
            <w:r>
              <w:t>Owner approved for public posting</w:t>
            </w:r>
          </w:p>
        </w:tc>
        <w:tc>
          <w:tcPr>
            <w:tcW w:type="dxa" w:w="6912"/>
            <w:vAlign w:val="center"/>
            <w:tcMar>
              <w:top w:w="80" w:type="dxa"/>
              <w:start w:w="80" w:type="dxa"/>
              <w:bottom w:w="80" w:type="dxa"/>
              <w:end w:w="80" w:type="dxa"/>
            </w:tcMar>
          </w:tcPr>
          <w:p>
            <w:r>
              <w:t>☒ Yes  ☐ No</w:t>
            </w:r>
          </w:p>
        </w:tc>
      </w:tr>
      <w:tr>
        <w:tc>
          <w:tcPr>
            <w:tcW w:type="dxa" w:w="3096"/>
            <w:vAlign w:val="center"/>
            <w:tcMar>
              <w:top w:w="80" w:type="dxa"/>
              <w:start w:w="80" w:type="dxa"/>
              <w:bottom w:w="80" w:type="dxa"/>
              <w:end w:w="80" w:type="dxa"/>
            </w:tcMar>
            <w:shd w:fill="F2F4F7"/>
          </w:tcPr>
          <w:p>
            <w:r>
              <w:t>Approved by</w:t>
            </w:r>
          </w:p>
        </w:tc>
        <w:tc>
          <w:tcPr>
            <w:tcW w:type="dxa" w:w="6912"/>
            <w:vAlign w:val="center"/>
            <w:tcMar>
              <w:top w:w="80" w:type="dxa"/>
              <w:start w:w="80" w:type="dxa"/>
              <w:bottom w:w="80" w:type="dxa"/>
              <w:end w:w="80" w:type="dxa"/>
            </w:tcMar>
            <w:shd w:fill="F2F4F7"/>
          </w:tcPr>
          <w:p>
            <w:r>
              <w:t>Candice Fuimaono / CTA</w:t>
            </w:r>
          </w:p>
        </w:tc>
      </w:tr>
      <w:tr>
        <w:tc>
          <w:tcPr>
            <w:tcW w:type="dxa" w:w="3096"/>
            <w:vAlign w:val="center"/>
            <w:tcMar>
              <w:top w:w="80" w:type="dxa"/>
              <w:start w:w="80" w:type="dxa"/>
              <w:bottom w:w="80" w:type="dxa"/>
              <w:end w:w="80" w:type="dxa"/>
            </w:tcMar>
          </w:tcPr>
          <w:p>
            <w:r>
              <w:t>Date</w:t>
            </w:r>
          </w:p>
        </w:tc>
        <w:tc>
          <w:tcPr>
            <w:tcW w:type="dxa" w:w="6912"/>
            <w:vAlign w:val="center"/>
            <w:tcMar>
              <w:top w:w="80" w:type="dxa"/>
              <w:start w:w="80" w:type="dxa"/>
              <w:bottom w:w="80" w:type="dxa"/>
              <w:end w:w="80" w:type="dxa"/>
            </w:tcMar>
          </w:tcPr>
          <w:p>
            <w:r>
              <w:t>August 7, 2026</w:t>
            </w:r>
          </w:p>
        </w:tc>
      </w:tr>
    </w:tbl>
    <w:sectPr w:rsidR="00FC693F" w:rsidRPr="0006063C" w:rsidSect="00034616">
      <w:footerReference w:type="default" r:id="rId9"/>
      <w:headerReference w:type="default" r:id="rId11"/>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6E6E6E"/>
        <w:sz w:val="15"/>
      </w:rPr>
      <w:t xml:space="preserve">CTA-EP-003 | Public and LMS Copy Control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Noto Sans" w:hAnsi="Not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Noto Sans" w:hAnsi="Noto Sans"/>
      <w:b/>
      <w:bCs/>
      <w:color w:val="1B345D"/>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b/>
      <w:bCs/>
      <w:color w:val="1597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b/>
      <w:bCs/>
      <w:color w:val="1B34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b/>
      <w:color w:val="1B34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i/>
      <w:iCs/>
      <w:color w:val="15979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