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286000" cy="157238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rimary Horizontal 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7238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  <w:jc w:val="center"/>
      </w:pPr>
      <w:r>
        <w:t>License-Specific Module - 25 Flashcards &amp; Remediation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9F7F6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8"/>
              </w:rPr>
              <w:t>Learner study tool. These 25 cards supplement the programwide 807-card Study Center and focus only on LPCC/APCC profession-specific rules.</w:t>
            </w:r>
          </w:p>
        </w:tc>
      </w:tr>
    </w:tbl>
    <w:p>
      <w:pPr>
        <w:pStyle w:val="Heading2"/>
      </w:pPr>
      <w:r>
        <w:t>FC-LS-001 | Authority hierarchy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Authority hierarchy?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When sources conflict, controlling California law and regulation govern legal duties; ethics and policy operate within that lawful boundary.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AUTHORITY HIERARCHY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Authority hierarchy and retake Question 1.</w:t>
            </w:r>
          </w:p>
        </w:tc>
      </w:tr>
    </w:tbl>
    <w:p>
      <w:pPr>
        <w:pStyle w:val="Heading2"/>
      </w:pPr>
      <w:r>
        <w:t>FC-LS-002 | Current source version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Current source version?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Date and version matter because statutes, regulations, Board guidance, examination materials, and ethics standards can change.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SOURCE VERSION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Current source version and retake Question 2.</w:t>
            </w:r>
          </w:p>
        </w:tc>
      </w:tr>
    </w:tbl>
    <w:p>
      <w:pPr>
        <w:pStyle w:val="Heading2"/>
      </w:pPr>
      <w:r>
        <w:t>FC-LS-003 | LPCC professional identity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LPCC professional identity?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LPCC professional clinical counseling is a distinct statutory profession with its own scope, duties, and examination pathway.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LPCC PROFESSIONAL IDENTITY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LPCC professional identity and retake Question 3.</w:t>
            </w:r>
          </w:p>
        </w:tc>
      </w:tr>
    </w:tbl>
    <w:p>
      <w:pPr>
        <w:pStyle w:val="Heading2"/>
      </w:pPr>
      <w:r>
        <w:t>FC-LS-004 | Status and present authority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Status and present authority?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An APCC's registration and supervision status affects what the person may do now; profession-wide scope does not create independent authority.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STATUS AND PRESENT AUTHORITY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Status and present authority and retake Question 4.</w:t>
            </w:r>
          </w:p>
        </w:tc>
      </w:tr>
    </w:tbl>
    <w:p>
      <w:pPr>
        <w:pStyle w:val="Heading2"/>
      </w:pPr>
      <w:r>
        <w:t>FC-LS-005 | Couples and families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Couples and families?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Current LPCC analysis should use the current statutory scope rather than teach superseded profession-specific prerequisites.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COUPLES AND FAMILIES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Couples and families and retake Question 5.</w:t>
            </w:r>
          </w:p>
        </w:tc>
      </w:tr>
    </w:tbl>
    <w:p>
      <w:pPr>
        <w:pStyle w:val="Heading2"/>
      </w:pPr>
      <w:r>
        <w:t>FC-LS-006 | Referral as scope safeguard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Referral as scope safeguard?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When a service falls outside lawful scope or cannot be provided competently, referral or another lawful alternative protects the client.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REFERRAL AS SCOPE SAFEGUARD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Referral as scope safeguard and retake Question 6.</w:t>
            </w:r>
          </w:p>
        </w:tc>
      </w:tr>
    </w:tbl>
    <w:p>
      <w:pPr>
        <w:pStyle w:val="Heading2"/>
      </w:pPr>
      <w:r>
        <w:t>FC-LS-007 | Assessment is included but bounded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Assessment is included but bounded?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LPCC assessment activities may be within statutory scope, but the statutory definition and express exclusions must be respected.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IS INCLUDED BUT BOUNDED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Assessment is included but bounded and retake Question 7.</w:t>
            </w:r>
          </w:p>
        </w:tc>
      </w:tr>
    </w:tbl>
    <w:p>
      <w:pPr>
        <w:pStyle w:val="Heading2"/>
      </w:pPr>
      <w:r>
        <w:t>FC-LS-008 | Assessment exclusions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Assessment exclusions?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candidate must recognize activities the LPCC assessment definition excludes and refer when another professional service is required.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EXCLUSIONS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Assessment exclusions and retake Question 8.</w:t>
            </w:r>
          </w:p>
        </w:tc>
      </w:tr>
    </w:tbl>
    <w:p>
      <w:pPr>
        <w:pStyle w:val="Heading2"/>
      </w:pPr>
      <w:r>
        <w:t>FC-LS-009 | Instrument competence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Instrument competence?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Authority to conduct assessment does not establish competence with every instrument; training, purpose, administration, scoring, and interpretation matter.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INSTRUMENT COMPETENCE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Instrument competence and retake Question 9.</w:t>
            </w:r>
          </w:p>
        </w:tc>
      </w:tr>
    </w:tbl>
    <w:p>
      <w:pPr>
        <w:pStyle w:val="Heading2"/>
      </w:pPr>
      <w:r>
        <w:t>FC-LS-010 | Assessment results and misuse prevention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Assessment results and misuse prevention?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information should be reported, stored, and used in a way that matches the instrument's purpose, protects confidentiality, and avoids misuse.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ASSESSMENT RESULTS AND MISUSE PREVENTION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Assessment results and misuse prevention and retake Question 10.</w:t>
            </w:r>
          </w:p>
        </w:tc>
      </w:tr>
    </w:tbl>
    <w:p>
      <w:pPr>
        <w:pStyle w:val="Heading2"/>
      </w:pPr>
      <w:r>
        <w:t>FC-LS-011 | APCC title accuracy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APCC title accuracy?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 registered associate should use the complete accurate APCC title and avoid language that implies independent LPCC licensure.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APCC TITLE ACCURACY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APCC title accuracy and retake Question 11.</w:t>
            </w:r>
          </w:p>
        </w:tc>
      </w:tr>
    </w:tbl>
    <w:p>
      <w:pPr>
        <w:pStyle w:val="Heading2"/>
      </w:pPr>
      <w:r>
        <w:t>FC-LS-012 | APCC advertising elements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APCC advertising elements?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Associate advertising must include current required identifying, employer/entity, and supervised-status information; one correct element does not cure an omitted requirement.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APCC ADVERTISING ELEMENTS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APCC advertising elements and retake Question 12.</w:t>
            </w:r>
          </w:p>
        </w:tc>
      </w:tr>
    </w:tbl>
    <w:p>
      <w:pPr>
        <w:pStyle w:val="Heading2"/>
      </w:pPr>
      <w:r>
        <w:t>FC-LS-013 | Client-facing disclosures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Client-facing disclosures?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Required client notices and relationship/process disclosures should be accurate, timely, and consistent with the clinician's actual status and role.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CLIENT-FACING DISCLOSURES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Client-facing disclosures and retake Question 13.</w:t>
            </w:r>
          </w:p>
        </w:tc>
      </w:tr>
    </w:tbl>
    <w:p>
      <w:pPr>
        <w:pStyle w:val="Heading2"/>
      </w:pPr>
      <w:r>
        <w:t>FC-LS-014 | Advertising across platforms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Advertising across platforms?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Websites, directories, social media, cards, and employer-created profiles can all function as advertising and must be reviewed for current compliance.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ADVERTISING ACROSS PLATFORMS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Advertising across platforms and retake Question 14.</w:t>
            </w:r>
          </w:p>
        </w:tc>
      </w:tr>
    </w:tbl>
    <w:p>
      <w:pPr>
        <w:pStyle w:val="Heading2"/>
      </w:pPr>
      <w:r>
        <w:t>FC-LS-015 | Supervision means responsibility and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Supervision means responsibility and control?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Clinical supervision is more than consultation; it includes responsibility for and control of service quality, monitoring, competence, records, and feedback.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SUPERVISION MEANS RESPONSIBILITY AND CONTROL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Supervision means responsibility and control and retake Question 15.</w:t>
            </w:r>
          </w:p>
        </w:tc>
      </w:tr>
    </w:tbl>
    <w:p>
      <w:pPr>
        <w:pStyle w:val="Heading2"/>
      </w:pPr>
      <w:r>
        <w:t>FC-LS-016 | Direct supervisor contact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Direct supervisor contact?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APCC supervision analysis is specific to the week, setting, direct clinical counseling hours, recognized contact method, and lawful alternative arrangements.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DIRECT SUPERVISOR CONTACT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Direct supervisor contact and retake Question 16.</w:t>
            </w:r>
          </w:p>
        </w:tc>
      </w:tr>
    </w:tbl>
    <w:p>
      <w:pPr>
        <w:pStyle w:val="Heading2"/>
      </w:pPr>
      <w:r>
        <w:t>FC-LS-017 | Lawful APCC work and payment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Lawful APCC work and payment?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APCC services must occur in a lawful employment or volunteer structure with compliant payment and business-interest arrangements.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LAWFUL APCC WORK AND PAYMENT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Lawful APCC work and payment and retake Question 17.</w:t>
            </w:r>
          </w:p>
        </w:tc>
      </w:tr>
    </w:tbl>
    <w:p>
      <w:pPr>
        <w:pStyle w:val="Heading2"/>
      </w:pPr>
      <w:r>
        <w:t>FC-LS-018 | Consultation vs supervision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Consultation vs supervision?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Consultation can support judgment but does not replace legally qualifying supervision or convert an unlawful practice arrangement into a lawful one.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CONSULTATION VS SUPERVISION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Consultation vs supervision and retake Question 18.</w:t>
            </w:r>
          </w:p>
        </w:tc>
      </w:tr>
    </w:tbl>
    <w:p>
      <w:pPr>
        <w:pStyle w:val="Heading2"/>
      </w:pPr>
      <w:r>
        <w:t>FC-LS-019 | Professional conduct and public protection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Professional conduct and public protection?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Competence, accurate representation, records, fees, referrals, sexual conduct, impairment, and other conduct rules are organized around public and client protection.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PROFESSIONAL CONDUCT AND PUBLIC PROTECTION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Professional conduct and public protection and retake Question 19.</w:t>
            </w:r>
          </w:p>
        </w:tc>
      </w:tr>
    </w:tbl>
    <w:p>
      <w:pPr>
        <w:pStyle w:val="Heading2"/>
      </w:pPr>
      <w:r>
        <w:t>FC-LS-020 | Impairment response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Impairment response?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When functioning is impaired, protect clients first, stop or limit unsafe practice, obtain appropriate help and coverage, and document continuity steps.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IMPAIRMENT RESPONSE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Impairment response and retake Question 20.</w:t>
            </w:r>
          </w:p>
        </w:tc>
      </w:tr>
    </w:tbl>
    <w:p>
      <w:pPr>
        <w:pStyle w:val="Heading2"/>
      </w:pPr>
      <w:r>
        <w:t>FC-LS-021 | Sexual and exploitative conduct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Sexual and exploitative conduct?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Client consent or initiation does not erase professional responsibility or statutory restrictions on sexual or exploitative conduct.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SEXUAL AND EXPLOITATIVE CONDUCT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Sexual and exploitative conduct and retake Question 21.</w:t>
            </w:r>
          </w:p>
        </w:tc>
      </w:tr>
    </w:tbl>
    <w:p>
      <w:pPr>
        <w:pStyle w:val="Heading2"/>
      </w:pPr>
      <w:r>
        <w:t>FC-LS-022 | Registration and examination pathway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Registration and examination pathway?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APCC pathway involves registration, supervised experience, Law and Ethics requirements, application milestones, and later examination steps in a defined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REGISTRATION AND EXAMINATION PATHWAY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Registration and examination pathway and retake Question 22.</w:t>
            </w:r>
          </w:p>
        </w:tc>
      </w:tr>
    </w:tbl>
    <w:p>
      <w:pPr>
        <w:pStyle w:val="Heading2"/>
      </w:pPr>
      <w:r>
        <w:t>FC-LS-023 | Law and Ethics vs NCMHCE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Law and Ethics vs NCMHCE?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The California LPCC Law and Ethics Examination and the NCMHCE are separate examinations serving different points in the licensure pathway.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LAW AND ETHICS VS NCMHCE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Law and Ethics vs NCMHCE and retake Question 23.</w:t>
            </w:r>
          </w:p>
        </w:tc>
      </w:tr>
    </w:tbl>
    <w:p>
      <w:pPr>
        <w:pStyle w:val="Heading2"/>
      </w:pPr>
      <w:r>
        <w:t>FC-LS-024 | Retest and participation rules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Retest and participation rules?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Candidates should use current BBS/Pearson instructions for retest, annual participation, and active-registration requirements rather than relying on old templates.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RETEST AND PARTICIPATION RULES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Retest and participation rules and retake Question 24.</w:t>
            </w:r>
          </w:p>
        </w:tc>
      </w:tr>
    </w:tbl>
    <w:p>
      <w:pPr>
        <w:pStyle w:val="Heading2"/>
      </w:pPr>
      <w:r>
        <w:t>FC-LS-025 | Integrated decision sequence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FRONT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What should an LPCC/APCC candidate remember about Integrated decision sequence?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BACK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For multi-issue questions use STATUS -&gt; SETTING -&gt; SCOPE -&gt; COMPETENCE -&gt; SOURCE -&gt; SAFEGUARD -&gt; STEP -&gt; RECORD.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MEMORY CUE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INTEGRATED DECISION SEQUENCE - identify the correct role, rule, and sequence.</w:t>
            </w:r>
          </w:p>
        </w:tc>
      </w:tr>
      <w:tr>
        <w:tc>
          <w:tcPr>
            <w:tcW w:type="dxa" w:w="1728"/>
            <w:vAlign w:val="top"/>
            <w:shd w:fill="E9F7F6"/>
          </w:tcPr>
          <w:p>
            <w:pPr>
              <w:spacing w:after="0"/>
            </w:pPr>
            <w:r/>
            <w:r>
              <w:rPr>
                <w:rFonts w:ascii="Aptos" w:hAnsi="Aptos"/>
                <w:b/>
                <w:sz w:val="17"/>
              </w:rPr>
              <w:t>REMEDIATION</w:t>
            </w:r>
          </w:p>
        </w:tc>
        <w:tc>
          <w:tcPr>
            <w:tcW w:type="dxa" w:w="8352"/>
            <w:vAlign w:val="top"/>
          </w:tcPr>
          <w:p>
            <w:pPr>
              <w:spacing w:after="0"/>
            </w:pPr>
            <w:r/>
            <w:r>
              <w:rPr>
                <w:rFonts w:ascii="Aptos" w:hAnsi="Aptos"/>
                <w:b w:val="0"/>
                <w:sz w:val="17"/>
              </w:rPr>
              <w:t>Review the license-specific module section on Integrated decision sequence and retake Question 25.</w:t>
            </w:r>
          </w:p>
        </w:tc>
      </w:tr>
    </w:tbl>
    <w:sectPr w:rsidR="00FC693F" w:rsidRPr="0006063C" w:rsidSect="00034616">
      <w:foot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5"/>
      </w:rPr>
      <w:t>CTA-EP-003 | License-Specific Module Flashcards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79B95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b/>
      <w:color w:val="182D4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