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Practice Act, APCC Professional Identity,</w:t>
        <w:br/>
        <w:t>Clinical Assessment &amp; California Examination Distinctions</w:t>
      </w:r>
    </w:p>
    <w:p>
      <w:pPr>
        <w:jc w:val="center"/>
      </w:pPr>
      <w:r>
        <w:rPr>
          <w:b/>
          <w:color w:val="179B95"/>
          <w:sz w:val="24"/>
        </w:rPr>
        <w:t>Required License-Specific Instructional Module | LPCC/APCC Candidate Edition</w:t>
      </w:r>
    </w:p>
    <w:p>
      <w:pPr>
        <w:jc w:val="center"/>
      </w:pPr>
      <w: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This module is specific to the California LPCC Law and Ethics Examination and does not prepare candidates for the NCMHCE.</w:t>
            </w:r>
          </w:p>
        </w:tc>
      </w:tr>
    </w:tbl>
    <w:p>
      <w:pPr>
        <w:pStyle w:val="Heading1"/>
      </w:pPr>
      <w:r>
        <w:t>How to Use This Module</w:t>
      </w:r>
    </w:p>
    <w:p>
      <w:pPr>
        <w:pStyle w:val="ListBullet"/>
        <w:spacing w:after="30"/>
      </w:pPr>
      <w:r>
        <w:t>Study this module before Workbook 1 because it establishes LPCC/APCC identity, scope, supervision, assessment, advertising, and examination-pathway distinctions.</w:t>
      </w:r>
    </w:p>
    <w:p>
      <w:pPr>
        <w:pStyle w:val="ListBullet"/>
        <w:spacing w:after="30"/>
      </w:pPr>
      <w:r>
        <w:t>Use California law and regulation as the legal baseline; professional ethics supplements but does not override controlling law.</w:t>
      </w:r>
    </w:p>
    <w:p>
      <w:pPr>
        <w:pStyle w:val="ListBullet"/>
        <w:spacing w:after="30"/>
      </w:pPr>
      <w:r>
        <w:t>Complete the separate 25-question license-specific assessment after study.</w:t>
      </w:r>
    </w:p>
    <w:p>
      <w:pPr>
        <w:pStyle w:val="ListBullet"/>
        <w:spacing w:after="30"/>
      </w:pPr>
      <w:r>
        <w:t>Use the 25-card module review set for rapid recall and remediation.</w:t>
      </w:r>
    </w:p>
    <w:p>
      <w:pPr>
        <w:pStyle w:val="Heading1"/>
      </w:pPr>
      <w:r>
        <w:t>Unit 1 - Authority and Source Hierarchy</w:t>
      </w:r>
    </w:p>
    <w:p>
      <w:pPr>
        <w:spacing w:after="60"/>
      </w:pPr>
      <w:r>
        <w:t>Resolve conflicts by identifying the source that actually governs the actor, conduct, and moment in the question.</w:t>
      </w:r>
    </w:p>
    <w:p>
      <w:pPr>
        <w:pStyle w:val="Heading2"/>
      </w:pPr>
      <w:r>
        <w:t>1.1 Five different kinds of authority</w:t>
      </w:r>
    </w:p>
    <w:p>
      <w:pPr>
        <w:spacing w:after="60"/>
      </w:pPr>
      <w:r>
        <w:t>A law-and-ethics question may mention a statute, regulation, licensing-board publication, professional ethical standard, and employer policy in the same fact pattern. These sources do different jobs. A statute creates legal duties and authority. A regulation implements statutory authority. BBS publications explain procedures and give official examples. The examination outline describes tested knowledge and tasks. A professional code supplies ethical obligations. An employer policy governs the workplace only to the extent that it remains consistent with higher authority.</w:t>
      </w:r>
    </w:p>
    <w:p>
      <w:pPr>
        <w:pStyle w:val="Heading2"/>
      </w:pPr>
      <w:r>
        <w:t>1.2 Law, ethics, and policy are not synonyms</w:t>
      </w:r>
    </w:p>
    <w:p>
      <w:pPr>
        <w:spacing w:after="60"/>
      </w:pPr>
      <w:r>
        <w:t>A legal minimum can coexist with a more protective ethical obligation. An employer may also require a process that is stricter than the minimum law. The candidate should not assume that compliance with one layer automatically satisfies every other layer. When sources conflict, comply with law, seek qualified consultation or supervision, protect the client, and document the reasoning and follow-up that the facts require.</w:t>
      </w:r>
    </w:p>
    <w:p>
      <w:pPr>
        <w:spacing w:after="60"/>
      </w:pPr>
      <w:r>
        <w:t>If policy authorizes conduct that law prohibits, the policy does not make the conduct lawful.</w:t>
      </w:r>
    </w:p>
    <w:p>
      <w:pPr>
        <w:spacing w:after="60"/>
      </w:pPr>
      <w:r>
        <w:t>If an ethical standard is more protective than a legal floor and does not conflict with law, the ethical obligation may still govern professional conduct.</w:t>
      </w:r>
    </w:p>
    <w:p>
      <w:pPr>
        <w:spacing w:after="60"/>
      </w:pPr>
      <w:r>
        <w:t>If a BBS example clarifies an operative regulation, use it to understand application; do not treat an example as a substitute for reading the rule.</w:t>
      </w:r>
    </w:p>
    <w:p>
      <w:pPr>
        <w:spacing w:after="60"/>
      </w:pPr>
      <w:r>
        <w:t>If a source is pending, draft around the current rule and place the affected content on a currency hold rather than predicting the final language.</w:t>
      </w:r>
    </w:p>
    <w:p>
      <w:pPr>
        <w:pStyle w:val="Heading2"/>
      </w:pPr>
      <w:r>
        <w:t>1.3 Date and version are part of the answer</w:t>
      </w:r>
    </w:p>
    <w:p>
      <w:pPr>
        <w:spacing w:after="60"/>
      </w:pPr>
      <w:r>
        <w:t>California law changes. Examination outlines and professional codes also change. A candidate should learn the current rule, while a course producer must record the source version and recheck date. This manuscript incorporates BBS law and regulatory materials current through August 4, 2026, including the advertising regulation operative April 1, 2026.</w:t>
      </w:r>
    </w:p>
    <w:p>
      <w:pPr>
        <w:pStyle w:val="Heading2"/>
      </w:pPr>
      <w:r>
        <w:t>Guided Application 1A - Employer policy versus APCC payment law</w:t>
      </w:r>
    </w:p>
    <w:p>
      <w:pPr>
        <w:spacing w:after="60"/>
      </w:pPr>
      <w:r>
        <w:t>Facts. An agency policy allows registered associates to collect fees directly from clients and then pay the agency a room charge.</w:t>
      </w:r>
    </w:p>
    <w:p>
      <w:pPr>
        <w:spacing w:after="60"/>
      </w:pPr>
      <w:r>
        <w:t>Controlled analysis. Start with STATUS and SETTING. The actor is an APCC, not an independently licensed LPCC. Current LPCC law prohibits a trainee, associate, or applicant from receiving remuneration from clients and restricts proprietary or rent-like arrangements. The employer policy cannot override those requirements. The best response is to stop the noncompliant arrangement, escalate through supervision and the employer, protect existing clients from abrupt disruption, and document corrective steps.</w:t>
      </w:r>
    </w:p>
    <w:p>
      <w:pPr>
        <w:pStyle w:val="Heading2"/>
      </w:pPr>
      <w:r>
        <w:t>Guided Application 1B - Old template versus operative advertising rule</w:t>
      </w:r>
    </w:p>
    <w:p>
      <w:pPr>
        <w:spacing w:after="60"/>
      </w:pPr>
      <w:r>
        <w:t>Facts. An APCC uses an employer-approved website template created before April 1, 2026. The profile lists the registration number but does not state that the APCC is supervised by a licensed person.</w:t>
      </w:r>
    </w:p>
    <w:p>
      <w:pPr>
        <w:spacing w:after="60"/>
      </w:pPr>
      <w:r>
        <w:t>Controlled analysis. The operative regulation controls even though the employer approved the old template. The candidate should identify the missing supervised-status statement, correct the advertisement promptly, and review other required elements. One accurate element does not cure another required omission.</w:t>
      </w:r>
    </w:p>
    <w:p>
      <w:pPr>
        <w:pStyle w:val="Heading2"/>
      </w:pPr>
      <w:r>
        <w:t>Unit 1 summary</w:t>
      </w:r>
    </w:p>
    <w:p>
      <w:pPr>
        <w:spacing w:after="60"/>
      </w:pPr>
      <w:r>
        <w:t>Identify the authority class before applying a rule.</w:t>
      </w:r>
    </w:p>
    <w:p>
      <w:pPr>
        <w:spacing w:after="60"/>
      </w:pPr>
      <w:r>
        <w:t>Use the most specific current authority for the actor, status, setting, and conduct.</w:t>
      </w:r>
    </w:p>
    <w:p>
      <w:pPr>
        <w:spacing w:after="60"/>
      </w:pPr>
      <w:r>
        <w:t>Do not let an employer policy, familiar custom, or older template displace current LPCC law.</w:t>
      </w:r>
    </w:p>
    <w:p>
      <w:pPr>
        <w:spacing w:after="60"/>
      </w:pPr>
      <w:r>
        <w:t>Record source dates and maintain a currency hold when an authoritative revision is pending.</w:t>
      </w:r>
    </w:p>
    <w:p>
      <w:pPr>
        <w:pStyle w:val="Heading2"/>
      </w:pPr>
      <w:r>
        <w:t>Current source anchors</w:t>
      </w:r>
    </w:p>
    <w:p>
      <w:pPr>
        <w:spacing w:after="60"/>
      </w:pPr>
      <w:r>
        <w:t>BBS 2026 Statutes and Regulations</w:t>
      </w:r>
    </w:p>
    <w:p>
      <w:pPr>
        <w:spacing w:after="60"/>
      </w:pPr>
      <w:r>
        <w:t>BBS Law Changes</w:t>
      </w:r>
    </w:p>
    <w:p>
      <w:pPr>
        <w:spacing w:after="60"/>
      </w:pPr>
      <w:r>
        <w:t>Official LPCC Law and Ethics Examination Outline</w:t>
      </w:r>
    </w:p>
    <w:p>
      <w:pPr>
        <w:spacing w:after="60"/>
      </w:pPr>
      <w:r>
        <w:t>ACA Code of Ethics (2014) and current ACA ethics resources</w:t>
      </w:r>
    </w:p>
    <w:p>
      <w:pPr>
        <w:pStyle w:val="Heading1"/>
      </w:pPr>
      <w:r>
        <w:t>Unit 2 - LPCC Identity and Statutory Scope</w:t>
      </w:r>
    </w:p>
    <w:p>
      <w:pPr>
        <w:spacing w:after="60"/>
      </w:pPr>
      <w:r>
        <w:t>Separate the profession's scope from the individual's competence and the person's present legal authority.</w:t>
      </w:r>
    </w:p>
    <w:p>
      <w:pPr>
        <w:pStyle w:val="Heading2"/>
      </w:pPr>
      <w:r>
        <w:t>2.1 The LPCC profession is separate and distinct</w:t>
      </w:r>
    </w:p>
    <w:p>
      <w:pPr>
        <w:spacing w:after="60"/>
      </w:pPr>
      <w:r>
        <w:t>The Licensed Professional Clinical Counselor Act identifies professional clinical counseling as a separate profession. That matters on the examination: an LPCC question must be answered from LPCC law and counseling ethics, not from an LMFT, LCSW, or psychologist rule that happens to sound familiar. Shared legal concepts may apply across professions, but profession-specific titles, scope language, supervision rules, and examination pathways require independent review.</w:t>
      </w:r>
    </w:p>
    <w:p>
      <w:pPr>
        <w:pStyle w:val="Heading2"/>
      </w:pPr>
      <w:r>
        <w:t>2.2 Status controls what a person may do now</w:t>
      </w:r>
    </w:p>
    <w:p>
      <w:pPr>
        <w:pStyle w:val="Heading2"/>
      </w:pPr>
      <w:r>
        <w:t>2.3 What professional clinical counseling includes</w:t>
      </w:r>
    </w:p>
    <w:p>
      <w:pPr>
        <w:spacing w:after="60"/>
      </w:pPr>
      <w:r>
        <w:t>Professional clinical counseling applies counseling interventions and psychotherapeutic techniques to identify and remediate cognitive, mental, and emotional issues. The statutory definition includes personal growth, adjustment to disability, crisis intervention, and psychosocial and environmental problems. It also includes assessments used to establish counseling goals and objectives. Counseling interventions may be cognitive, affective, verbal, nonverbal, systemic, or holistic and should reflect development, wellness, maladjustment, and a pluralistic society.</w:t>
      </w:r>
    </w:p>
    <w:p>
      <w:pPr>
        <w:pStyle w:val="Heading2"/>
      </w:pPr>
      <w:r>
        <w:t>2.4 The three-filter scope test</w:t>
      </w:r>
    </w:p>
    <w:p>
      <w:pPr>
        <w:spacing w:after="60"/>
      </w:pPr>
      <w:r>
        <w:t>All three filters must be satisfied. A service can be within the LPCC profession but beyond one counselor's competence. A registered APCC can be competent to provide a service yet lack authority to provide it independently. An LPCC can have authority to practice independently but still need consultation, training, or referral for a specialized intervention.</w:t>
      </w:r>
    </w:p>
    <w:p>
      <w:pPr>
        <w:pStyle w:val="Heading2"/>
      </w:pPr>
      <w:r>
        <w:t>2.5 Referral is an affirmative scope safeguard</w:t>
      </w:r>
    </w:p>
    <w:p>
      <w:pPr>
        <w:spacing w:after="60"/>
      </w:pPr>
      <w:r>
        <w:t>The statute directs professional clinical counselors to refer when they identify issues beyond their education, training, and experience. Referral is not a punishment or an admission that the entire case must be abandoned. The appropriate response may be consultation, co-treatment, transfer of a discrete assessment function, or referral of the entire case, depending on the risk, competence gap, client preference, continuity needs, and available resources.</w:t>
      </w:r>
    </w:p>
    <w:p>
      <w:pPr>
        <w:pStyle w:val="Heading2"/>
      </w:pPr>
      <w:r>
        <w:t>Guided Application 2A - Competent service in an unlawful arrangement</w:t>
      </w:r>
    </w:p>
    <w:p>
      <w:pPr>
        <w:spacing w:after="60"/>
      </w:pPr>
      <w:r>
        <w:t>Facts. An APCC has substantial supervised trauma training. A clinic asks the APCC to sign an independent-contractor agreement and see the clinic's clients without weekly supervision.</w:t>
      </w:r>
    </w:p>
    <w:p>
      <w:pPr>
        <w:spacing w:after="60"/>
      </w:pPr>
      <w:r>
        <w:t>Controlled analysis. The trauma service may fit professional scope and the APCC's competence, but present authority fails. An APCC may not provide LPCC-scope services as an independent contractor and must remain under qualifying supervision. The best action is to decline or correct the arrangement before providing services; clinical competence does not cure an unlawful status-setting structure.</w:t>
      </w:r>
    </w:p>
    <w:p>
      <w:pPr>
        <w:pStyle w:val="Heading2"/>
      </w:pPr>
      <w:r>
        <w:t>Guided Application 2B - Couples work under current law</w:t>
      </w:r>
    </w:p>
    <w:p>
      <w:pPr>
        <w:spacing w:after="60"/>
      </w:pPr>
      <w:r>
        <w:t>Facts. A licensed LPCC with documented training and experience in couples counseling receives a referral for a couple experiencing conflict and anxiety.</w:t>
      </w:r>
    </w:p>
    <w:p>
      <w:pPr>
        <w:spacing w:after="60"/>
      </w:pPr>
      <w:r>
        <w:t>Controlled analysis. Do not apply the superseded special-authorization rule. Analyze current professional scope, the counselor's competence, informed consent for the unit of treatment, confidentiality boundaries, and any need for consultation or referral. The fact that two partners are present does not itself place the service outside current LPCC scope.</w:t>
      </w:r>
    </w:p>
    <w:p>
      <w:pPr>
        <w:pStyle w:val="Heading2"/>
      </w:pPr>
      <w:r>
        <w:t>Unit 2 summary</w:t>
      </w:r>
    </w:p>
    <w:p>
      <w:pPr>
        <w:spacing w:after="60"/>
      </w:pPr>
      <w:r>
        <w:t>Use LPCC law for an LPCC/APCC profession-specific question.</w:t>
      </w:r>
    </w:p>
    <w:p>
      <w:pPr>
        <w:spacing w:after="60"/>
      </w:pPr>
      <w:r>
        <w:t>Pass all three filters: profession-wide scope, individual competence, and present authority.</w:t>
      </w:r>
    </w:p>
    <w:p>
      <w:pPr>
        <w:spacing w:after="60"/>
      </w:pPr>
      <w:r>
        <w:t>An APCC remains unlicensed and supervised even when highly trained.</w:t>
      </w:r>
    </w:p>
    <w:p>
      <w:pPr>
        <w:spacing w:after="60"/>
      </w:pPr>
      <w:r>
        <w:t>Current law does not preserve the former special LPCC couples-and-families authorization requirement.</w:t>
      </w:r>
    </w:p>
    <w:p>
      <w:pPr>
        <w:spacing w:after="60"/>
      </w:pPr>
      <w:r>
        <w:t>Refer, consult, co-treat, or transfer when the issue exceeds education, training, or experience.</w:t>
      </w:r>
    </w:p>
    <w:p>
      <w:pPr>
        <w:pStyle w:val="Heading2"/>
      </w:pPr>
      <w:r>
        <w:t>Current source anchors</w:t>
      </w:r>
    </w:p>
    <w:p>
      <w:pPr>
        <w:spacing w:after="60"/>
      </w:pPr>
      <w:r>
        <w:t>LPCC Act - BPC sections 4999.10-4999.23 in the BBS handbook</w:t>
      </w:r>
    </w:p>
    <w:p>
      <w:pPr>
        <w:spacing w:after="60"/>
      </w:pPr>
      <w:r>
        <w:t>BBS LPCC Applicant and Resource Page</w:t>
      </w:r>
    </w:p>
    <w:p>
      <w:pPr>
        <w:pStyle w:val="Heading1"/>
      </w:pPr>
      <w:r>
        <w:t>Unit 3 - Clinical Assessment and Testing Boundaries</w:t>
      </w:r>
    </w:p>
    <w:p>
      <w:pPr>
        <w:spacing w:after="60"/>
      </w:pPr>
      <w:r>
        <w:t>Treat assessment as a defined LPCC function with express exclusions, competence duties, data safeguards, and referral triggers.</w:t>
      </w:r>
    </w:p>
    <w:p>
      <w:pPr>
        <w:pStyle w:val="Heading2"/>
      </w:pPr>
      <w:r>
        <w:t>3.1 Assessment is included, but not unlimited</w:t>
      </w:r>
    </w:p>
    <w:p>
      <w:pPr>
        <w:spacing w:after="60"/>
      </w:pPr>
      <w:r>
        <w:t>California defines assessment for LPCC practice as selecting, administering, scoring, and interpreting tests, instruments, tools, and methods used to understand attitudes, abilities, aptitudes, achievements, interests, personal characteristics, disabilities, and mental, emotional, behavioral, or developmental concerns as part of counseling. This is a genuine scope authorization, not permission to use every instrument for every purpose.</w:t>
      </w:r>
    </w:p>
    <w:p>
      <w:pPr>
        <w:pStyle w:val="Heading2"/>
      </w:pPr>
      <w:r>
        <w:t>3.2 Express statutory exclusions</w:t>
      </w:r>
    </w:p>
    <w:p>
      <w:pPr>
        <w:spacing w:after="60"/>
      </w:pPr>
      <w:r>
        <w:t>Projective techniques used to assess personality.</w:t>
      </w:r>
    </w:p>
    <w:p>
      <w:pPr>
        <w:spacing w:after="60"/>
      </w:pPr>
      <w:r>
        <w:t>Individually administered intelligence tests.</w:t>
      </w:r>
    </w:p>
    <w:p>
      <w:pPr>
        <w:spacing w:after="60"/>
      </w:pPr>
      <w:r>
        <w:t>Neuropsychological testing.</w:t>
      </w:r>
    </w:p>
    <w:p>
      <w:pPr>
        <w:spacing w:after="60"/>
      </w:pPr>
      <w:r>
        <w:t>A battery of three or more tests used to determine the presence of psychosis, dementia, amnesia, cognitive impairment, or criminal behavior.</w:t>
      </w:r>
    </w:p>
    <w:p>
      <w:pPr>
        <w:pStyle w:val="Heading2"/>
      </w:pPr>
      <w:r>
        <w:t>3.3 The assessment decision chain</w:t>
      </w:r>
    </w:p>
    <w:p>
      <w:pPr>
        <w:pStyle w:val="Heading2"/>
      </w:pPr>
      <w:r>
        <w:t>3.4 Competence is instrument- and purpose-specific</w:t>
      </w:r>
    </w:p>
    <w:p>
      <w:pPr>
        <w:spacing w:after="60"/>
      </w:pPr>
      <w:r>
        <w:t>General graduate coursework in assessment does not establish competence for every instrument. Competence includes knowledge of psychometric limits, population fit, administration procedures, scoring, interpretation, cultural and disability considerations, and communication of results. A counselor competent to use a brief symptom measure for treatment planning may not be competent to perform a specialized forensic or neuropsychological evaluation.</w:t>
      </w:r>
    </w:p>
    <w:p>
      <w:pPr>
        <w:pStyle w:val="Heading2"/>
      </w:pPr>
      <w:r>
        <w:t>3.5 Protect the meaning and use of results</w:t>
      </w:r>
    </w:p>
    <w:p>
      <w:pPr>
        <w:spacing w:after="60"/>
      </w:pPr>
      <w:r>
        <w:t>Assessment data can harm a client when a score is treated as a diagnosis, a screening result is presented as a final conclusion, a measure is used outside its validated purpose, or a third party receives an unqualified report. The counselor should use the least overreaching inference supported by the data, explain limitations, prevent foreseeable misuse, and make a referral when the requested conclusion falls outside scope or competence.</w:t>
      </w:r>
    </w:p>
    <w:p>
      <w:pPr>
        <w:pStyle w:val="Heading2"/>
      </w:pPr>
      <w:r>
        <w:t>Guided Application 3A - Individually administered intelligence test</w:t>
      </w:r>
    </w:p>
    <w:p>
      <w:pPr>
        <w:spacing w:after="60"/>
      </w:pPr>
      <w:r>
        <w:t>Facts. An LPCC completes a weekend training and is asked to administer an individually administered intelligence test to determine a client's eligibility for specialized services.</w:t>
      </w:r>
    </w:p>
    <w:p>
      <w:pPr>
        <w:spacing w:after="60"/>
      </w:pPr>
      <w:r>
        <w:t>Controlled analysis. The first issue is statutory exclusion, not whether the weekend course created competence. Individually administered intelligence testing is outside the LPCC assessment definition. The counselor should explain the boundary, refer to a qualified professional, and coordinate care with proper authorization.</w:t>
      </w:r>
    </w:p>
    <w:p>
      <w:pPr>
        <w:pStyle w:val="Heading2"/>
      </w:pPr>
      <w:r>
        <w:t>Guided Application 3B - Screening score used beyond its purpose</w:t>
      </w:r>
    </w:p>
    <w:p>
      <w:pPr>
        <w:spacing w:after="60"/>
      </w:pPr>
      <w:r>
        <w:t>Facts. An APCC administers a validated depression screener for treatment planning. An employer asks the APCC to send the raw score to a housing program as proof that the client has a disabling condition.</w:t>
      </w:r>
    </w:p>
    <w:p>
      <w:pPr>
        <w:spacing w:after="60"/>
      </w:pPr>
      <w:r>
        <w:t>Controlled analysis. A symptom screener does not automatically support the employer's requested legal or functional conclusion. The APCC should identify the requested purpose, consult the supervisor, obtain valid authorization before any disclosure, explain the measure's limits, and refer for a qualified evaluation if the housing decision requires a determination outside the instrument's intended use or the APCC's competence.</w:t>
      </w:r>
    </w:p>
    <w:p>
      <w:pPr>
        <w:pStyle w:val="Heading2"/>
      </w:pPr>
      <w:r>
        <w:t>Unit 3 summary</w:t>
      </w:r>
    </w:p>
    <w:p>
      <w:pPr>
        <w:spacing w:after="60"/>
      </w:pPr>
      <w:r>
        <w:t>California includes assessment in LPCC practice and expressly excludes specified testing functions.</w:t>
      </w:r>
    </w:p>
    <w:p>
      <w:pPr>
        <w:spacing w:after="60"/>
      </w:pPr>
      <w:r>
        <w:t>Analyze purpose, instrument fit, competence, consent, administration, interpretation, communication, storage, and referral.</w:t>
      </w:r>
    </w:p>
    <w:p>
      <w:pPr>
        <w:spacing w:after="60"/>
      </w:pPr>
      <w:r>
        <w:t>Training cannot by itself expand a statutory exclusion.</w:t>
      </w:r>
    </w:p>
    <w:p>
      <w:pPr>
        <w:spacing w:after="60"/>
      </w:pPr>
      <w:r>
        <w:t>Prevent misuse by qualifying conclusions and limiting them to what the data support.</w:t>
      </w:r>
    </w:p>
    <w:p>
      <w:pPr>
        <w:spacing w:after="60"/>
      </w:pPr>
      <w:r>
        <w:t>The official outline expressly tests ethical assessment selection, administration, reporting, storage, misuse prevention, and referral for outside testing needs.</w:t>
      </w:r>
    </w:p>
    <w:p>
      <w:pPr>
        <w:pStyle w:val="Heading2"/>
      </w:pPr>
      <w:r>
        <w:t>Current source anchors</w:t>
      </w:r>
    </w:p>
    <w:p>
      <w:pPr>
        <w:spacing w:after="60"/>
      </w:pPr>
      <w:r>
        <w:t>BPC section 4999.20 assessment definition and referral rule</w:t>
      </w:r>
    </w:p>
    <w:p>
      <w:pPr>
        <w:spacing w:after="60"/>
      </w:pPr>
      <w:r>
        <w:t>Official LPCC Outline - assessment tasks and K93-K95</w:t>
      </w:r>
    </w:p>
    <w:p>
      <w:pPr>
        <w:spacing w:after="60"/>
      </w:pPr>
      <w:r>
        <w:t>ACA Code of Ethics (2014) and current ACA ethics resources</w:t>
      </w:r>
    </w:p>
    <w:p>
      <w:pPr>
        <w:pStyle w:val="Heading1"/>
      </w:pPr>
      <w:r>
        <w:t>Unit 4 - APCC Titles, Disclosures, Notices, and Advertising</w:t>
      </w:r>
    </w:p>
    <w:p>
      <w:pPr>
        <w:spacing w:after="60"/>
      </w:pPr>
      <w:r>
        <w:t>Make the client's and public's understanding of professional status accurate at every contact point.</w:t>
      </w:r>
    </w:p>
    <w:p>
      <w:pPr>
        <w:pStyle w:val="Heading2"/>
      </w:pPr>
      <w:r>
        <w:t>4.1 Status must be accurate, complete, and visible</w:t>
      </w:r>
    </w:p>
    <w:p>
      <w:pPr>
        <w:spacing w:after="60"/>
      </w:pPr>
      <w:r>
        <w:t>A registered APCC is not an LPCC and should not be presented as independently licensed. Accuracy requires more than avoiding an outright false statement. Omission, tiny print, a misleading email address, an incomplete title, or a profile that implies independent practice can misrepresent status. The same principles apply to employer-created pages and directories when the registrant knows or permits the representation.</w:t>
      </w:r>
    </w:p>
    <w:p>
      <w:pPr>
        <w:pStyle w:val="Heading2"/>
      </w:pPr>
      <w:r>
        <w:t>4.2 Client-facing disclosures</w:t>
      </w:r>
    </w:p>
    <w:p>
      <w:pPr>
        <w:spacing w:after="60"/>
      </w:pPr>
      <w:r>
        <w:t>Before providing professional services, an APCC must inform each client that the associate is unlicensed and under supervision.</w:t>
      </w:r>
    </w:p>
    <w:p>
      <w:pPr>
        <w:spacing w:after="60"/>
      </w:pPr>
      <w:r>
        <w:t>Before psychotherapy begins, or as soon as practicably possible, an LPCC or APCC must provide the statutory BBS complaint notice in at least 12-point type.</w:t>
      </w:r>
    </w:p>
    <w:p>
      <w:pPr>
        <w:spacing w:after="60"/>
      </w:pPr>
      <w:r>
        <w:t>For services initiated on or after July 1, 2025, the notice also includes the professional's full name as filed with the Board, license or registration number, type, and expiration date.</w:t>
      </w:r>
    </w:p>
    <w:p>
      <w:pPr>
        <w:spacing w:after="60"/>
      </w:pPr>
      <w:r>
        <w:t>Delivery of the statutory notice must be documented.</w:t>
      </w:r>
    </w:p>
    <w:p>
      <w:pPr>
        <w:spacing w:after="60"/>
      </w:pPr>
      <w:r>
        <w:t>An LPCC must provide accurate information about the counseling relationship and counseling process.</w:t>
      </w:r>
    </w:p>
    <w:p>
      <w:pPr>
        <w:spacing w:after="60"/>
      </w:pPr>
      <w:r>
        <w:t>Fee information or the basis for computing fees must be disclosed before treatment begins.</w:t>
      </w:r>
    </w:p>
    <w:p>
      <w:pPr>
        <w:pStyle w:val="Heading2"/>
      </w:pPr>
      <w:r>
        <w:t>4.3 Minimum advertising elements operative April 1, 2026</w:t>
      </w:r>
    </w:p>
    <w:p>
      <w:pPr>
        <w:pStyle w:val="Heading2"/>
      </w:pPr>
      <w:r>
        <w:t>4.4 Advertising is broader than a paid advertisement</w:t>
      </w:r>
    </w:p>
    <w:p>
      <w:pPr>
        <w:spacing w:after="60"/>
      </w:pPr>
      <w:r>
        <w:t>The statutory definition is broad. Websites, social-media biographies, online directories, email signatures, business cards, printed materials, signs, videos, and employer profile pages may all communicate services to the public. The candidate should inspect the entire communication, not just the headline. A compliant registration number does not cure an incomplete title, missing employer, missing supervised-status statement, or misleading domain name.</w:t>
      </w:r>
    </w:p>
    <w:p>
      <w:pPr>
        <w:pStyle w:val="Heading2"/>
      </w:pPr>
      <w:r>
        <w:t>4.5 A practical compliance scan</w:t>
      </w:r>
    </w:p>
    <w:p>
      <w:pPr>
        <w:spacing w:after="60"/>
      </w:pPr>
      <w:r>
        <w:t>NAME: Does the first and last name match the BBS record?</w:t>
      </w:r>
    </w:p>
    <w:p>
      <w:pPr>
        <w:spacing w:after="60"/>
      </w:pPr>
      <w:r>
        <w:t>TITLE: Is the exact LPCC or registered APCC title present?</w:t>
      </w:r>
    </w:p>
    <w:p>
      <w:pPr>
        <w:spacing w:after="60"/>
      </w:pPr>
      <w:r>
        <w:t>NUMBER: Is it clearly identified as a license or registration number without implying the wrong status?</w:t>
      </w:r>
    </w:p>
    <w:p>
      <w:pPr>
        <w:spacing w:after="60"/>
      </w:pPr>
      <w:r>
        <w:t>ENTITY: For an APCC, is the employer or volunteer entity named?</w:t>
      </w:r>
    </w:p>
    <w:p>
      <w:pPr>
        <w:spacing w:after="60"/>
      </w:pPr>
      <w:r>
        <w:t>SUPERVISION: For an APCC, does the communication state supervision by a licensed person?</w:t>
      </w:r>
    </w:p>
    <w:p>
      <w:pPr>
        <w:spacing w:after="60"/>
      </w:pPr>
      <w:r>
        <w:t>IMPRESSION: Does the overall communication imply independent licensure, guaranteed results, or credentials the person does not hold?</w:t>
      </w:r>
    </w:p>
    <w:p>
      <w:pPr>
        <w:spacing w:after="60"/>
      </w:pPr>
      <w:r>
        <w:t>DIGITAL FOOTPRINT: Do the URL, username, email, metadata, and directory category create a misleading impression?</w:t>
      </w:r>
    </w:p>
    <w:p>
      <w:pPr>
        <w:pStyle w:val="Heading2"/>
      </w:pPr>
      <w:r>
        <w:t>Guided Application 4A - APCC profile with an incomplete title</w:t>
      </w:r>
    </w:p>
    <w:p>
      <w:pPr>
        <w:spacing w:after="60"/>
      </w:pPr>
      <w:r>
        <w:t>Facts. A directory lists 'Jordan Lee, APCC #12345, Anxiety Specialist' and the employer's name. It does not spell out the full registered title or state that Jordan is supervised by a licensed person.</w:t>
      </w:r>
    </w:p>
    <w:p>
      <w:pPr>
        <w:spacing w:after="60"/>
      </w:pPr>
      <w:r>
        <w:t>Controlled analysis. The advertisement is incomplete. Use of APCC requires the full title Registered Associate Professional Clinical Counselor to appear. The supervised-status statement is also required. The correct response is to have the profile corrected promptly and review the remaining elements and overall impression.</w:t>
      </w:r>
    </w:p>
    <w:p>
      <w:pPr>
        <w:pStyle w:val="Heading2"/>
      </w:pPr>
      <w:r>
        <w:t>Guided Application 4B - Accurate bio on a misleading domain</w:t>
      </w:r>
    </w:p>
    <w:p>
      <w:pPr>
        <w:spacing w:after="60"/>
      </w:pPr>
      <w:r>
        <w:t>Facts. An APCC's biography contains all required elements, but the website address includes the phrase 'LicensedClinicalCounselorJordan.'</w:t>
      </w:r>
    </w:p>
    <w:p>
      <w:pPr>
        <w:spacing w:after="60"/>
      </w:pPr>
      <w:r>
        <w:t>Controlled analysis. Evaluate the whole advertisement. The domain implies licensure even though the biography is accurate. A compliant paragraph does not cure a misleading URL. The APCC should correct the domain or profile placement and document the request when the employer controls the site.</w:t>
      </w:r>
    </w:p>
    <w:p>
      <w:pPr>
        <w:pStyle w:val="Heading2"/>
      </w:pPr>
      <w:r>
        <w:t>Unit 4 summary</w:t>
      </w:r>
    </w:p>
    <w:p>
      <w:pPr>
        <w:spacing w:after="60"/>
      </w:pPr>
      <w:r>
        <w:t>APCC status must be presented as unlicensed and supervised.</w:t>
      </w:r>
    </w:p>
    <w:p>
      <w:pPr>
        <w:spacing w:after="60"/>
      </w:pPr>
      <w:r>
        <w:t>The statutory client notice, APCC disclosure, informed consent, and advertising requirements are related but distinct.</w:t>
      </w:r>
    </w:p>
    <w:p>
      <w:pPr>
        <w:spacing w:after="60"/>
      </w:pPr>
      <w:r>
        <w:t>The April 1, 2026 rule adds an express requirement that registrants state they are supervised by a licensed person in advertisements.</w:t>
      </w:r>
    </w:p>
    <w:p>
      <w:pPr>
        <w:spacing w:after="60"/>
      </w:pPr>
      <w:r>
        <w:t>Use of APCC in advertising requires the full registered title to appear.</w:t>
      </w:r>
    </w:p>
    <w:p>
      <w:pPr>
        <w:spacing w:after="60"/>
      </w:pPr>
      <w:r>
        <w:t>Review the overall impression across websites, directories, social media, email, and employer-created materials.</w:t>
      </w:r>
    </w:p>
    <w:p>
      <w:pPr>
        <w:pStyle w:val="Heading2"/>
      </w:pPr>
      <w:r>
        <w:t>Current source anchors</w:t>
      </w:r>
    </w:p>
    <w:p>
      <w:pPr>
        <w:spacing w:after="60"/>
      </w:pPr>
      <w:r>
        <w:t>BBS Advertising Fact Sheet and FAQ - effective April 1, 2026</w:t>
      </w:r>
    </w:p>
    <w:p>
      <w:pPr>
        <w:spacing w:after="60"/>
      </w:pPr>
      <w:r>
        <w:t>BBS Advertising Examples for Associates</w:t>
      </w:r>
    </w:p>
    <w:p>
      <w:pPr>
        <w:spacing w:after="60"/>
      </w:pPr>
      <w:r>
        <w:t>BPC sections 4999.46.1, 4999.71, 4999.74, 4999.82, and 4999.90; 16 CCR 1811</w:t>
      </w:r>
    </w:p>
    <w:p>
      <w:pPr>
        <w:pStyle w:val="Heading1"/>
      </w:pPr>
      <w:r>
        <w:t>Unit 5 - APCC Supervision, Settings, and Payment</w:t>
      </w:r>
    </w:p>
    <w:p>
      <w:pPr>
        <w:spacing w:after="60"/>
      </w:pPr>
      <w:r>
        <w:t>Determine whether the supervision and business arrangement actually satisfy LPCC law, regardless of the label used by the parties.</w:t>
      </w:r>
    </w:p>
    <w:p>
      <w:pPr>
        <w:pStyle w:val="Heading2"/>
      </w:pPr>
      <w:r>
        <w:t>5.1 Supervision is responsibility and control</w:t>
      </w:r>
    </w:p>
    <w:p>
      <w:pPr>
        <w:spacing w:after="60"/>
      </w:pPr>
      <w:r>
        <w:t>LPCC law defines supervision as responsibility for and control of the quality of the supervisee's mental-health and related services. It includes monitoring assessment, diagnosis, treatment, competence, site fit, clinical dynamics, legal compliance, and records. Consultation or peer discussion is not supervision and does not qualify as supervised experience.</w:t>
      </w:r>
    </w:p>
    <w:p>
      <w:pPr>
        <w:pStyle w:val="Heading2"/>
      </w:pPr>
      <w:r>
        <w:t>5.2 Supervisor qualifications</w:t>
      </w:r>
    </w:p>
    <w:p>
      <w:pPr>
        <w:spacing w:after="60"/>
      </w:pPr>
      <w:r>
        <w:t>An APCC supervisor must hold an authorized current and active license, satisfy the experience and supervision-training requirements, avoid disqualifying relationships with the supervisee, and remain competent to supervise the services being performed. Authorized license categories include LPCC, LMFT, LCSW, licensed psychologist, a board-certified psychiatrist, and an LEP within the limits applicable to educationally related services.</w:t>
      </w:r>
    </w:p>
    <w:p>
      <w:pPr>
        <w:pStyle w:val="Heading2"/>
      </w:pPr>
      <w:r>
        <w:t>5.3 Direct supervisor contact</w:t>
      </w:r>
    </w:p>
    <w:p>
      <w:pPr>
        <w:spacing w:after="60"/>
      </w:pPr>
      <w:r>
        <w:t>At least one hour of direct supervisor contact is required in each week for which experience is credited in each work setting.</w:t>
      </w:r>
    </w:p>
    <w:p>
      <w:pPr>
        <w:spacing w:after="60"/>
      </w:pPr>
      <w:r>
        <w:t>An associate who performs more than 10 hours of direct clinical counseling in a week in a setting needs at least one additional hour of direct supervisor contact for that setting.</w:t>
      </w:r>
    </w:p>
    <w:p>
      <w:pPr>
        <w:spacing w:after="60"/>
      </w:pPr>
      <w:r>
        <w:t>Across the required 104 weeks, at least 52 weeks must use individual or triadic supervision, or a combination of the two.</w:t>
      </w:r>
    </w:p>
    <w:p>
      <w:pPr>
        <w:spacing w:after="60"/>
      </w:pPr>
      <w:r>
        <w:t>Individual supervision is one supervisor with one supervisee for one hour; triadic supervision is one supervisor with two supervisees for one hour; qualifying group supervision is two hours with no more than eight supervisees.</w:t>
      </w:r>
    </w:p>
    <w:p>
      <w:pPr>
        <w:spacing w:after="60"/>
      </w:pPr>
      <w:r>
        <w:t>Face-to-face contact includes in-person and two-way real-time videoconferencing, or a combination, subject to the statutory safeguards.</w:t>
      </w:r>
    </w:p>
    <w:p>
      <w:pPr>
        <w:spacing w:after="60"/>
      </w:pPr>
      <w:r>
        <w:t>Direct supervisor contact must occur in the same week as the hours claimed.</w:t>
      </w:r>
    </w:p>
    <w:p>
      <w:pPr>
        <w:spacing w:after="60"/>
      </w:pPr>
      <w:r>
        <w:t>Within 60 days after supervision begins, the supervisor must assess and document whether videoconference supervision is appropriate before using it when the statutory provision applies.</w:t>
      </w:r>
    </w:p>
    <w:p>
      <w:pPr>
        <w:pStyle w:val="Heading2"/>
      </w:pPr>
      <w:r>
        <w:t>5.4 Lawful work status and setting</w:t>
      </w:r>
    </w:p>
    <w:p>
      <w:pPr>
        <w:pStyle w:val="Heading2"/>
      </w:pPr>
      <w:r>
        <w:t>5.5 Payment and business-interest controls</w:t>
      </w:r>
    </w:p>
    <w:p>
      <w:pPr>
        <w:spacing w:after="60"/>
      </w:pPr>
      <w:r>
        <w:t>A trainee, APCC, or applicant may not receive remuneration directly from clients and, when employed, is paid by the employer.</w:t>
      </w:r>
    </w:p>
    <w:p>
      <w:pPr>
        <w:spacing w:after="60"/>
      </w:pPr>
      <w:r>
        <w:t>The supervisee may not hold a proprietary interest in the employer's business.</w:t>
      </w:r>
    </w:p>
    <w:p>
      <w:pPr>
        <w:spacing w:after="60"/>
      </w:pPr>
      <w:r>
        <w:t>The supervisee may not lease or rent space, pay for furnishings, equipment, or supplies, or otherwise pay the employer's business obligations.</w:t>
      </w:r>
    </w:p>
    <w:p>
      <w:pPr>
        <w:spacing w:after="60"/>
      </w:pPr>
      <w:r>
        <w:t>A volunteer may receive reimbursement for expenses actually incurred, but must be able to substantiate the reimbursement if audited.</w:t>
      </w:r>
    </w:p>
    <w:p>
      <w:pPr>
        <w:spacing w:after="60"/>
      </w:pPr>
      <w:r>
        <w:t>A stipend or qualifying loan-repayment program can be treated as employment under the statutory conditions; labels alone do not control.</w:t>
      </w:r>
    </w:p>
    <w:p>
      <w:pPr>
        <w:pStyle w:val="Heading2"/>
      </w:pPr>
      <w:r>
        <w:t>5.6 Supervision records and accountability</w:t>
      </w:r>
    </w:p>
    <w:p>
      <w:pPr>
        <w:spacing w:after="60"/>
      </w:pPr>
      <w:r>
        <w:t>The APCC, supervisor, and employer each have responsibilities. A supervision agreement, weekly experience log, experience verification, written oversight agreement when required, and supervisor records serve different purposes. The candidate should not assume that the supervisor alone bears every consequence of an unlawful arrangement. An associate must identify and correct concerns, seek supervision, keep accurate records, and avoid claiming hours that do not qualify.</w:t>
      </w:r>
    </w:p>
    <w:p>
      <w:pPr>
        <w:pStyle w:val="Heading2"/>
      </w:pPr>
      <w:r>
        <w:t>Guided Application 5A - Contractor label and room rent</w:t>
      </w:r>
    </w:p>
    <w:p>
      <w:pPr>
        <w:spacing w:after="60"/>
      </w:pPr>
      <w:r>
        <w:t>Facts. A group practice offers an APCC a 'volunteer contractor' role. Clients pay the APCC, who sends 40% to the practice for office space and billing support.</w:t>
      </w:r>
    </w:p>
    <w:p>
      <w:pPr>
        <w:spacing w:after="60"/>
      </w:pPr>
      <w:r>
        <w:t>Controlled analysis. The arrangement fails multiple controls: an APCC may not perform LPCC-scope services as an independent contractor, receive remuneration from clients, or pay rent or other employer obligations. Calling the role volunteer does not change the actual payment and business-interest structure. The APCC should not begin or continue under the arrangement and should seek qualified supervision and legal/employment guidance for correction.</w:t>
      </w:r>
    </w:p>
    <w:p>
      <w:pPr>
        <w:pStyle w:val="Heading2"/>
      </w:pPr>
      <w:r>
        <w:t>Guided Application 5B - Two settings, one supervision hour</w:t>
      </w:r>
    </w:p>
    <w:p>
      <w:pPr>
        <w:spacing w:after="60"/>
      </w:pPr>
      <w:r>
        <w:t>Facts. An APCC works at two unrelated settings in the same week and receives one hour of supervision from the supervisor at the first setting.</w:t>
      </w:r>
    </w:p>
    <w:p>
      <w:pPr>
        <w:spacing w:after="60"/>
      </w:pPr>
      <w:r>
        <w:t>Controlled analysis. The statute requires direct supervisor contact in each week for which experience is credited in each setting. One hour tied to one setting does not automatically cover a second setting. Analyze each setting's supervisor, oversight, hours, documentation, and any additional-supervision trigger separately.</w:t>
      </w:r>
    </w:p>
    <w:p>
      <w:pPr>
        <w:pStyle w:val="Heading2"/>
      </w:pPr>
      <w:r>
        <w:t>Unit 5 summary</w:t>
      </w:r>
    </w:p>
    <w:p>
      <w:pPr>
        <w:spacing w:after="60"/>
      </w:pPr>
      <w:r>
        <w:t>Supervision is legal responsibility and control, not consultation alone.</w:t>
      </w:r>
    </w:p>
    <w:p>
      <w:pPr>
        <w:spacing w:after="60"/>
      </w:pPr>
      <w:r>
        <w:t>Apply weekly contact rules by work setting and direct-clinical-counseling volume.</w:t>
      </w:r>
    </w:p>
    <w:p>
      <w:pPr>
        <w:spacing w:after="60"/>
      </w:pPr>
      <w:r>
        <w:t>An APCC performs services as an employee or volunteer, not an independent contractor.</w:t>
      </w:r>
    </w:p>
    <w:p>
      <w:pPr>
        <w:spacing w:after="60"/>
      </w:pPr>
      <w:r>
        <w:t>Direct client payment, proprietary interest, and rent-like arrangements are prohibited for trainees, associates, and applicants.</w:t>
      </w:r>
    </w:p>
    <w:p>
      <w:pPr>
        <w:spacing w:after="60"/>
      </w:pPr>
      <w:r>
        <w:t>Telehealth changes the service medium, not the APCC's supervised status.</w:t>
      </w:r>
    </w:p>
    <w:p>
      <w:pPr>
        <w:pStyle w:val="Heading2"/>
      </w:pPr>
      <w:r>
        <w:t>Current source anchors</w:t>
      </w:r>
    </w:p>
    <w:p>
      <w:pPr>
        <w:spacing w:after="60"/>
      </w:pPr>
      <w:r>
        <w:t>BPC sections 4999.12 and 4999.46-4999.46.5; 16 CCR 1820-1821.3</w:t>
      </w:r>
    </w:p>
    <w:p>
      <w:pPr>
        <w:spacing w:after="60"/>
      </w:pPr>
      <w:r>
        <w:t>BBS Supervisor Resources - APCC</w:t>
      </w:r>
    </w:p>
    <w:p>
      <w:pPr>
        <w:spacing w:after="60"/>
      </w:pPr>
      <w:r>
        <w:t>BBS LPCC Applicant Pathway and Supervision Resources</w:t>
      </w:r>
    </w:p>
    <w:p>
      <w:pPr>
        <w:pStyle w:val="Heading1"/>
      </w:pPr>
      <w:r>
        <w:t>Unit 6 - Professional Conduct and Enforcement</w:t>
      </w:r>
    </w:p>
    <w:p>
      <w:pPr>
        <w:spacing w:after="60"/>
      </w:pPr>
      <w:r>
        <w:t>Recognize conduct that threatens client welfare or public protection and select a corrective response before focusing on punishment.</w:t>
      </w:r>
    </w:p>
    <w:p>
      <w:pPr>
        <w:pStyle w:val="Heading2"/>
      </w:pPr>
      <w:r>
        <w:t>6.1 Public protection is the organizing purpose</w:t>
      </w:r>
    </w:p>
    <w:p>
      <w:pPr>
        <w:spacing w:after="60"/>
      </w:pPr>
      <w:r>
        <w:t>The Board enforces laws designed to protect the public from incompetent, unethical, or unprofessional practitioners. Examination questions commonly ask what the counselor should do, not which sanction will eventually be imposed. Start with the protected interest and the immediate corrective step: stop unsafe conduct, protect the client, obtain required supervision or consultation, correct misinformation, make required reports, preserve records, and document follow-up.</w:t>
      </w:r>
    </w:p>
    <w:p>
      <w:pPr>
        <w:pStyle w:val="Heading2"/>
      </w:pPr>
      <w:r>
        <w:t>6.2 Major professional-conduct categories</w:t>
      </w:r>
    </w:p>
    <w:p>
      <w:pPr>
        <w:pStyle w:val="Heading2"/>
      </w:pPr>
      <w:r>
        <w:t>6.3 Legal floor and ethical duty</w:t>
      </w:r>
    </w:p>
    <w:p>
      <w:pPr>
        <w:spacing w:after="60"/>
      </w:pPr>
      <w:r>
        <w:t>California law and counseling ethics should be analyzed separately and then reconciled. For example, California's LPCC unprofessional-conduct statute identifies sexual relations with a current client or a former client within two years after termination. The currently operative ACA Code may impose a more protective ethical standard. A candidate should never treat a statutory minimum as permission to disregard a stricter applicable ethical obligation.</w:t>
      </w:r>
    </w:p>
    <w:p>
      <w:pPr>
        <w:pStyle w:val="Heading2"/>
      </w:pPr>
      <w:r>
        <w:t>6.4 Responding to impairment</w:t>
      </w:r>
    </w:p>
    <w:p>
      <w:pPr>
        <w:spacing w:after="60"/>
      </w:pPr>
      <w:r>
        <w:t>Impairment is not limited to substance use and is not established by a diagnosis alone. The relevant question is whether the condition interferes with safe, competent practice. A protective response may require reducing or ceasing clinical duties, obtaining evaluation or assistance, arranging coverage, notifying the appropriate supervisor or organization, protecting continuity of care, and following any reporting duty.</w:t>
      </w:r>
    </w:p>
    <w:p>
      <w:pPr>
        <w:pStyle w:val="Heading2"/>
      </w:pPr>
      <w:r>
        <w:t>6.5 A corrective-action sequence</w:t>
      </w:r>
    </w:p>
    <w:p>
      <w:pPr>
        <w:spacing w:after="60"/>
      </w:pPr>
      <w:r>
        <w:t>IDENTIFY the specific conduct, source, and protected interest.</w:t>
      </w:r>
    </w:p>
    <w:p>
      <w:pPr>
        <w:spacing w:after="60"/>
      </w:pPr>
      <w:r>
        <w:t>STABILIZE immediate safety, confidentiality, continuity, or exploitation risk.</w:t>
      </w:r>
    </w:p>
    <w:p>
      <w:pPr>
        <w:spacing w:after="60"/>
      </w:pPr>
      <w:r>
        <w:t>STOP or limit conduct that is unlawful, outside competence, misleading, impaired, or otherwise unsafe.</w:t>
      </w:r>
    </w:p>
    <w:p>
      <w:pPr>
        <w:spacing w:after="60"/>
      </w:pPr>
      <w:r>
        <w:t>CONSULT or obtain supervision from a qualified person without disclosing more client information than necessary.</w:t>
      </w:r>
    </w:p>
    <w:p>
      <w:pPr>
        <w:spacing w:after="60"/>
      </w:pPr>
      <w:r>
        <w:t>CORRECT notices, advertisements, records, billing, or representations promptly.</w:t>
      </w:r>
    </w:p>
    <w:p>
      <w:pPr>
        <w:spacing w:after="60"/>
      </w:pPr>
      <w:r>
        <w:t>REPORT when law, regulation, an order, or a professional duty requires reporting; do not invent a reporting duty based only on discomfort.</w:t>
      </w:r>
    </w:p>
    <w:p>
      <w:pPr>
        <w:spacing w:after="60"/>
      </w:pPr>
      <w:r>
        <w:t>DOCUMENT the facts, reasoning, consultation, client communication, action, and follow-up.</w:t>
      </w:r>
    </w:p>
    <w:p>
      <w:pPr>
        <w:pStyle w:val="Heading2"/>
      </w:pPr>
      <w:r>
        <w:t>Guided Application 6A - Counselor impairment</w:t>
      </w:r>
    </w:p>
    <w:p>
      <w:pPr>
        <w:spacing w:after="60"/>
      </w:pPr>
      <w:r>
        <w:t>Facts. An LPCC notices increasing medication-related sedation, has missed critical details in two sessions, and nearly sent one client's information to another client.</w:t>
      </w:r>
    </w:p>
    <w:p>
      <w:pPr>
        <w:spacing w:after="60"/>
      </w:pPr>
      <w:r>
        <w:t>Controlled analysis. The issue is present functional impairment and client risk, not whether the medication is prescribed. The counselor should immediately protect confidentiality and continuity, stop or limit unsafe practice, obtain qualified assistance and consultation, arrange appropriate coverage, correct any disclosure if one occurred, and document the response. Waiting for a formal complaint is not protective.</w:t>
      </w:r>
    </w:p>
    <w:p>
      <w:pPr>
        <w:pStyle w:val="Heading2"/>
      </w:pPr>
      <w:r>
        <w:t>Guided Application 6B - Former-client boundary</w:t>
      </w:r>
    </w:p>
    <w:p>
      <w:pPr>
        <w:spacing w:after="60"/>
      </w:pPr>
      <w:r>
        <w:t>Facts. A former client contacts an LPCC after the statutory two-year period and proposes a romantic relationship.</w:t>
      </w:r>
    </w:p>
    <w:p>
      <w:pPr>
        <w:spacing w:after="60"/>
      </w:pPr>
      <w:r>
        <w:t>Passing the statutory interval does not automatically make the relationship ethically acceptable. The counselor must apply the current counseling ethics standard and examine exploitation and harm risks. On an examination item, identify whether the question asks for the legal prohibition, the ethical prohibition, or the best protective action.</w:t>
      </w:r>
    </w:p>
    <w:p>
      <w:pPr>
        <w:pStyle w:val="Heading2"/>
      </w:pPr>
      <w:r>
        <w:t>6.6 Enforcement tools</w:t>
      </w:r>
    </w:p>
    <w:p>
      <w:pPr>
        <w:spacing w:after="60"/>
      </w:pPr>
      <w:r>
        <w:t>Depending on authority and facts, the Board may investigate, deny an application, refuse to issue a registration or license, discipline a credential, or seek other remedies. Violations of the LPCC Act can also carry statutory penalties. For most candidate questions, recognizing the prohibited conduct and selecting the protective professional response is more important than memorizing a penalty amount.</w:t>
      </w:r>
    </w:p>
    <w:p>
      <w:pPr>
        <w:pStyle w:val="Heading2"/>
      </w:pPr>
      <w:r>
        <w:t>Unit 6 summary</w:t>
      </w:r>
    </w:p>
    <w:p>
      <w:pPr>
        <w:spacing w:after="60"/>
      </w:pPr>
      <w:r>
        <w:t>Organize professional conduct around public protection and client welfare.</w:t>
      </w:r>
    </w:p>
    <w:p>
      <w:pPr>
        <w:spacing w:after="60"/>
      </w:pPr>
      <w:r>
        <w:t>Distinguish the legal floor from a more protective ethical duty.</w:t>
      </w:r>
    </w:p>
    <w:p>
      <w:pPr>
        <w:spacing w:after="60"/>
      </w:pPr>
      <w:r>
        <w:t>Respond to functional impairment before harm becomes a formal complaint.</w:t>
      </w:r>
    </w:p>
    <w:p>
      <w:pPr>
        <w:spacing w:after="60"/>
      </w:pPr>
      <w:r>
        <w:t>Correct misleading identity, advertising, billing, records, and supervision problems promptly.</w:t>
      </w:r>
    </w:p>
    <w:p>
      <w:pPr>
        <w:spacing w:after="60"/>
      </w:pPr>
      <w:r>
        <w:t>Use the currently operative counseling ethics standard and follow CTA update notices when professional ethics standards change.</w:t>
      </w:r>
    </w:p>
    <w:p>
      <w:pPr>
        <w:pStyle w:val="Heading2"/>
      </w:pPr>
      <w:r>
        <w:t>Current source anchors</w:t>
      </w:r>
    </w:p>
    <w:p>
      <w:pPr>
        <w:spacing w:after="60"/>
      </w:pPr>
      <w:r>
        <w:t>BPC sections 4999.80-4999.92 and 16 CCR 1823</w:t>
      </w:r>
    </w:p>
    <w:p>
      <w:pPr>
        <w:spacing w:after="60"/>
      </w:pPr>
      <w:r>
        <w:t>BBS Disciplinary and Supervisor Resources</w:t>
      </w:r>
    </w:p>
    <w:p>
      <w:pPr>
        <w:spacing w:after="60"/>
      </w:pPr>
      <w:r>
        <w:t>ACA Code of Ethics (2014) and current ACA ethics resources</w:t>
      </w:r>
    </w:p>
    <w:p>
      <w:pPr>
        <w:pStyle w:val="Heading1"/>
      </w:pPr>
      <w:r>
        <w:t>Unit 7 - Registration and Examination Pathway</w:t>
      </w:r>
    </w:p>
    <w:p>
      <w:pPr>
        <w:spacing w:after="60"/>
      </w:pPr>
      <w:r>
        <w:t>Distinguish taking an examination, passing it, renewing a registration, qualifying for a subsequent registration, becoming eligible for the NCMHCE, and receiving an LPCC license.</w:t>
      </w:r>
    </w:p>
    <w:p>
      <w:pPr>
        <w:pStyle w:val="Heading2"/>
      </w:pPr>
      <w:r>
        <w:t>7.1 The pathway is a sequence, not one event</w:t>
      </w:r>
    </w:p>
    <w:p>
      <w:pPr>
        <w:pStyle w:val="Heading2"/>
      </w:pPr>
      <w:r>
        <w:t>7.2 Initial and subsequent APCC registrations</w:t>
      </w:r>
    </w:p>
    <w:p>
      <w:pPr>
        <w:spacing w:after="60"/>
      </w:pPr>
      <w:r>
        <w:t>An APCC registration can be renewed a maximum of five times, producing a six-year life span. When no further renewals are possible, a person may seek a subsequent registration if the current requirements are met and the California Law and Ethics examination has been passed. A person holding a subsequent APCC registration may not work or volunteer in a private practice or professional corporation. Passage of the exam does not remove that setting restriction.</w:t>
      </w:r>
    </w:p>
    <w:p>
      <w:pPr>
        <w:pStyle w:val="Heading2"/>
      </w:pPr>
      <w:r>
        <w:t>7.3 Supervised-experience threshold</w:t>
      </w:r>
    </w:p>
    <w:p>
      <w:pPr>
        <w:spacing w:after="60"/>
      </w:pPr>
      <w:r>
        <w:t>A minimum of 3,000 postdegree hours completed over at least two years, or 104 weeks.</w:t>
      </w:r>
    </w:p>
    <w:p>
      <w:pPr>
        <w:spacing w:after="60"/>
      </w:pPr>
      <w:r>
        <w:t>No more than 40 hours may be credited in any seven consecutive days.</w:t>
      </w:r>
    </w:p>
    <w:p>
      <w:pPr>
        <w:spacing w:after="60"/>
      </w:pPr>
      <w:r>
        <w:t>At least 1,750 hours consist of direct clinical counseling with individuals, groups, couples, or families using recognized interventions and psychotherapeutic techniques.</w:t>
      </w:r>
    </w:p>
    <w:p>
      <w:pPr>
        <w:spacing w:after="60"/>
      </w:pPr>
      <w:r>
        <w:t>No more than 1,250 hours may consist of the specified nonclinical practice activities, including direct supervisor contact, assessment-related work, records, advocacy, and approved training.</w:t>
      </w:r>
    </w:p>
    <w:p>
      <w:pPr>
        <w:spacing w:after="60"/>
      </w:pPr>
      <w:r>
        <w:t>Experience must satisfy status, setting, supervision, documentation, and recency rules; a raw total alone is not enough.</w:t>
      </w:r>
    </w:p>
    <w:p>
      <w:pPr>
        <w:pStyle w:val="Heading2"/>
      </w:pPr>
      <w:r>
        <w:t>7.4 California Law and Ethics versus NCMHCE</w:t>
      </w:r>
    </w:p>
    <w:p>
      <w:pPr>
        <w:pStyle w:val="Heading2"/>
      </w:pPr>
      <w:r>
        <w:t>7.5 Official outline and tested weighting</w:t>
      </w:r>
    </w:p>
    <w:p>
      <w:pPr>
        <w:spacing w:after="60"/>
      </w:pPr>
      <w:r>
        <w:t>The current official outline is effective February 2024 and assigns 44% to Law and 56% to Ethics. Law is organized as Consent, Confidentiality, and Privilege (16%); Limits to Confidentiality and Mandated Reporting (16%); and Legal Standards for Professional Practice (12%). Ethics is organized as Professional Competence and Integrity (16%); Responsibility to Clients and Counseling Relationships (24%); and Practice Policies and Professional Responsibilities (16%). CTA assessment allocation must reflect the outline while also covering the license-specific module.</w:t>
      </w:r>
    </w:p>
    <w:p>
      <w:pPr>
        <w:pStyle w:val="Heading2"/>
      </w:pPr>
      <w:r>
        <w:t>7.6 Retesting and active participation</w:t>
      </w:r>
    </w:p>
    <w:p>
      <w:pPr>
        <w:spacing w:after="60"/>
      </w:pPr>
      <w:r>
        <w:t>Current regulation requires a 90-day waiting period between California Law and Ethics examination attempts. The LPCC statute permits retesting after failure upon payment of the required fee without a new application. Application and registration status still matter, so candidates should follow current BBS instructions rather than relying on another profession's timing materials or an older handbook.</w:t>
      </w:r>
    </w:p>
    <w:p>
      <w:pPr>
        <w:pStyle w:val="Heading2"/>
      </w:pPr>
      <w:r>
        <w:t>Guided Application 7A - Passing Law and Ethics before experience is complete</w:t>
      </w:r>
    </w:p>
    <w:p>
      <w:pPr>
        <w:spacing w:after="60"/>
      </w:pPr>
      <w:r>
        <w:t>Facts. An APCC passes the California Law and Ethics examination but has completed only 2,200 qualifying supervised hours.</w:t>
      </w:r>
    </w:p>
    <w:p>
      <w:pPr>
        <w:spacing w:after="60"/>
      </w:pPr>
      <w:r>
        <w:t>Controlled analysis. Passage satisfies one milestone; it does not create NCMHCE eligibility or an LPCC license. The APCC remains unlicensed and supervised and must complete qualifying education, experience, application, and other prerequisites before BBS transmits clinical-exam eligibility.</w:t>
      </w:r>
    </w:p>
    <w:p>
      <w:pPr>
        <w:pStyle w:val="Heading2"/>
      </w:pPr>
      <w:r>
        <w:t>Guided Application 7B - Subsequent registration and private practice</w:t>
      </w:r>
    </w:p>
    <w:p>
      <w:pPr>
        <w:spacing w:after="60"/>
      </w:pPr>
      <w:r>
        <w:t>Facts. An APCC passes Law and Ethics, receives a subsequent registration number after the original registration reaches its six-year limit, and is offered a position in a private practice.</w:t>
      </w:r>
    </w:p>
    <w:p>
      <w:pPr>
        <w:spacing w:after="60"/>
      </w:pPr>
      <w:r>
        <w:t>Controlled analysis. Passing Law and Ethics permits the subsequent-registration step but does not authorize private-practice or professional-corporation work under that subsequent registration. The setting restriction remains controlling.</w:t>
      </w:r>
    </w:p>
    <w:p>
      <w:pPr>
        <w:pStyle w:val="Heading2"/>
      </w:pPr>
      <w:r>
        <w:t>Unit 7 summary</w:t>
      </w:r>
    </w:p>
    <w:p>
      <w:pPr>
        <w:spacing w:after="60"/>
      </w:pPr>
      <w:r>
        <w:t>TAKEN, PASSED, RENEWED, SUBSEQUENTLY REGISTERED, ELIGIBLE, and LICENSED describe different milestones.</w:t>
      </w:r>
    </w:p>
    <w:p>
      <w:pPr>
        <w:spacing w:after="60"/>
      </w:pPr>
      <w:r>
        <w:t>An APCC remains unlicensed and supervised after passing Law and Ethics.</w:t>
      </w:r>
    </w:p>
    <w:p>
      <w:pPr>
        <w:spacing w:after="60"/>
      </w:pPr>
      <w:r>
        <w:t>A subsequent APCC registration requires passage and carries a private-practice/professional-corporation restriction.</w:t>
      </w:r>
    </w:p>
    <w:p>
      <w:pPr>
        <w:spacing w:after="60"/>
      </w:pPr>
      <w:r>
        <w:t>The NCMHCE is the separate clinical examination in the current pathway and is outside this product.</w:t>
      </w:r>
    </w:p>
    <w:p>
      <w:pPr>
        <w:spacing w:after="60"/>
      </w:pPr>
      <w:r>
        <w:t>CTA assessment counts are instructional architecture, not representations of the official administration or guarantees of passage.</w:t>
      </w:r>
    </w:p>
    <w:p>
      <w:pPr>
        <w:pStyle w:val="Heading2"/>
      </w:pPr>
      <w:r>
        <w:t>Current source anchors</w:t>
      </w:r>
    </w:p>
    <w:p>
      <w:pPr>
        <w:spacing w:after="60"/>
      </w:pPr>
      <w:r>
        <w:t>BBS LPCC Applicant Pathway</w:t>
      </w:r>
    </w:p>
    <w:p>
      <w:pPr>
        <w:spacing w:after="60"/>
      </w:pPr>
      <w:r>
        <w:t>BPC sections 4999.42, 4999.46, 4999.46.1, 4999.50, 4999.53, 4999.55, and 4999.100</w:t>
      </w:r>
    </w:p>
    <w:p>
      <w:pPr>
        <w:spacing w:after="60"/>
      </w:pPr>
      <w:r>
        <w:t>Official LPCC Law and Ethics Examination Outline</w:t>
      </w:r>
    </w:p>
    <w:p>
      <w:r>
        <w:br w:type="page"/>
      </w:r>
    </w:p>
    <w:p>
      <w:pPr>
        <w:pStyle w:val="Heading1"/>
      </w:pPr>
      <w:r>
        <w:t>Unit 8 - Integrated LPCC/APCC Application</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INTEGRATED DECISION SEQUENCE | STATUS -&gt; SETTING -&gt; SCOPE -&gt; COMPETENCE -&gt; SOURCE -&gt; SAFEGUARD -&gt; STEP -&gt; RECORD</w:t>
            </w:r>
          </w:p>
        </w:tc>
      </w:tr>
    </w:tbl>
    <w:p>
      <w:r>
        <w:t>Integrated examination items often combine more than one issue. The strongest response separates the issues before acting. First identify who the professional is and where the service occurs. Then determine legal scope and individual competence. Identify the controlling authority, apply the least disruptive safeguard that fully protects the client, choose the correct next step, and document significant reasoning and follow-through.</w:t>
      </w:r>
    </w:p>
    <w:p>
      <w:pPr>
        <w:pStyle w:val="Heading2"/>
      </w:pPr>
      <w:r>
        <w:t>Integrated Checklist</w:t>
      </w:r>
    </w:p>
    <w:p>
      <w:pPr>
        <w:pStyle w:val="ListBullet"/>
        <w:spacing w:after="30"/>
      </w:pPr>
      <w:r>
        <w:t>STATUS - LPCC, APCC, applicant, supervisor, employer, or another role?</w:t>
      </w:r>
    </w:p>
    <w:p>
      <w:pPr>
        <w:pStyle w:val="ListBullet"/>
        <w:spacing w:after="30"/>
      </w:pPr>
      <w:r>
        <w:t>SETTING - Is the employment, volunteer, supervision, payment, and service location lawful for the actor?</w:t>
      </w:r>
    </w:p>
    <w:p>
      <w:pPr>
        <w:pStyle w:val="ListBullet"/>
        <w:spacing w:after="30"/>
      </w:pPr>
      <w:r>
        <w:t>SCOPE - Is the service within professional clinical counseling and the person's present authority?</w:t>
      </w:r>
    </w:p>
    <w:p>
      <w:pPr>
        <w:pStyle w:val="ListBullet"/>
        <w:spacing w:after="30"/>
      </w:pPr>
      <w:r>
        <w:t>COMPETENCE - Does the professional have the preparation and current functioning required for this service and risk?</w:t>
      </w:r>
    </w:p>
    <w:p>
      <w:pPr>
        <w:pStyle w:val="ListBullet"/>
        <w:spacing w:after="30"/>
      </w:pPr>
      <w:r>
        <w:t>SOURCE - Which statute, regulation, BBS requirement, ethics standard, or policy actually controls the issue?</w:t>
      </w:r>
    </w:p>
    <w:p>
      <w:pPr>
        <w:pStyle w:val="ListBullet"/>
        <w:spacing w:after="30"/>
      </w:pPr>
      <w:r>
        <w:t>SAFEGUARD - What action protects the client without adding unnecessary disclosure, disruption, or delay?</w:t>
      </w:r>
    </w:p>
    <w:p>
      <w:pPr>
        <w:pStyle w:val="ListBullet"/>
        <w:spacing w:after="30"/>
      </w:pPr>
      <w:r>
        <w:t>STEP - What should happen first or next under the facts?</w:t>
      </w:r>
    </w:p>
    <w:p>
      <w:pPr>
        <w:pStyle w:val="ListBullet"/>
        <w:spacing w:after="30"/>
      </w:pPr>
      <w:r>
        <w:t>RECORD - What significant assessment, consultation, consent, correction, referral, or follow-up should be documented?</w:t>
      </w:r>
    </w:p>
    <w:p>
      <w:pPr>
        <w:pStyle w:val="Heading2"/>
      </w:pPr>
      <w:r>
        <w:t>Integrated Application 8A</w:t>
      </w:r>
    </w:p>
    <w:p>
      <w:r>
        <w:t>An APCC is competent to provide a counseling service but is offered a payment arrangement that does not comply with associate rules. Do not confuse competence with legal authority. Correct the status/setting/payment problem first, protect continuity, and use supervision and employer channels to implement a lawful arrangement.</w:t>
      </w:r>
    </w:p>
    <w:p>
      <w:pPr>
        <w:pStyle w:val="Heading2"/>
      </w:pPr>
      <w:r>
        <w:t>Integrated Application 8B</w:t>
      </w:r>
    </w:p>
    <w:p>
      <w:r>
        <w:t>An LPCC uses an assessment tool that is generally within the profession's assessment scope but has not been trained to administer or interpret it. Legal scope does not establish individual competence. Obtain appropriate preparation, consultation, or referral before relying on results.</w:t>
      </w:r>
    </w:p>
    <w:p>
      <w:pPr>
        <w:pStyle w:val="Heading2"/>
      </w:pPr>
      <w:r>
        <w:t>Unit 8 Summary</w:t>
      </w:r>
    </w:p>
    <w:p>
      <w:r>
        <w:t>The exam rewards correct sequencing. Identify the actor and legal boundary, assess actual competence and risk, apply the controlling source, protect the client, then document the decision and follow-through.</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LPCC/APCC License-Specific Module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