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45-CHAPTER EXAM TRAPS &amp; CORRECTION RULES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A chapter-by-chapter guide to tempting mistakes and stronger reasoning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p>
      <w:pPr>
        <w:pStyle w:val="Heading1"/>
      </w:pPr>
      <w:r>
        <w:t>How to Use This Toolkit</w:t>
      </w:r>
    </w:p>
    <w:p>
      <w:pPr>
        <w:spacing w:after="100" w:line="252" w:lineRule="auto"/>
      </w:pPr>
      <w:r>
        <w:t>The goal is not to memorize “tricks.” Each trap represents a predictable reasoning error: wrong authority, wrong actor, wrong sequence, overgeneralization, excessive response, or failure to distinguish related concepts. Use the correction rule to explain why the distractor is weaker.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736"/>
        <w:gridCol w:w="2592"/>
        <w:gridCol w:w="28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Topic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Common trap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3"/>
              </w:rPr>
              <w:t>Correction rule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Foundations of Informed Consent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a signed form as the whole consent process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Look for meaningful information, understanding, voluntariness, choice, and documentation.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WB1-C2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Information Required for Informed Decision-Making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more pages automatically mean better disclosure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Choose proportionate, understandable, decision-relevant information.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WB1-C3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Ongoing Informed Consent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Believing the intake signature authorizes every later change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Material changes trigger renewed discussion and choice.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WB1-C4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Required Disclosures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Combining separate notices and disclosures into one vague requirement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Identify the exact rule and timing for each disclosure.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WB1-C5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General Consent Requirements for Minors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the adult who pays or transports the minor can consent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Verify custody, guardianship, authorization, or another lawful basis.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WB1-C6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Minor Consent Exceptions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Using the pre-July-2024 danger/abuse requirement as the current minor-consent rule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Current rule centers on age 12+ and sufficient maturity for qualifying outpatient services.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WB1-C7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Working with Parents and Families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Equating parental consent with unlimited confidentiality or record access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Analyze consent, participation, confidentiality, and access separately.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WB2-C1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Telehealth Foundations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telehealth as a different scope of practice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Technology changes delivery, not the underlying legal scope.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WB2-C2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Telehealth Informed Consent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telehealth consent must always be written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Current law permits verbal or written consent when properly obtained and documented.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WB2-C3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Telehealth Privacy and Security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Letting the word “encrypted” end the privacy analysis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Assess physical environment, access, vendor, device, and workflow risks too.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WB2-C4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Technology, Electronic Communication, and Professional Responsibilities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Believing a disclaimer eliminates duties for messages actually received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Once risk information is known, assess and respond appropriately.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WB2-C5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Social Media, Boundaries, and Digital Ethics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public client information can be freely used by a counselor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Purpose, boundaries, privacy, confidentiality, and client impact still matter.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WB2-C6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Technology Risk Management and Compliance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Calling every security incident a reportable breach immediately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Contain and investigate first; notification depends on applicable law and facts.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WB3-C1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Professional Competence Foundations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a license as proof of competence in every specialty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Match actual preparation and current functioning to the specific service.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WB3-C2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Scope of Practice vs. Scope of Competence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Using competence to justify a statutorily excluded activity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Competence cannot expand legal scope.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WB3-C3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Maintaining Professional Competence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Equating CE completion with actual competence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Ask whether current learning addresses the clinician’s real practice needs.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WB3-C4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Consultation and Seeking Professional Assistance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Using consultation as permission or immunity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Consultation informs; responsibility remains with the professional.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WB3-C5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Clinical Supervision, Feedback, and Accountability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supervision as supportive conversation only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Evaluation, accountability, client protection, and gatekeeping are also central.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WB3-C6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Professional Roles and Role Clarification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Ignoring role words such as APCC, LPCC, trainee, supervisor, applicant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Role controls authority, title, setting, supervision, and disclosure duties.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WB4-C1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Recognizing Professional Impairment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Equating diagnosis or stress with impairment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Look for actual decline in professional functioning or client safety.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WB4-C2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Substance Use and Professional Impairment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Focusing only on whether a substance is legal or prescribed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The decisive issue is functional impact and safe practice.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WB4-C3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Mental Health, Burnout, and Compassion Fatigue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burnout is merely a private wellness issue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When functioning is affected, professional duties are implicated.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WB4-C4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Physical Conditions, Fatigue, and Professional Functioning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Ignoring sleep, medication, illness, or fatigue because they are temporary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Temporary limitations can still require proportionate practice modification.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WB4-C5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Responding Ethically to Professional Impairment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Jumping to permanent exclusion or doing nothing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Choose the least extreme response that still protects clients and supports reassessment.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WB5-C1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The Principle of Nonmaleficence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Waiting for actual harm before responding to foreseeable risk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Prevention is part of nonmaleficence.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WB5-C2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Avoiding and Preventing Client Harm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Completing documentation before addressing an immediate client-safety problem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Protect first, then document and correct the system.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WB5-C3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Beneficence and Promoting Client Welfare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Continuing ineffective treatment indefinitely to avoid “abandonment”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Reassess benefit, plan transition, and preserve continuity.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WB5-C4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Professional Responsibility and Accountability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employer policy transfers professional responsibility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Policy guides workflow but does not erase individual legal/ethical duties.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WB5-C5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Professional Judgment and Ethical Decision-Making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Choosing the most aggressive action because it sounds protective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Match action to authority, urgency, facts, and least-intrusive effective protection.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WB6-C1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Professional Boundaries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every nonstandard interaction as unethical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Analyze purpose, context, power, vulnerability, alternatives, and impact.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WB6-C2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Boundary Crossings and Boundary Violations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client benefit or good intent automatically makes a crossing safe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Transparency and purpose help, but pattern, power, dependency, and impact still matter.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WB6-C3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Multiple and Dual Relationships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client consent as a cure for dual-role risk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Consent does not erase power or conflicting professional obligations.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WB6-C4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Gifts, Bartering, and Financial Relationships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Evaluating financial arrangements only by whether money changes hands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Assess pressure, exploitation, conflicts, transparency, and care impact.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WB6-C5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Sexual Misconduct and Client Exploitation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Applying ordinary boundary flexibility to sexual exploitation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Recognize the heightened statutory and ethical prohibition structure.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WB7-C1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Cultural Humility and Culturally Responsive Practice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Claiming competence because the counselor shares—or does not share—the client’s identity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Use humility, individualized understanding, and relevant skill.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WB7-C2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Bias, Assumptions, and Ethical Decision-Making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Treating intuition or first impressions as facts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Separate observations, interpretations, assumptions, and alternative explanations.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WB7-C3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Working With Diverse Populations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Using one cultural stereotype to explain a client’s behavior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Assess the individual client’s meaning, context, language, and preferences.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WB8-C1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Confidentiality in Individual, Couple, Family, and Group Treatment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confidentiality and privilege are the same concept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Identify whether the question is about professional disclosure or courtroom evidentiary privilege.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WB8-C2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Authorizations, Releases of Information, and Limits on Disclosure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Releasing the whole file because a request or authorization exists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Verify authority, scope, recipient, expiration, and limits.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WB8-C3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Privacy, Protected Health Information, and HIPAA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Assuming HIPAA is the only privacy law that matters in California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Determine HIPAA applicability and separate it from California confidentiality duties.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WB8-C4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Client Access to Records and Responding to Record Requests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Withholding records because the client owes money or may be upset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Use the statutory access framework and narrow lawful restrictions.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WB9-C1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Clinical Documentation Standards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Writing either too little to support care or too much irrelevant detail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Document the material clinical facts, reasoning, decisions, and follow-up.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WB9-C2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Documentation Errors, Risk Management, and High-Risk Situations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Deleting an erroneous note as if it never existed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Correct transparently and preserve the integrity of the record history.</w:t>
            </w:r>
          </w:p>
        </w:tc>
      </w:tr>
      <w:tr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WB9-C3</w:t>
            </w:r>
          </w:p>
        </w:tc>
        <w:tc>
          <w:tcPr>
            <w:tcW w:type="dxa" w:w="27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Record Retention Requirements</w:t>
            </w:r>
          </w:p>
        </w:tc>
        <w:tc>
          <w:tcPr>
            <w:tcW w:type="dxa" w:w="25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Using a generic “keep records six years” rule</w:t>
            </w:r>
          </w:p>
        </w:tc>
        <w:tc>
          <w:tcPr>
            <w:tcW w:type="dxa" w:w="28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For LPCC health-service records, use California’s seven-year statutory minimum and minor rule.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WB9-C4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Record Security, Storage, and Record Destruction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Thinking retention ends the analysis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3"/>
              </w:rPr>
              <w:t>Security, access, backup, legal holds, incident response, and destruction are separate lifecycle duties.</w:t>
            </w:r>
          </w:p>
        </w:tc>
      </w:tr>
    </w:tbl>
    <w:p>
      <w:pPr>
        <w:pStyle w:val="Heading1"/>
      </w:pPr>
      <w:r>
        <w:t>Programwide Correction Rules</w:t>
      </w:r>
    </w:p>
    <w:p>
      <w:pPr>
        <w:pStyle w:val="ListBullet"/>
        <w:spacing w:after="40"/>
      </w:pPr>
      <w:r>
        <w:t>Identify the actor before selecting the rule. LPCC, registered APCC, trainee, supervisor, applicant, client, parent, and privilege holder are not interchangeable.</w:t>
      </w:r>
    </w:p>
    <w:p>
      <w:pPr>
        <w:pStyle w:val="ListBullet"/>
        <w:spacing w:after="40"/>
      </w:pPr>
      <w:r>
        <w:t>Legal scope comes before individual competence when the statute expressly excludes an activity.</w:t>
      </w:r>
    </w:p>
    <w:p>
      <w:pPr>
        <w:pStyle w:val="ListBullet"/>
        <w:spacing w:after="40"/>
      </w:pPr>
      <w:r>
        <w:t>A legally permitted action may still be ethically excessive; a preferred ethical action may not replace a legal mandate.</w:t>
      </w:r>
    </w:p>
    <w:p>
      <w:pPr>
        <w:pStyle w:val="ListBullet"/>
        <w:spacing w:after="40"/>
      </w:pPr>
      <w:r>
        <w:t>Urgency changes sequence. Immediate protection can precede routine information gathering, but urgency does not create unrelated legal authority.</w:t>
      </w:r>
    </w:p>
    <w:p>
      <w:pPr>
        <w:pStyle w:val="ListBullet"/>
        <w:spacing w:after="40"/>
      </w:pPr>
      <w:r>
        <w:t>Signatures, releases, waivers, disclaimers, and policies are evidence/tools—not substitutes for professional judgment or statutory requirements.</w:t>
      </w:r>
    </w:p>
    <w:p>
      <w:pPr>
        <w:pStyle w:val="ListBullet"/>
        <w:spacing w:after="40"/>
      </w:pPr>
      <w:r>
        <w:t>Consultation informs; it does not transfer responsibility.</w:t>
      </w:r>
    </w:p>
    <w:p>
      <w:pPr>
        <w:pStyle w:val="ListBullet"/>
        <w:spacing w:after="40"/>
      </w:pPr>
      <w:r>
        <w:t>Documentation supports action; it does not replace action.</w:t>
      </w:r>
    </w:p>
    <w:p>
      <w:pPr>
        <w:pStyle w:val="ListBullet"/>
        <w:spacing w:after="40"/>
      </w:pPr>
      <w:r>
        <w:t>Client consent does not eliminate scope, competence, power, exploitation, confidentiality, or reporting duties.</w:t>
      </w:r>
    </w:p>
    <w:p>
      <w:pPr>
        <w:pStyle w:val="ListBullet"/>
        <w:spacing w:after="40"/>
      </w:pPr>
      <w:r>
        <w:t>Avoid binary thinking when the stronger answer combines protection, clarification, continuity, and documentation.</w:t>
      </w:r>
    </w:p>
    <w:p>
      <w:pPr>
        <w:pStyle w:val="ListBullet"/>
        <w:spacing w:after="40"/>
      </w:pPr>
      <w:r>
        <w:t>Use current source dates for law, regulation, examination administration, and ethics rather than relying on older cross-license memories.</w:t>
      </w:r>
    </w:p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