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6200" cy="2673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73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" w:hAnsi="Noto Sans"/>
          <w:b/>
          <w:color w:val="17365D"/>
          <w:sz w:val="46"/>
        </w:rPr>
        <w:t>LPCC LAW &amp; ETHICS — 45-CHAPTER MASTER STUDY MAP &amp; READINESS CHECKLIST</w:t>
      </w:r>
    </w:p>
    <w:p>
      <w:pPr>
        <w:jc w:val="center"/>
      </w:pPr>
      <w:r>
        <w:rPr>
          <w:rFonts w:ascii="Noto Sans" w:hAnsi="Noto Sans"/>
          <w:color w:val="1DA9A3"/>
          <w:sz w:val="24"/>
        </w:rPr>
        <w:t>A printable roadmap for sequencing, self-rating, and targeted remediation</w:t>
      </w:r>
    </w:p>
    <w:p>
      <w:pPr>
        <w:jc w:val="center"/>
      </w:pPr>
      <w:r>
        <w:rPr>
          <w:rFonts w:ascii="Noto Sans" w:hAnsi="Noto Sans"/>
          <w:b/>
          <w:sz w:val="20"/>
        </w:rPr>
        <w:t>Version 1.1 | August 7, 2026</w:t>
      </w:r>
    </w:p>
    <w:p>
      <w:pPr>
        <w:jc w:val="center"/>
      </w:pPr>
      <w:r>
        <w:rPr>
          <w:rFonts w:ascii="Noto Sans" w:hAnsi="Noto Sans"/>
          <w:b/>
          <w:color w:val="17365D"/>
          <w:sz w:val="18"/>
        </w:rPr>
        <w:t>LEARNER RESOURCE | RELEASE VERSION | NO CE CREDIT</w:t>
      </w:r>
    </w:p>
    <w:p>
      <w:pPr>
        <w:jc w:val="center"/>
      </w:pPr>
      <w:r>
        <w:rPr>
          <w:rFonts w:ascii="Noto Sans" w:hAnsi="Noto Sans"/>
          <w:i/>
          <w:color w:val="1DA9A3"/>
          <w:sz w:val="20"/>
        </w:rPr>
        <w:t>Teaching Clinicians How to Think.</w:t>
      </w:r>
    </w:p>
    <w:p>
      <w:r>
        <w:br w:type="page"/>
      </w:r>
    </w:p>
    <w:p>
      <w:pPr>
        <w:pStyle w:val="Heading1"/>
      </w:pPr>
      <w:r>
        <w:t>Purpose and Use</w:t>
      </w:r>
    </w:p>
    <w:p>
      <w:pPr>
        <w:spacing w:after="100" w:line="252" w:lineRule="auto"/>
      </w:pPr>
      <w:r>
        <w:t>Use this toolkit to track the nine-workbook, 45-chapter LPCC Law &amp; Ethics study sequence. It is a planning and retrieval tool—not a scored assessment and not a substitute for the complete workbooks, rationales, current BBS materials, or official candidate handbook.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EAF6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Noto Sans" w:hAnsi="Noto Sans"/>
                <w:b/>
                <w:color w:val="17365D"/>
                <w:sz w:val="20"/>
              </w:rPr>
              <w:t>SELF-PACED ACCESS</w:t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The recommended order is guidance only. CTA Exam Preparation Programs are self-paced; printable study materials should remain available from the beginning rather than being locked behind module or assessment completion.</w:t>
            </w:r>
          </w:p>
        </w:tc>
      </w:tr>
    </w:tbl>
    <w:p/>
    <w:p>
      <w:pPr>
        <w:pStyle w:val="Heading2"/>
      </w:pPr>
      <w:r>
        <w:t>Recommended Program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5400"/>
      </w:tblGrid>
      <w:tr>
        <w:trPr>
          <w:tblHeader w:val="true"/>
        </w:trPr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Position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3485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Study purpose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Start Here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Program identity, no-CE notice, study instructions, official-source reminder</w:t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LPCC/APCC License-Specific Module</w:t>
            </w:r>
          </w:p>
        </w:tc>
        <w:tc>
          <w:tcPr>
            <w:tcW w:type="dxa" w:w="54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Status, scope, assessment boundaries, advertising, supervision, professional conduct, exam-path distinctions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3–11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Workbooks 1–9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45 chapter pathways with assessment and remediation</w:t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Practice Examination A</w:t>
            </w:r>
          </w:p>
        </w:tc>
        <w:tc>
          <w:tcPr>
            <w:tcW w:type="dxa" w:w="54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50-question cumulative practice and performance analysis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Practice Examination B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50 distinct cumulative questions and transfer practice</w:t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Comprehensive Final</w:t>
            </w:r>
          </w:p>
        </w:tc>
        <w:tc>
          <w:tcPr>
            <w:tcW w:type="dxa" w:w="54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100-question endurance/readiness practice and final remediation plan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Study Center</w:t>
            </w:r>
          </w:p>
        </w:tc>
        <w:tc>
          <w:tcPr>
            <w:tcW w:type="dxa" w:w="54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Flashcards, rapid review, schedules, error log, and toolkits</w:t>
            </w:r>
          </w:p>
        </w:tc>
      </w:tr>
      <w:tr>
        <w:tc>
          <w:tcPr>
            <w:tcW w:type="dxa" w:w="93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16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Program Close</w:t>
            </w:r>
          </w:p>
        </w:tc>
        <w:tc>
          <w:tcPr>
            <w:tcW w:type="dxa" w:w="54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Next-step planning and separate NCMHCE pathway distinction</w:t>
            </w:r>
          </w:p>
        </w:tc>
      </w:tr>
    </w:tbl>
    <w:p>
      <w:pPr>
        <w:pStyle w:val="Heading1"/>
      </w:pPr>
      <w:r>
        <w:t>45-Chapter Readiness Tracker</w:t>
      </w:r>
    </w:p>
    <w:p>
      <w:pPr>
        <w:spacing w:after="100" w:line="252" w:lineRule="auto"/>
      </w:pPr>
      <w:r>
        <w:t>Rate each chapter after a focused study cycle: 0 = unfamiliar; 1 = recognize but cannot explain; 2 = can explain and solve routine items; 3 = can apply under mixed or difficult scenarios. Revisit low-scoring chapters after remediation.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648"/>
        <w:gridCol w:w="4752"/>
        <w:gridCol w:w="792"/>
        <w:gridCol w:w="1080"/>
        <w:gridCol w:w="1368"/>
      </w:tblGrid>
      <w:tr>
        <w:trPr>
          <w:tblHeader w:val="true"/>
        </w:trPr>
        <w:tc>
          <w:tcPr>
            <w:tcW w:type="dxa" w:w="174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WB</w:t>
            </w:r>
          </w:p>
        </w:tc>
        <w:tc>
          <w:tcPr>
            <w:tcW w:type="dxa" w:w="174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Ch.</w:t>
            </w:r>
          </w:p>
        </w:tc>
        <w:tc>
          <w:tcPr>
            <w:tcW w:type="dxa" w:w="174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Chapter</w:t>
            </w:r>
          </w:p>
        </w:tc>
        <w:tc>
          <w:tcPr>
            <w:tcW w:type="dxa" w:w="174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0–3</w:t>
            </w:r>
          </w:p>
        </w:tc>
        <w:tc>
          <w:tcPr>
            <w:tcW w:type="dxa" w:w="174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1742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4"/>
              </w:rPr>
              <w:t>Next action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Foundations of Informed Consent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Information Required for Informed Decision-Making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Ongoing Informed Consent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Required Disclosures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General Consent Requirements for Minors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Minor Consent Exceptions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Working with Parents and Families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Foundations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Informed Consent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Telehealth Privacy and Security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Technology, Electronic Communication, and Professional Responsibilities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Social Media, Boundaries, and Digital Ethics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Technology Risk Management and Compliance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Competence Foundations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Scope of Practice vs. Scope of Competence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Maintaining Professional Competence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Consultation and Seeking Professional Assistance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Clinical Supervision, Feedback, and Accountability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Roles and Role Clarification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Recognizing Professional Impairment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Substance Use and Professional Impairment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Mental Health, Burnout, and Compassion Fatigue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Physical Conditions, Fatigue, and Professional Functioning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Responding Ethically to Professional Impairment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The Principle of Nonmaleficence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Avoiding and Preventing Client Harm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Beneficence and Promoting Client Welfare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Responsibility and Accountability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Judgment and Ethical Decision-Making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Professional Boundaries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Boundary Crossings and Boundary Violations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Multiple and Dual Relationships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Gifts, Bartering, and Financial Relationships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Sexual Misconduct and Client Exploitation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Cultural Humility and Culturally Responsive Practice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Bias, Assumptions, and Ethical Decision-Making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Working With Diverse Populations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Confidentiality in Individual, Couple, Family, and Group Treatment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Authorizations, Releases of Information, and Limits on Disclosure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Privacy, Protected Health Information, and HIPAA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Client Access to Records and Responding to Record Requests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Clinical Documentation Standards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Documentation Errors, Risk Management, and High-Risk Situations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47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Record Retention Requirements</w:t>
            </w:r>
          </w:p>
        </w:tc>
        <w:tc>
          <w:tcPr>
            <w:tcW w:type="dxa" w:w="79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Record Security, Storage, and Record Destruction</w:t>
            </w:r>
          </w:p>
        </w:tc>
        <w:tc>
          <w:tcPr>
            <w:tcW w:type="dxa" w:w="7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</w:t>
            </w:r>
          </w:p>
        </w:tc>
        <w:tc>
          <w:tcPr>
            <w:tcW w:type="dxa" w:w="10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4"/>
              </w:rPr>
              <w:t>________________</w:t>
            </w:r>
          </w:p>
        </w:tc>
      </w:tr>
    </w:tbl>
    <w:p>
      <w:pPr>
        <w:pStyle w:val="Heading1"/>
      </w:pPr>
      <w:r>
        <w:t>Study Priority Ranking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008"/>
        <w:gridCol w:w="2880"/>
        <w:gridCol w:w="3384"/>
        <w:gridCol w:w="1152"/>
      </w:tblGrid>
      <w:tr>
        <w:trPr>
          <w:tblHeader w:val="true"/>
        </w:trPr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Rank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WB/Ch.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Chapter or concept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Why it needs work</w:t>
            </w:r>
          </w:p>
        </w:tc>
        <w:tc>
          <w:tcPr>
            <w:tcW w:type="dxa" w:w="2091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Recheck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0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  <w:tr>
        <w:tc>
          <w:tcPr>
            <w:tcW w:type="dxa" w:w="64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008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</w:t>
            </w:r>
          </w:p>
        </w:tc>
        <w:tc>
          <w:tcPr>
            <w:tcW w:type="dxa" w:w="288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3384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________________________</w:t>
            </w:r>
          </w:p>
        </w:tc>
        <w:tc>
          <w:tcPr>
            <w:tcW w:type="dxa" w:w="1152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6"/>
              </w:rPr>
              <w:t>________</w:t>
            </w:r>
          </w:p>
        </w:tc>
      </w:tr>
    </w:tbl>
    <w:p>
      <w:pPr>
        <w:pStyle w:val="Heading1"/>
      </w:pPr>
      <w:r>
        <w:t>Readiness Self-Check</w:t>
      </w:r>
    </w:p>
    <w:p>
      <w:pPr>
        <w:pStyle w:val="ListBullet"/>
        <w:spacing w:after="40"/>
      </w:pPr>
      <w:r>
        <w:t>☐ I can identify whether the stem is primarily legal, ethical, professional-practice, or mixed.</w:t>
      </w:r>
    </w:p>
    <w:p>
      <w:pPr>
        <w:pStyle w:val="ListBullet"/>
        <w:spacing w:after="40"/>
      </w:pPr>
      <w:r>
        <w:t>☐ I can identify the exact actor: LPCC, registered APCC, trainee, supervisor, applicant, client, representative, or third party.</w:t>
      </w:r>
    </w:p>
    <w:p>
      <w:pPr>
        <w:pStyle w:val="ListBullet"/>
        <w:spacing w:after="40"/>
      </w:pPr>
      <w:r>
        <w:t>☐ I can separate legal scope from individual competence.</w:t>
      </w:r>
    </w:p>
    <w:p>
      <w:pPr>
        <w:pStyle w:val="ListBullet"/>
        <w:spacing w:after="40"/>
      </w:pPr>
      <w:r>
        <w:t>☐ I can distinguish confidentiality from evidentiary privilege and record-access rights.</w:t>
      </w:r>
    </w:p>
    <w:p>
      <w:pPr>
        <w:pStyle w:val="ListBullet"/>
        <w:spacing w:after="40"/>
      </w:pPr>
      <w:r>
        <w:t>☐ I can recognize when a timing word—FIRST, NEXT, BEST, INITIAL, PRIMARY—changes the required step.</w:t>
      </w:r>
    </w:p>
    <w:p>
      <w:pPr>
        <w:pStyle w:val="ListBullet"/>
        <w:spacing w:after="40"/>
      </w:pPr>
      <w:r>
        <w:t>☐ I can explain why the best answer is stronger and why the plausible distractors are weaker.</w:t>
      </w:r>
    </w:p>
    <w:p>
      <w:pPr>
        <w:pStyle w:val="ListBullet"/>
        <w:spacing w:after="40"/>
      </w:pPr>
      <w:r>
        <w:t>☐ I route missed questions to the exact workbook/chapter and record the error pattern rather than only the score.</w:t>
      </w:r>
    </w:p>
    <w:p>
      <w:pPr>
        <w:pStyle w:val="ListBullet"/>
        <w:spacing w:after="40"/>
      </w:pPr>
      <w:r>
        <w:t>☐ I verify date-sensitive law, regulation, exam administration, and ethics sources rather than relying on old memorized rules.</w:t>
      </w:r>
    </w:p>
    <w:p>
      <w:pPr>
        <w:pStyle w:val="Heading1"/>
      </w:pPr>
      <w:r>
        <w:t>Source Basis and Currency Control</w:t>
      </w:r>
    </w:p>
    <w:p>
      <w:pPr>
        <w:spacing w:after="100" w:line="252" w:lineRule="auto"/>
      </w:pPr>
      <w:r>
        <w:t>Source review date: August 7, 2026. California law and current official examination materials control if later changes conflict with this resource. The 2014 ACA Code of Ethics is the operative counseling-ethics source used for this release. CTA will update this resource when a later official ethics code or other material source change becomes effective.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5616"/>
      </w:tblGrid>
      <w:tr>
        <w:trPr>
          <w:tblHeader w:val="true"/>
        </w:trPr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Official source</w:t>
            </w:r>
          </w:p>
        </w:tc>
        <w:tc>
          <w:tcPr>
            <w:tcW w:type="dxa" w:w="5227"/>
            <w:shd w:fill="17365D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/>
                <w:color w:val="FFFFFF"/>
                <w:sz w:val="15"/>
              </w:rPr>
              <w:t>Reference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California Law and Ethics Examination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https://www.bbs.ca.gov/exams/calaw_ethics.html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2026 Statutes and Regulations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https://www.bbs.ca.gov/pdf/publications/lawsregs.pdf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Board of Behavioral Sciences — Law Changes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https://www.bbs.ca.gov/about/law_changes.html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Pearson VUE — California BBS examination resources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https://www.pearsonvue.com/us/en/bbs.html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Ethics Resources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https://www.counseling.org/resources/ethics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American Counseling Association — 2026 Code Revision Project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https://manifold.counseling.org/projects/aca-code-of-ethics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Penal Code §11166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https://leginfo.legislature.ca.gov/faces/codes_displaySection.xhtml?lawCode=PEN&amp;sectionNum=11166.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Family Code §6924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https://leginfo.legislature.ca.gov/faces/codes_displaySection.xhtml?lawCode=FAM&amp;sectionNum=6924.</w:t>
            </w:r>
          </w:p>
        </w:tc>
      </w:tr>
      <w:tr>
        <w:tc>
          <w:tcPr>
            <w:tcW w:type="dxa" w:w="36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Health &amp; Safety Code §123110 et seq.</w:t>
            </w:r>
          </w:p>
        </w:tc>
        <w:tc>
          <w:tcPr>
            <w:tcW w:type="dxa" w:w="56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https://leginfo.legislature.ca.gov/faces/codes_displayText.xhtml?article=&amp;chapter=1.&amp;division=106.&amp;lawCode=HSC&amp;part=1.&amp;title=</w:t>
            </w:r>
          </w:p>
        </w:tc>
      </w:tr>
      <w:tr>
        <w:tc>
          <w:tcPr>
            <w:tcW w:type="dxa" w:w="3600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California Legislative Information — Welfare &amp; Institutions Code §15630</w:t>
            </w:r>
          </w:p>
        </w:tc>
        <w:tc>
          <w:tcPr>
            <w:tcW w:type="dxa" w:w="5616"/>
            <w:shd w:fill="F2F4F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Noto Sans" w:hAnsi="Noto Sans"/>
                <w:b w:val="0"/>
                <w:color w:val="1F2937"/>
                <w:sz w:val="15"/>
              </w:rPr>
              <w:t>https://leginfo.legislature.ca.gov/faces/codes_displaySection.xhtml?lawCode=WIC&amp;sectionNum=15630.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10454"/>
            <w:shd w:fill="FFF4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CURRENTNESS AND UPDATE CONTROL</w:t>
            </w:r>
            <w:r>
              <w:rPr>
                <w:rFonts w:ascii="Noto Sans" w:hAnsi="Noto Sans"/>
                <w:b/>
                <w:color w:val="17365D"/>
                <w:sz w:val="20"/>
              </w:rPr>
            </w:r>
          </w:p>
          <w:p>
            <w:r>
              <w:rPr>
                <w:rFonts w:ascii="Noto Sans" w:hAnsi="Noto Sans"/>
                <w:color w:val="1F2937"/>
                <w:sz w:val="19"/>
              </w:rPr>
              <w:t>Approved for learner use under CTA-EP-003. Learners should review current official examination and licensing materials near their examination date. CTA will version and update this resource when material official requirements or ethics standards change.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E7681"/>
        <w:sz w:val="16"/>
      </w:rPr>
      <w:t>CTA | LPCC California Law &amp; Ethics Exam Preparation | LEARNER RESOURCE | RELEASE VERSION | NO CE CREDIT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57400" cy="14151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Horizontal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141514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/>
      <w:b/>
      <w:bCs/>
      <w:color w:val="1DA9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