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86200" cy="2673048"/>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3886200" cy="2673048"/>
                    </a:xfrm>
                    <a:prstGeom prst="rect"/>
                  </pic:spPr>
                </pic:pic>
              </a:graphicData>
            </a:graphic>
          </wp:inline>
        </w:drawing>
      </w:r>
    </w:p>
    <w:p>
      <w:pPr>
        <w:jc w:val="center"/>
      </w:pPr>
      <w:r>
        <w:rPr>
          <w:rFonts w:ascii="Noto Sans" w:hAnsi="Noto Sans"/>
          <w:b/>
          <w:color w:val="17365D"/>
          <w:sz w:val="46"/>
        </w:rPr>
        <w:t>LPCC CALIFORNIA LAW &amp; ETHICS EXAM — STRATEGY &amp; STUDY PLANNING TOOLKIT</w:t>
      </w:r>
    </w:p>
    <w:p>
      <w:pPr>
        <w:jc w:val="center"/>
      </w:pPr>
      <w:r>
        <w:rPr>
          <w:rFonts w:ascii="Noto Sans" w:hAnsi="Noto Sans"/>
          <w:color w:val="1DA9A3"/>
          <w:sz w:val="24"/>
        </w:rPr>
        <w:t>Question analysis, study sequencing, performance review, and final-week planning</w:t>
      </w:r>
    </w:p>
    <w:p>
      <w:pPr>
        <w:jc w:val="center"/>
      </w:pPr>
      <w:r>
        <w:rPr>
          <w:rFonts w:ascii="Noto Sans" w:hAnsi="Noto Sans"/>
          <w:b/>
          <w:sz w:val="20"/>
        </w:rPr>
        <w:t>Version 1.1 | August 7, 2026</w:t>
      </w:r>
    </w:p>
    <w:p>
      <w:pPr>
        <w:jc w:val="center"/>
      </w:pPr>
      <w:r>
        <w:rPr>
          <w:rFonts w:ascii="Noto Sans" w:hAnsi="Noto Sans"/>
          <w:b/>
          <w:color w:val="17365D"/>
          <w:sz w:val="18"/>
        </w:rPr>
        <w:t>LEARNER RESOURCE | RELEASE VERSION | NO CE CREDIT</w:t>
      </w:r>
    </w:p>
    <w:p>
      <w:pPr>
        <w:jc w:val="center"/>
      </w:pPr>
      <w:r>
        <w:rPr>
          <w:rFonts w:ascii="Noto Sans" w:hAnsi="Noto Sans"/>
          <w:i/>
          <w:color w:val="1DA9A3"/>
          <w:sz w:val="20"/>
        </w:rPr>
        <w:t>Teaching Clinicians How to Think.</w:t>
      </w:r>
    </w:p>
    <w:p>
      <w:r>
        <w:br w:type="page"/>
      </w:r>
    </w:p>
    <w:p>
      <w:pPr>
        <w:pStyle w:val="Heading1"/>
      </w:pPr>
      <w:r>
        <w:t>Purpose</w:t>
      </w:r>
    </w:p>
    <w:p>
      <w:pPr>
        <w:spacing w:after="100" w:line="252" w:lineRule="auto"/>
      </w:pPr>
      <w:r>
        <w:t>Use this toolkit to organize study time, read qualifiers precisely, analyze missed questions, and convert Practice A, Practice B, and Comprehensive Final results into targeted review. CTA practice forms are study instruments; they are not official BBS/Pearson VUE examinations and do not establish an official passing standard.</w:t>
      </w:r>
    </w:p>
    <w:p>
      <w:pPr>
        <w:pStyle w:val="Heading1"/>
      </w:pPr>
      <w:r>
        <w:t>Current Blueprint Orientation</w:t>
      </w:r>
    </w:p>
    <w:tbl>
      <w:tblPr>
        <w:tblStyle w:val="TableGrid"/>
        <w:tblW w:type="auto" w:w="0"/>
        <w:jc w:val="center"/>
        <w:tblLayout w:type="fixed"/>
        <w:tblLook w:firstColumn="1" w:firstRow="1" w:lastColumn="0" w:lastRow="0" w:noHBand="0" w:noVBand="1" w:val="04A0"/>
      </w:tblPr>
      <w:tblGrid>
        <w:gridCol w:w="1440"/>
        <w:gridCol w:w="1728"/>
        <w:gridCol w:w="6048"/>
      </w:tblGrid>
      <w:tr>
        <w:trPr>
          <w:tblHeader w:val="true"/>
        </w:trPr>
        <w:tc>
          <w:tcPr>
            <w:tcW w:type="dxa" w:w="3485"/>
            <w:shd w:fill="17365D"/>
            <w:vAlign w:val="center"/>
            <w:tcMar>
              <w:top w:w="70" w:type="dxa"/>
              <w:start w:w="80" w:type="dxa"/>
              <w:bottom w:w="70" w:type="dxa"/>
              <w:end w:w="80" w:type="dxa"/>
            </w:tcMar>
          </w:tcPr>
          <w:p>
            <w:r/>
            <w:r>
              <w:rPr>
                <w:rFonts w:ascii="Noto Sans" w:hAnsi="Noto Sans"/>
                <w:b/>
                <w:color w:val="FFFFFF"/>
                <w:sz w:val="17"/>
              </w:rPr>
              <w:t>Broad area</w:t>
            </w:r>
          </w:p>
        </w:tc>
        <w:tc>
          <w:tcPr>
            <w:tcW w:type="dxa" w:w="3485"/>
            <w:shd w:fill="17365D"/>
            <w:vAlign w:val="center"/>
            <w:tcMar>
              <w:top w:w="70" w:type="dxa"/>
              <w:start w:w="80" w:type="dxa"/>
              <w:bottom w:w="70" w:type="dxa"/>
              <w:end w:w="80" w:type="dxa"/>
            </w:tcMar>
          </w:tcPr>
          <w:p>
            <w:r/>
            <w:r>
              <w:rPr>
                <w:rFonts w:ascii="Noto Sans" w:hAnsi="Noto Sans"/>
                <w:b/>
                <w:color w:val="FFFFFF"/>
                <w:sz w:val="17"/>
              </w:rPr>
              <w:t>CTA coverage target</w:t>
            </w:r>
          </w:p>
        </w:tc>
        <w:tc>
          <w:tcPr>
            <w:tcW w:type="dxa" w:w="3485"/>
            <w:shd w:fill="17365D"/>
            <w:vAlign w:val="center"/>
            <w:tcMar>
              <w:top w:w="70" w:type="dxa"/>
              <w:start w:w="80" w:type="dxa"/>
              <w:bottom w:w="70" w:type="dxa"/>
              <w:end w:w="80" w:type="dxa"/>
            </w:tcMar>
          </w:tcPr>
          <w:p>
            <w:r/>
            <w:r>
              <w:rPr>
                <w:rFonts w:ascii="Noto Sans" w:hAnsi="Noto Sans"/>
                <w:b/>
                <w:color w:val="FFFFFF"/>
                <w:sz w:val="17"/>
              </w:rPr>
              <w:t>What that means for study</w:t>
            </w:r>
          </w:p>
        </w:tc>
      </w:tr>
      <w:tr>
        <w:tc>
          <w:tcPr>
            <w:tcW w:type="dxa" w:w="1440"/>
            <w:vAlign w:val="center"/>
            <w:tcMar>
              <w:top w:w="70" w:type="dxa"/>
              <w:start w:w="80" w:type="dxa"/>
              <w:bottom w:w="70" w:type="dxa"/>
              <w:end w:w="80" w:type="dxa"/>
            </w:tcMar>
          </w:tcPr>
          <w:p>
            <w:r/>
            <w:r>
              <w:rPr>
                <w:rFonts w:ascii="Noto Sans" w:hAnsi="Noto Sans"/>
                <w:b w:val="0"/>
                <w:color w:val="1F2937"/>
                <w:sz w:val="17"/>
              </w:rPr>
              <w:t>Law</w:t>
            </w:r>
          </w:p>
        </w:tc>
        <w:tc>
          <w:tcPr>
            <w:tcW w:type="dxa" w:w="1728"/>
            <w:vAlign w:val="center"/>
            <w:tcMar>
              <w:top w:w="70" w:type="dxa"/>
              <w:start w:w="80" w:type="dxa"/>
              <w:bottom w:w="70" w:type="dxa"/>
              <w:end w:w="80" w:type="dxa"/>
            </w:tcMar>
          </w:tcPr>
          <w:p>
            <w:r/>
            <w:r>
              <w:rPr>
                <w:rFonts w:ascii="Noto Sans" w:hAnsi="Noto Sans"/>
                <w:b w:val="0"/>
                <w:color w:val="1F2937"/>
                <w:sz w:val="17"/>
              </w:rPr>
              <w:t>44%</w:t>
            </w:r>
          </w:p>
        </w:tc>
        <w:tc>
          <w:tcPr>
            <w:tcW w:type="dxa" w:w="6048"/>
            <w:vAlign w:val="center"/>
            <w:tcMar>
              <w:top w:w="70" w:type="dxa"/>
              <w:start w:w="80" w:type="dxa"/>
              <w:bottom w:w="70" w:type="dxa"/>
              <w:end w:w="80" w:type="dxa"/>
            </w:tcMar>
          </w:tcPr>
          <w:p>
            <w:r/>
            <w:r>
              <w:rPr>
                <w:rFonts w:ascii="Noto Sans" w:hAnsi="Noto Sans"/>
                <w:b w:val="0"/>
                <w:color w:val="1F2937"/>
                <w:sz w:val="17"/>
              </w:rPr>
              <w:t>Consent/confidentiality/privilege, mandated reporting/safety, and legal standards for professional practice.</w:t>
            </w:r>
          </w:p>
        </w:tc>
      </w:tr>
      <w:tr>
        <w:tc>
          <w:tcPr>
            <w:tcW w:type="dxa" w:w="1440"/>
            <w:shd w:fill="F2F4F7"/>
            <w:vAlign w:val="center"/>
            <w:tcMar>
              <w:top w:w="70" w:type="dxa"/>
              <w:start w:w="80" w:type="dxa"/>
              <w:bottom w:w="70" w:type="dxa"/>
              <w:end w:w="80" w:type="dxa"/>
            </w:tcMar>
          </w:tcPr>
          <w:p>
            <w:r/>
            <w:r>
              <w:rPr>
                <w:rFonts w:ascii="Noto Sans" w:hAnsi="Noto Sans"/>
                <w:b w:val="0"/>
                <w:color w:val="1F2937"/>
                <w:sz w:val="17"/>
              </w:rPr>
              <w:t>Ethics</w:t>
            </w:r>
          </w:p>
        </w:tc>
        <w:tc>
          <w:tcPr>
            <w:tcW w:type="dxa" w:w="1728"/>
            <w:shd w:fill="F2F4F7"/>
            <w:vAlign w:val="center"/>
            <w:tcMar>
              <w:top w:w="70" w:type="dxa"/>
              <w:start w:w="80" w:type="dxa"/>
              <w:bottom w:w="70" w:type="dxa"/>
              <w:end w:w="80" w:type="dxa"/>
            </w:tcMar>
          </w:tcPr>
          <w:p>
            <w:r/>
            <w:r>
              <w:rPr>
                <w:rFonts w:ascii="Noto Sans" w:hAnsi="Noto Sans"/>
                <w:b w:val="0"/>
                <w:color w:val="1F2937"/>
                <w:sz w:val="17"/>
              </w:rPr>
              <w:t>56%</w:t>
            </w:r>
          </w:p>
        </w:tc>
        <w:tc>
          <w:tcPr>
            <w:tcW w:type="dxa" w:w="6048"/>
            <w:shd w:fill="F2F4F7"/>
            <w:vAlign w:val="center"/>
            <w:tcMar>
              <w:top w:w="70" w:type="dxa"/>
              <w:start w:w="80" w:type="dxa"/>
              <w:bottom w:w="70" w:type="dxa"/>
              <w:end w:w="80" w:type="dxa"/>
            </w:tcMar>
          </w:tcPr>
          <w:p>
            <w:r/>
            <w:r>
              <w:rPr>
                <w:rFonts w:ascii="Noto Sans" w:hAnsi="Noto Sans"/>
                <w:b w:val="0"/>
                <w:color w:val="1F2937"/>
                <w:sz w:val="17"/>
              </w:rPr>
              <w:t>Professional competence/preventing harm, therapeutic relationships, and business/professional practices.</w:t>
            </w:r>
          </w:p>
        </w:tc>
      </w:tr>
    </w:tbl>
    <w:tbl>
      <w:tblPr>
        <w:tblW w:type="auto" w:w="0"/>
        <w:jc w:val="center"/>
        <w:tblLayout w:type="fixed"/>
        <w:tblLook w:firstColumn="1" w:firstRow="1" w:lastColumn="0" w:lastRow="0" w:noHBand="0" w:noVBand="1" w:val="04A0"/>
      </w:tblPr>
      <w:tblGrid>
        <w:gridCol w:w="9288"/>
      </w:tblGrid>
      <w:tr>
        <w:tc>
          <w:tcPr>
            <w:tcW w:type="dxa" w:w="10454"/>
            <w:shd w:fill="EAF6F5"/>
            <w:tcMar>
              <w:top w:w="120" w:type="dxa"/>
              <w:start w:w="140" w:type="dxa"/>
              <w:bottom w:w="120" w:type="dxa"/>
              <w:end w:w="140" w:type="dxa"/>
            </w:tcMar>
          </w:tcPr>
          <w:p>
            <w:r/>
            <w:r>
              <w:rPr>
                <w:rFonts w:ascii="Noto Sans" w:hAnsi="Noto Sans"/>
                <w:b/>
                <w:color w:val="17365D"/>
                <w:sz w:val="20"/>
              </w:rPr>
              <w:t>DO NOT STUDY BY PERCENTAGE ALONE</w:t>
            </w:r>
          </w:p>
          <w:p>
            <w:r>
              <w:rPr>
                <w:rFonts w:ascii="Noto Sans" w:hAnsi="Noto Sans"/>
                <w:color w:val="1F2937"/>
                <w:sz w:val="19"/>
              </w:rPr>
              <w:t>Use the blueprint to balance attention, but remediate by demonstrated weakness. A low-frequency rule can still be decisive when it appears in a scenario.</w:t>
            </w:r>
          </w:p>
        </w:tc>
      </w:tr>
    </w:tbl>
    <w:p/>
    <w:p>
      <w:pPr>
        <w:pStyle w:val="Heading1"/>
      </w:pPr>
      <w:r>
        <w:t>CTA LPCC/APCC Decision Sequence</w:t>
      </w:r>
    </w:p>
    <w:tbl>
      <w:tblPr>
        <w:tblStyle w:val="TableGrid"/>
        <w:tblW w:type="auto" w:w="0"/>
        <w:jc w:val="center"/>
        <w:tblLayout w:type="fixed"/>
        <w:tblLook w:firstColumn="1" w:firstRow="1" w:lastColumn="0" w:lastRow="0" w:noHBand="0" w:noVBand="1" w:val="04A0"/>
      </w:tblPr>
      <w:tblGrid>
        <w:gridCol w:w="1440"/>
        <w:gridCol w:w="7776"/>
      </w:tblGrid>
      <w:tr>
        <w:trPr>
          <w:tblHeader w:val="true"/>
        </w:trPr>
        <w:tc>
          <w:tcPr>
            <w:tcW w:type="dxa" w:w="5227"/>
            <w:shd w:fill="17365D"/>
            <w:vAlign w:val="center"/>
            <w:tcMar>
              <w:top w:w="70" w:type="dxa"/>
              <w:start w:w="80" w:type="dxa"/>
              <w:bottom w:w="70" w:type="dxa"/>
              <w:end w:w="80" w:type="dxa"/>
            </w:tcMar>
          </w:tcPr>
          <w:p>
            <w:r/>
            <w:r>
              <w:rPr>
                <w:rFonts w:ascii="Noto Sans" w:hAnsi="Noto Sans"/>
                <w:b/>
                <w:color w:val="FFFFFF"/>
                <w:sz w:val="16"/>
              </w:rPr>
              <w:t>Step</w:t>
            </w:r>
          </w:p>
        </w:tc>
        <w:tc>
          <w:tcPr>
            <w:tcW w:type="dxa" w:w="5227"/>
            <w:shd w:fill="17365D"/>
            <w:vAlign w:val="center"/>
            <w:tcMar>
              <w:top w:w="70" w:type="dxa"/>
              <w:start w:w="80" w:type="dxa"/>
              <w:bottom w:w="70" w:type="dxa"/>
              <w:end w:w="80" w:type="dxa"/>
            </w:tcMar>
          </w:tcPr>
          <w:p>
            <w:r/>
            <w:r>
              <w:rPr>
                <w:rFonts w:ascii="Noto Sans" w:hAnsi="Noto Sans"/>
                <w:b/>
                <w:color w:val="FFFFFF"/>
                <w:sz w:val="16"/>
              </w:rPr>
              <w:t>Working question</w:t>
            </w:r>
          </w:p>
        </w:tc>
      </w:tr>
      <w:tr>
        <w:tc>
          <w:tcPr>
            <w:tcW w:type="dxa" w:w="1440"/>
            <w:vAlign w:val="center"/>
            <w:tcMar>
              <w:top w:w="70" w:type="dxa"/>
              <w:start w:w="80" w:type="dxa"/>
              <w:bottom w:w="70" w:type="dxa"/>
              <w:end w:w="80" w:type="dxa"/>
            </w:tcMar>
          </w:tcPr>
          <w:p>
            <w:r/>
            <w:r>
              <w:rPr>
                <w:rFonts w:ascii="Noto Sans" w:hAnsi="Noto Sans"/>
                <w:b w:val="0"/>
                <w:color w:val="1F2937"/>
                <w:sz w:val="16"/>
              </w:rPr>
              <w:t>STATUS</w:t>
            </w:r>
          </w:p>
        </w:tc>
        <w:tc>
          <w:tcPr>
            <w:tcW w:type="dxa" w:w="7776"/>
            <w:vAlign w:val="center"/>
            <w:tcMar>
              <w:top w:w="70" w:type="dxa"/>
              <w:start w:w="80" w:type="dxa"/>
              <w:bottom w:w="70" w:type="dxa"/>
              <w:end w:w="80" w:type="dxa"/>
            </w:tcMar>
          </w:tcPr>
          <w:p>
            <w:r/>
            <w:r>
              <w:rPr>
                <w:rFonts w:ascii="Noto Sans" w:hAnsi="Noto Sans"/>
                <w:b w:val="0"/>
                <w:color w:val="1F2937"/>
                <w:sz w:val="16"/>
              </w:rPr>
              <w:t>Who is acting, and what exact license/registration/trainee/supervisor status applies?</w:t>
            </w:r>
          </w:p>
        </w:tc>
      </w:tr>
      <w:tr>
        <w:tc>
          <w:tcPr>
            <w:tcW w:type="dxa" w:w="1440"/>
            <w:shd w:fill="F2F4F7"/>
            <w:vAlign w:val="center"/>
            <w:tcMar>
              <w:top w:w="70" w:type="dxa"/>
              <w:start w:w="80" w:type="dxa"/>
              <w:bottom w:w="70" w:type="dxa"/>
              <w:end w:w="80" w:type="dxa"/>
            </w:tcMar>
          </w:tcPr>
          <w:p>
            <w:r/>
            <w:r>
              <w:rPr>
                <w:rFonts w:ascii="Noto Sans" w:hAnsi="Noto Sans"/>
                <w:b w:val="0"/>
                <w:color w:val="1F2937"/>
                <w:sz w:val="16"/>
              </w:rPr>
              <w:t>SETTING</w:t>
            </w:r>
          </w:p>
        </w:tc>
        <w:tc>
          <w:tcPr>
            <w:tcW w:type="dxa" w:w="7776"/>
            <w:shd w:fill="F2F4F7"/>
            <w:vAlign w:val="center"/>
            <w:tcMar>
              <w:top w:w="70" w:type="dxa"/>
              <w:start w:w="80" w:type="dxa"/>
              <w:bottom w:w="70" w:type="dxa"/>
              <w:end w:w="80" w:type="dxa"/>
            </w:tcMar>
          </w:tcPr>
          <w:p>
            <w:r/>
            <w:r>
              <w:rPr>
                <w:rFonts w:ascii="Noto Sans" w:hAnsi="Noto Sans"/>
                <w:b w:val="0"/>
                <w:color w:val="1F2937"/>
                <w:sz w:val="16"/>
              </w:rPr>
              <w:t>Is the work arrangement and setting lawful for that status?</w:t>
            </w:r>
          </w:p>
        </w:tc>
      </w:tr>
      <w:tr>
        <w:tc>
          <w:tcPr>
            <w:tcW w:type="dxa" w:w="1440"/>
            <w:vAlign w:val="center"/>
            <w:tcMar>
              <w:top w:w="70" w:type="dxa"/>
              <w:start w:w="80" w:type="dxa"/>
              <w:bottom w:w="70" w:type="dxa"/>
              <w:end w:w="80" w:type="dxa"/>
            </w:tcMar>
          </w:tcPr>
          <w:p>
            <w:r/>
            <w:r>
              <w:rPr>
                <w:rFonts w:ascii="Noto Sans" w:hAnsi="Noto Sans"/>
                <w:b w:val="0"/>
                <w:color w:val="1F2937"/>
                <w:sz w:val="16"/>
              </w:rPr>
              <w:t>SCOPE</w:t>
            </w:r>
          </w:p>
        </w:tc>
        <w:tc>
          <w:tcPr>
            <w:tcW w:type="dxa" w:w="7776"/>
            <w:vAlign w:val="center"/>
            <w:tcMar>
              <w:top w:w="70" w:type="dxa"/>
              <w:start w:w="80" w:type="dxa"/>
              <w:bottom w:w="70" w:type="dxa"/>
              <w:end w:w="80" w:type="dxa"/>
            </w:tcMar>
          </w:tcPr>
          <w:p>
            <w:r/>
            <w:r>
              <w:rPr>
                <w:rFonts w:ascii="Noto Sans" w:hAnsi="Noto Sans"/>
                <w:b w:val="0"/>
                <w:color w:val="1F2937"/>
                <w:sz w:val="16"/>
              </w:rPr>
              <w:t>Is the service within statutory LPCC scope and the individual’s competence?</w:t>
            </w:r>
          </w:p>
        </w:tc>
      </w:tr>
      <w:tr>
        <w:tc>
          <w:tcPr>
            <w:tcW w:type="dxa" w:w="1440"/>
            <w:shd w:fill="F2F4F7"/>
            <w:vAlign w:val="center"/>
            <w:tcMar>
              <w:top w:w="70" w:type="dxa"/>
              <w:start w:w="80" w:type="dxa"/>
              <w:bottom w:w="70" w:type="dxa"/>
              <w:end w:w="80" w:type="dxa"/>
            </w:tcMar>
          </w:tcPr>
          <w:p>
            <w:r/>
            <w:r>
              <w:rPr>
                <w:rFonts w:ascii="Noto Sans" w:hAnsi="Noto Sans"/>
                <w:b w:val="0"/>
                <w:color w:val="1F2937"/>
                <w:sz w:val="16"/>
              </w:rPr>
              <w:t>ASSESSMENT</w:t>
            </w:r>
          </w:p>
        </w:tc>
        <w:tc>
          <w:tcPr>
            <w:tcW w:type="dxa" w:w="7776"/>
            <w:shd w:fill="F2F4F7"/>
            <w:vAlign w:val="center"/>
            <w:tcMar>
              <w:top w:w="70" w:type="dxa"/>
              <w:start w:w="80" w:type="dxa"/>
              <w:bottom w:w="70" w:type="dxa"/>
              <w:end w:w="80" w:type="dxa"/>
            </w:tcMar>
          </w:tcPr>
          <w:p>
            <w:r/>
            <w:r>
              <w:rPr>
                <w:rFonts w:ascii="Noto Sans" w:hAnsi="Noto Sans"/>
                <w:b w:val="0"/>
                <w:color w:val="1F2937"/>
                <w:sz w:val="16"/>
              </w:rPr>
              <w:t>If testing is involved, what purpose, instrument, competence, statutory inclusion/exclusion, and referral need apply?</w:t>
            </w:r>
          </w:p>
        </w:tc>
      </w:tr>
      <w:tr>
        <w:tc>
          <w:tcPr>
            <w:tcW w:type="dxa" w:w="1440"/>
            <w:vAlign w:val="center"/>
            <w:tcMar>
              <w:top w:w="70" w:type="dxa"/>
              <w:start w:w="80" w:type="dxa"/>
              <w:bottom w:w="70" w:type="dxa"/>
              <w:end w:w="80" w:type="dxa"/>
            </w:tcMar>
          </w:tcPr>
          <w:p>
            <w:r/>
            <w:r>
              <w:rPr>
                <w:rFonts w:ascii="Noto Sans" w:hAnsi="Noto Sans"/>
                <w:b w:val="0"/>
                <w:color w:val="1F2937"/>
                <w:sz w:val="16"/>
              </w:rPr>
              <w:t>SOURCE</w:t>
            </w:r>
          </w:p>
        </w:tc>
        <w:tc>
          <w:tcPr>
            <w:tcW w:type="dxa" w:w="7776"/>
            <w:vAlign w:val="center"/>
            <w:tcMar>
              <w:top w:w="70" w:type="dxa"/>
              <w:start w:w="80" w:type="dxa"/>
              <w:bottom w:w="70" w:type="dxa"/>
              <w:end w:w="80" w:type="dxa"/>
            </w:tcMar>
          </w:tcPr>
          <w:p>
            <w:r/>
            <w:r>
              <w:rPr>
                <w:rFonts w:ascii="Noto Sans" w:hAnsi="Noto Sans"/>
                <w:b w:val="0"/>
                <w:color w:val="1F2937"/>
                <w:sz w:val="16"/>
              </w:rPr>
              <w:t>Which current statute, regulation, BBS material, exam outline, or ethics standard controls?</w:t>
            </w:r>
          </w:p>
        </w:tc>
      </w:tr>
      <w:tr>
        <w:tc>
          <w:tcPr>
            <w:tcW w:type="dxa" w:w="1440"/>
            <w:shd w:fill="F2F4F7"/>
            <w:vAlign w:val="center"/>
            <w:tcMar>
              <w:top w:w="70" w:type="dxa"/>
              <w:start w:w="80" w:type="dxa"/>
              <w:bottom w:w="70" w:type="dxa"/>
              <w:end w:w="80" w:type="dxa"/>
            </w:tcMar>
          </w:tcPr>
          <w:p>
            <w:r/>
            <w:r>
              <w:rPr>
                <w:rFonts w:ascii="Noto Sans" w:hAnsi="Noto Sans"/>
                <w:b w:val="0"/>
                <w:color w:val="1F2937"/>
                <w:sz w:val="16"/>
              </w:rPr>
              <w:t>SAFEGUARD</w:t>
            </w:r>
          </w:p>
        </w:tc>
        <w:tc>
          <w:tcPr>
            <w:tcW w:type="dxa" w:w="7776"/>
            <w:shd w:fill="F2F4F7"/>
            <w:vAlign w:val="center"/>
            <w:tcMar>
              <w:top w:w="70" w:type="dxa"/>
              <w:start w:w="80" w:type="dxa"/>
              <w:bottom w:w="70" w:type="dxa"/>
              <w:end w:w="80" w:type="dxa"/>
            </w:tcMar>
          </w:tcPr>
          <w:p>
            <w:r/>
            <w:r>
              <w:rPr>
                <w:rFonts w:ascii="Noto Sans" w:hAnsi="Noto Sans"/>
                <w:b w:val="0"/>
                <w:color w:val="1F2937"/>
                <w:sz w:val="16"/>
              </w:rPr>
              <w:t>What client, public, supervisee, record, or decision-integrity interest is protected?</w:t>
            </w:r>
          </w:p>
        </w:tc>
      </w:tr>
      <w:tr>
        <w:tc>
          <w:tcPr>
            <w:tcW w:type="dxa" w:w="1440"/>
            <w:vAlign w:val="center"/>
            <w:tcMar>
              <w:top w:w="70" w:type="dxa"/>
              <w:start w:w="80" w:type="dxa"/>
              <w:bottom w:w="70" w:type="dxa"/>
              <w:end w:w="80" w:type="dxa"/>
            </w:tcMar>
          </w:tcPr>
          <w:p>
            <w:r/>
            <w:r>
              <w:rPr>
                <w:rFonts w:ascii="Noto Sans" w:hAnsi="Noto Sans"/>
                <w:b w:val="0"/>
                <w:color w:val="1F2937"/>
                <w:sz w:val="16"/>
              </w:rPr>
              <w:t>STEP</w:t>
            </w:r>
          </w:p>
        </w:tc>
        <w:tc>
          <w:tcPr>
            <w:tcW w:type="dxa" w:w="7776"/>
            <w:vAlign w:val="center"/>
            <w:tcMar>
              <w:top w:w="70" w:type="dxa"/>
              <w:start w:w="80" w:type="dxa"/>
              <w:bottom w:w="70" w:type="dxa"/>
              <w:end w:w="80" w:type="dxa"/>
            </w:tcMar>
          </w:tcPr>
          <w:p>
            <w:r/>
            <w:r>
              <w:rPr>
                <w:rFonts w:ascii="Noto Sans" w:hAnsi="Noto Sans"/>
                <w:b w:val="0"/>
                <w:color w:val="1F2937"/>
                <w:sz w:val="16"/>
              </w:rPr>
              <w:t>What FIRST, NEXT, BEST, INITIAL, or PRIMARY action fits the facts?</w:t>
            </w:r>
          </w:p>
        </w:tc>
      </w:tr>
      <w:tr>
        <w:tc>
          <w:tcPr>
            <w:tcW w:type="dxa" w:w="1440"/>
            <w:shd w:fill="F2F4F7"/>
            <w:vAlign w:val="center"/>
            <w:tcMar>
              <w:top w:w="70" w:type="dxa"/>
              <w:start w:w="80" w:type="dxa"/>
              <w:bottom w:w="70" w:type="dxa"/>
              <w:end w:w="80" w:type="dxa"/>
            </w:tcMar>
          </w:tcPr>
          <w:p>
            <w:r/>
            <w:r>
              <w:rPr>
                <w:rFonts w:ascii="Noto Sans" w:hAnsi="Noto Sans"/>
                <w:b w:val="0"/>
                <w:color w:val="1F2937"/>
                <w:sz w:val="16"/>
              </w:rPr>
              <w:t>RECORD</w:t>
            </w:r>
          </w:p>
        </w:tc>
        <w:tc>
          <w:tcPr>
            <w:tcW w:type="dxa" w:w="7776"/>
            <w:shd w:fill="F2F4F7"/>
            <w:vAlign w:val="center"/>
            <w:tcMar>
              <w:top w:w="70" w:type="dxa"/>
              <w:start w:w="80" w:type="dxa"/>
              <w:bottom w:w="70" w:type="dxa"/>
              <w:end w:w="80" w:type="dxa"/>
            </w:tcMar>
          </w:tcPr>
          <w:p>
            <w:r/>
            <w:r>
              <w:rPr>
                <w:rFonts w:ascii="Noto Sans" w:hAnsi="Noto Sans"/>
                <w:b w:val="0"/>
                <w:color w:val="1F2937"/>
                <w:sz w:val="16"/>
              </w:rPr>
              <w:t>What notice, consent, supervision contact, report, documentation, referral, or follow-up is required?</w:t>
            </w:r>
          </w:p>
        </w:tc>
      </w:tr>
    </w:tbl>
    <w:p>
      <w:pPr>
        <w:pStyle w:val="Heading1"/>
      </w:pPr>
      <w:r>
        <w:t>How to Read a One-Best-Answer Question</w:t>
      </w:r>
    </w:p>
    <w:p>
      <w:pPr>
        <w:spacing w:after="100" w:line="252" w:lineRule="auto"/>
      </w:pPr>
      <w:r>
        <w:t>1. Read the final question and qualifier before comparing answer choices.</w:t>
      </w:r>
    </w:p>
    <w:p>
      <w:pPr>
        <w:spacing w:after="100" w:line="252" w:lineRule="auto"/>
      </w:pPr>
      <w:r>
        <w:t>2. Identify the actor, setting, and legal/ethical domain.</w:t>
      </w:r>
    </w:p>
    <w:p>
      <w:pPr>
        <w:spacing w:after="100" w:line="252" w:lineRule="auto"/>
      </w:pPr>
      <w:r>
        <w:t>3. Underline or mentally mark trigger facts and timing words.</w:t>
      </w:r>
    </w:p>
    <w:p>
      <w:pPr>
        <w:spacing w:after="100" w:line="252" w:lineRule="auto"/>
      </w:pPr>
      <w:r>
        <w:t>4. Ask what must happen before the action suggested by each option.</w:t>
      </w:r>
    </w:p>
    <w:p>
      <w:pPr>
        <w:spacing w:after="100" w:line="252" w:lineRule="auto"/>
      </w:pPr>
      <w:r>
        <w:t>5. Eliminate choices that are illegal, outside scope, unsupported, premature, excessive, or that confuse documentation with action.</w:t>
      </w:r>
    </w:p>
    <w:p>
      <w:pPr>
        <w:spacing w:after="100" w:line="252" w:lineRule="auto"/>
      </w:pPr>
      <w:r>
        <w:t>6. Choose the option that is both sufficiently protective and proportionate; do not prefer an extreme merely because it sounds cautious.</w:t>
      </w:r>
    </w:p>
    <w:p>
      <w:pPr>
        <w:spacing w:after="100" w:line="252" w:lineRule="auto"/>
      </w:pPr>
      <w:r>
        <w:t>7. After answering, state the controlling rule in one sentence. If you cannot, flag the item for review.</w:t>
      </w:r>
    </w:p>
    <w:p>
      <w:pPr>
        <w:pStyle w:val="Heading1"/>
      </w:pPr>
      <w:r>
        <w:t>Using the Three Cumulative Forms</w:t>
      </w:r>
    </w:p>
    <w:tbl>
      <w:tblPr>
        <w:tblStyle w:val="TableGrid"/>
        <w:tblW w:type="auto" w:w="0"/>
        <w:jc w:val="center"/>
        <w:tblLayout w:type="fixed"/>
        <w:tblLook w:firstColumn="1" w:firstRow="1" w:lastColumn="0" w:lastRow="0" w:noHBand="0" w:noVBand="1" w:val="04A0"/>
      </w:tblPr>
      <w:tblGrid>
        <w:gridCol w:w="1656"/>
        <w:gridCol w:w="3312"/>
        <w:gridCol w:w="4248"/>
      </w:tblGrid>
      <w:tr>
        <w:trPr>
          <w:tblHeader w:val="true"/>
        </w:trPr>
        <w:tc>
          <w:tcPr>
            <w:tcW w:type="dxa" w:w="3485"/>
            <w:shd w:fill="17365D"/>
            <w:vAlign w:val="center"/>
            <w:tcMar>
              <w:top w:w="70" w:type="dxa"/>
              <w:start w:w="80" w:type="dxa"/>
              <w:bottom w:w="70" w:type="dxa"/>
              <w:end w:w="80" w:type="dxa"/>
            </w:tcMar>
          </w:tcPr>
          <w:p>
            <w:r/>
            <w:r>
              <w:rPr>
                <w:rFonts w:ascii="Noto Sans" w:hAnsi="Noto Sans"/>
                <w:b/>
                <w:color w:val="FFFFFF"/>
                <w:sz w:val="16"/>
              </w:rPr>
              <w:t>Form</w:t>
            </w:r>
          </w:p>
        </w:tc>
        <w:tc>
          <w:tcPr>
            <w:tcW w:type="dxa" w:w="3485"/>
            <w:shd w:fill="17365D"/>
            <w:vAlign w:val="center"/>
            <w:tcMar>
              <w:top w:w="70" w:type="dxa"/>
              <w:start w:w="80" w:type="dxa"/>
              <w:bottom w:w="70" w:type="dxa"/>
              <w:end w:w="80" w:type="dxa"/>
            </w:tcMar>
          </w:tcPr>
          <w:p>
            <w:r/>
            <w:r>
              <w:rPr>
                <w:rFonts w:ascii="Noto Sans" w:hAnsi="Noto Sans"/>
                <w:b/>
                <w:color w:val="FFFFFF"/>
                <w:sz w:val="16"/>
              </w:rPr>
              <w:t>Primary use</w:t>
            </w:r>
          </w:p>
        </w:tc>
        <w:tc>
          <w:tcPr>
            <w:tcW w:type="dxa" w:w="3485"/>
            <w:shd w:fill="17365D"/>
            <w:vAlign w:val="center"/>
            <w:tcMar>
              <w:top w:w="70" w:type="dxa"/>
              <w:start w:w="80" w:type="dxa"/>
              <w:bottom w:w="70" w:type="dxa"/>
              <w:end w:w="80" w:type="dxa"/>
            </w:tcMar>
          </w:tcPr>
          <w:p>
            <w:r/>
            <w:r>
              <w:rPr>
                <w:rFonts w:ascii="Noto Sans" w:hAnsi="Noto Sans"/>
                <w:b/>
                <w:color w:val="FFFFFF"/>
                <w:sz w:val="16"/>
              </w:rPr>
              <w:t>After the attempt</w:t>
            </w:r>
          </w:p>
        </w:tc>
      </w:tr>
      <w:tr>
        <w:tc>
          <w:tcPr>
            <w:tcW w:type="dxa" w:w="1656"/>
            <w:vAlign w:val="center"/>
            <w:tcMar>
              <w:top w:w="70" w:type="dxa"/>
              <w:start w:w="80" w:type="dxa"/>
              <w:bottom w:w="70" w:type="dxa"/>
              <w:end w:w="80" w:type="dxa"/>
            </w:tcMar>
          </w:tcPr>
          <w:p>
            <w:r/>
            <w:r>
              <w:rPr>
                <w:rFonts w:ascii="Noto Sans" w:hAnsi="Noto Sans"/>
                <w:b w:val="0"/>
                <w:color w:val="1F2937"/>
                <w:sz w:val="16"/>
              </w:rPr>
              <w:t>Practice A</w:t>
            </w:r>
          </w:p>
        </w:tc>
        <w:tc>
          <w:tcPr>
            <w:tcW w:type="dxa" w:w="3312"/>
            <w:vAlign w:val="center"/>
            <w:tcMar>
              <w:top w:w="70" w:type="dxa"/>
              <w:start w:w="80" w:type="dxa"/>
              <w:bottom w:w="70" w:type="dxa"/>
              <w:end w:w="80" w:type="dxa"/>
            </w:tcMar>
          </w:tcPr>
          <w:p>
            <w:r/>
            <w:r>
              <w:rPr>
                <w:rFonts w:ascii="Noto Sans" w:hAnsi="Noto Sans"/>
                <w:b w:val="0"/>
                <w:color w:val="1F2937"/>
                <w:sz w:val="16"/>
              </w:rPr>
              <w:t>Baseline cumulative application</w:t>
            </w:r>
          </w:p>
        </w:tc>
        <w:tc>
          <w:tcPr>
            <w:tcW w:type="dxa" w:w="4248"/>
            <w:vAlign w:val="center"/>
            <w:tcMar>
              <w:top w:w="70" w:type="dxa"/>
              <w:start w:w="80" w:type="dxa"/>
              <w:bottom w:w="70" w:type="dxa"/>
              <w:end w:w="80" w:type="dxa"/>
            </w:tcMar>
          </w:tcPr>
          <w:p>
            <w:r/>
            <w:r>
              <w:rPr>
                <w:rFonts w:ascii="Noto Sans" w:hAnsi="Noto Sans"/>
                <w:b w:val="0"/>
                <w:color w:val="1F2937"/>
                <w:sz w:val="16"/>
              </w:rPr>
              <w:t>Classify misses by chapter, rule, qualifier, and reasoning error; create a targeted repair list.</w:t>
            </w:r>
          </w:p>
        </w:tc>
      </w:tr>
      <w:tr>
        <w:tc>
          <w:tcPr>
            <w:tcW w:type="dxa" w:w="1656"/>
            <w:shd w:fill="F2F4F7"/>
            <w:vAlign w:val="center"/>
            <w:tcMar>
              <w:top w:w="70" w:type="dxa"/>
              <w:start w:w="80" w:type="dxa"/>
              <w:bottom w:w="70" w:type="dxa"/>
              <w:end w:w="80" w:type="dxa"/>
            </w:tcMar>
          </w:tcPr>
          <w:p>
            <w:r/>
            <w:r>
              <w:rPr>
                <w:rFonts w:ascii="Noto Sans" w:hAnsi="Noto Sans"/>
                <w:b w:val="0"/>
                <w:color w:val="1F2937"/>
                <w:sz w:val="16"/>
              </w:rPr>
              <w:t>Practice B</w:t>
            </w:r>
          </w:p>
        </w:tc>
        <w:tc>
          <w:tcPr>
            <w:tcW w:type="dxa" w:w="3312"/>
            <w:shd w:fill="F2F4F7"/>
            <w:vAlign w:val="center"/>
            <w:tcMar>
              <w:top w:w="70" w:type="dxa"/>
              <w:start w:w="80" w:type="dxa"/>
              <w:bottom w:w="70" w:type="dxa"/>
              <w:end w:w="80" w:type="dxa"/>
            </w:tcMar>
          </w:tcPr>
          <w:p>
            <w:r/>
            <w:r>
              <w:rPr>
                <w:rFonts w:ascii="Noto Sans" w:hAnsi="Noto Sans"/>
                <w:b w:val="0"/>
                <w:color w:val="1F2937"/>
                <w:sz w:val="16"/>
              </w:rPr>
              <w:t>Transfer and discrimination</w:t>
            </w:r>
          </w:p>
        </w:tc>
        <w:tc>
          <w:tcPr>
            <w:tcW w:type="dxa" w:w="4248"/>
            <w:shd w:fill="F2F4F7"/>
            <w:vAlign w:val="center"/>
            <w:tcMar>
              <w:top w:w="70" w:type="dxa"/>
              <w:start w:w="80" w:type="dxa"/>
              <w:bottom w:w="70" w:type="dxa"/>
              <w:end w:w="80" w:type="dxa"/>
            </w:tcMar>
          </w:tcPr>
          <w:p>
            <w:r/>
            <w:r>
              <w:rPr>
                <w:rFonts w:ascii="Noto Sans" w:hAnsi="Noto Sans"/>
                <w:b w:val="0"/>
                <w:color w:val="1F2937"/>
                <w:sz w:val="16"/>
              </w:rPr>
              <w:t>Check whether repaired concepts transfer to new fact patterns; note repeated errors.</w:t>
            </w:r>
          </w:p>
        </w:tc>
      </w:tr>
      <w:tr>
        <w:tc>
          <w:tcPr>
            <w:tcW w:type="dxa" w:w="1656"/>
            <w:vAlign w:val="center"/>
            <w:tcMar>
              <w:top w:w="70" w:type="dxa"/>
              <w:start w:w="80" w:type="dxa"/>
              <w:bottom w:w="70" w:type="dxa"/>
              <w:end w:w="80" w:type="dxa"/>
            </w:tcMar>
          </w:tcPr>
          <w:p>
            <w:r/>
            <w:r>
              <w:rPr>
                <w:rFonts w:ascii="Noto Sans" w:hAnsi="Noto Sans"/>
                <w:b w:val="0"/>
                <w:color w:val="1F2937"/>
                <w:sz w:val="16"/>
              </w:rPr>
              <w:t>Comprehensive Final</w:t>
            </w:r>
          </w:p>
        </w:tc>
        <w:tc>
          <w:tcPr>
            <w:tcW w:type="dxa" w:w="3312"/>
            <w:vAlign w:val="center"/>
            <w:tcMar>
              <w:top w:w="70" w:type="dxa"/>
              <w:start w:w="80" w:type="dxa"/>
              <w:bottom w:w="70" w:type="dxa"/>
              <w:end w:w="80" w:type="dxa"/>
            </w:tcMar>
          </w:tcPr>
          <w:p>
            <w:r/>
            <w:r>
              <w:rPr>
                <w:rFonts w:ascii="Noto Sans" w:hAnsi="Noto Sans"/>
                <w:b w:val="0"/>
                <w:color w:val="1F2937"/>
                <w:sz w:val="16"/>
              </w:rPr>
              <w:t>Endurance and final readiness rehearsal</w:t>
            </w:r>
          </w:p>
        </w:tc>
        <w:tc>
          <w:tcPr>
            <w:tcW w:type="dxa" w:w="4248"/>
            <w:vAlign w:val="center"/>
            <w:tcMar>
              <w:top w:w="70" w:type="dxa"/>
              <w:start w:w="80" w:type="dxa"/>
              <w:bottom w:w="70" w:type="dxa"/>
              <w:end w:w="80" w:type="dxa"/>
            </w:tcMar>
          </w:tcPr>
          <w:p>
            <w:r/>
            <w:r>
              <w:rPr>
                <w:rFonts w:ascii="Noto Sans" w:hAnsi="Noto Sans"/>
                <w:b w:val="0"/>
                <w:color w:val="1F2937"/>
                <w:sz w:val="16"/>
              </w:rPr>
              <w:t>Build the final targeted-study plan by domain, chapter, pacing, confidence, and error pattern.</w:t>
            </w:r>
          </w:p>
        </w:tc>
      </w:tr>
    </w:tbl>
    <w:p>
      <w:pPr>
        <w:pStyle w:val="Heading1"/>
      </w:pPr>
      <w:r>
        <w:t>Five Error Categories</w:t>
      </w:r>
    </w:p>
    <w:tbl>
      <w:tblPr>
        <w:tblStyle w:val="TableGrid"/>
        <w:tblW w:type="auto" w:w="0"/>
        <w:jc w:val="center"/>
        <w:tblLayout w:type="fixed"/>
        <w:tblLook w:firstColumn="1" w:firstRow="1" w:lastColumn="0" w:lastRow="0" w:noHBand="0" w:noVBand="1" w:val="04A0"/>
      </w:tblPr>
      <w:tblGrid>
        <w:gridCol w:w="2520"/>
        <w:gridCol w:w="6696"/>
      </w:tblGrid>
      <w:tr>
        <w:trPr>
          <w:tblHeader w:val="true"/>
        </w:trPr>
        <w:tc>
          <w:tcPr>
            <w:tcW w:type="dxa" w:w="5227"/>
            <w:shd w:fill="17365D"/>
            <w:vAlign w:val="center"/>
            <w:tcMar>
              <w:top w:w="70" w:type="dxa"/>
              <w:start w:w="80" w:type="dxa"/>
              <w:bottom w:w="70" w:type="dxa"/>
              <w:end w:w="80" w:type="dxa"/>
            </w:tcMar>
          </w:tcPr>
          <w:p>
            <w:r/>
            <w:r>
              <w:rPr>
                <w:rFonts w:ascii="Noto Sans" w:hAnsi="Noto Sans"/>
                <w:b/>
                <w:color w:val="FFFFFF"/>
                <w:sz w:val="16"/>
              </w:rPr>
              <w:t>Code</w:t>
            </w:r>
          </w:p>
        </w:tc>
        <w:tc>
          <w:tcPr>
            <w:tcW w:type="dxa" w:w="5227"/>
            <w:shd w:fill="17365D"/>
            <w:vAlign w:val="center"/>
            <w:tcMar>
              <w:top w:w="70" w:type="dxa"/>
              <w:start w:w="80" w:type="dxa"/>
              <w:bottom w:w="70" w:type="dxa"/>
              <w:end w:w="80" w:type="dxa"/>
            </w:tcMar>
          </w:tcPr>
          <w:p>
            <w:r/>
            <w:r>
              <w:rPr>
                <w:rFonts w:ascii="Noto Sans" w:hAnsi="Noto Sans"/>
                <w:b/>
                <w:color w:val="FFFFFF"/>
                <w:sz w:val="16"/>
              </w:rPr>
              <w:t>Meaning</w:t>
            </w:r>
          </w:p>
        </w:tc>
      </w:tr>
      <w:tr>
        <w:tc>
          <w:tcPr>
            <w:tcW w:type="dxa" w:w="2520"/>
            <w:vAlign w:val="center"/>
            <w:tcMar>
              <w:top w:w="70" w:type="dxa"/>
              <w:start w:w="80" w:type="dxa"/>
              <w:bottom w:w="70" w:type="dxa"/>
              <w:end w:w="80" w:type="dxa"/>
            </w:tcMar>
          </w:tcPr>
          <w:p>
            <w:r/>
            <w:r>
              <w:rPr>
                <w:rFonts w:ascii="Noto Sans" w:hAnsi="Noto Sans"/>
                <w:b w:val="0"/>
                <w:color w:val="1F2937"/>
                <w:sz w:val="16"/>
              </w:rPr>
              <w:t>K — Knowledge gap</w:t>
            </w:r>
          </w:p>
        </w:tc>
        <w:tc>
          <w:tcPr>
            <w:tcW w:type="dxa" w:w="6696"/>
            <w:vAlign w:val="center"/>
            <w:tcMar>
              <w:top w:w="70" w:type="dxa"/>
              <w:start w:w="80" w:type="dxa"/>
              <w:bottom w:w="70" w:type="dxa"/>
              <w:end w:w="80" w:type="dxa"/>
            </w:tcMar>
          </w:tcPr>
          <w:p>
            <w:r/>
            <w:r>
              <w:rPr>
                <w:rFonts w:ascii="Noto Sans" w:hAnsi="Noto Sans"/>
                <w:b w:val="0"/>
                <w:color w:val="1F2937"/>
                <w:sz w:val="16"/>
              </w:rPr>
              <w:t>You did not know or misremembered the controlling rule.</w:t>
            </w:r>
          </w:p>
        </w:tc>
      </w:tr>
      <w:tr>
        <w:tc>
          <w:tcPr>
            <w:tcW w:type="dxa" w:w="2520"/>
            <w:shd w:fill="F2F4F7"/>
            <w:vAlign w:val="center"/>
            <w:tcMar>
              <w:top w:w="70" w:type="dxa"/>
              <w:start w:w="80" w:type="dxa"/>
              <w:bottom w:w="70" w:type="dxa"/>
              <w:end w:w="80" w:type="dxa"/>
            </w:tcMar>
          </w:tcPr>
          <w:p>
            <w:r/>
            <w:r>
              <w:rPr>
                <w:rFonts w:ascii="Noto Sans" w:hAnsi="Noto Sans"/>
                <w:b w:val="0"/>
                <w:color w:val="1F2937"/>
                <w:sz w:val="16"/>
              </w:rPr>
              <w:t>R — Reasoning/sequencing</w:t>
            </w:r>
          </w:p>
        </w:tc>
        <w:tc>
          <w:tcPr>
            <w:tcW w:type="dxa" w:w="6696"/>
            <w:shd w:fill="F2F4F7"/>
            <w:vAlign w:val="center"/>
            <w:tcMar>
              <w:top w:w="70" w:type="dxa"/>
              <w:start w:w="80" w:type="dxa"/>
              <w:bottom w:w="70" w:type="dxa"/>
              <w:end w:w="80" w:type="dxa"/>
            </w:tcMar>
          </w:tcPr>
          <w:p>
            <w:r/>
            <w:r>
              <w:rPr>
                <w:rFonts w:ascii="Noto Sans" w:hAnsi="Noto Sans"/>
                <w:b w:val="0"/>
                <w:color w:val="1F2937"/>
                <w:sz w:val="16"/>
              </w:rPr>
              <w:t>You knew the rule but applied it in the wrong order or to the wrong issue.</w:t>
            </w:r>
          </w:p>
        </w:tc>
      </w:tr>
      <w:tr>
        <w:tc>
          <w:tcPr>
            <w:tcW w:type="dxa" w:w="2520"/>
            <w:vAlign w:val="center"/>
            <w:tcMar>
              <w:top w:w="70" w:type="dxa"/>
              <w:start w:w="80" w:type="dxa"/>
              <w:bottom w:w="70" w:type="dxa"/>
              <w:end w:w="80" w:type="dxa"/>
            </w:tcMar>
          </w:tcPr>
          <w:p>
            <w:r/>
            <w:r>
              <w:rPr>
                <w:rFonts w:ascii="Noto Sans" w:hAnsi="Noto Sans"/>
                <w:b w:val="0"/>
                <w:color w:val="1F2937"/>
                <w:sz w:val="16"/>
              </w:rPr>
              <w:t>S — Stem/qualifier misread</w:t>
            </w:r>
          </w:p>
        </w:tc>
        <w:tc>
          <w:tcPr>
            <w:tcW w:type="dxa" w:w="6696"/>
            <w:vAlign w:val="center"/>
            <w:tcMar>
              <w:top w:w="70" w:type="dxa"/>
              <w:start w:w="80" w:type="dxa"/>
              <w:bottom w:w="70" w:type="dxa"/>
              <w:end w:w="80" w:type="dxa"/>
            </w:tcMar>
          </w:tcPr>
          <w:p>
            <w:r/>
            <w:r>
              <w:rPr>
                <w:rFonts w:ascii="Noto Sans" w:hAnsi="Noto Sans"/>
                <w:b w:val="0"/>
                <w:color w:val="1F2937"/>
                <w:sz w:val="16"/>
              </w:rPr>
              <w:t>You answered a different question than FIRST/NEXT/BEST/LEGAL/MOST ETHICAL asked.</w:t>
            </w:r>
          </w:p>
        </w:tc>
      </w:tr>
      <w:tr>
        <w:tc>
          <w:tcPr>
            <w:tcW w:type="dxa" w:w="2520"/>
            <w:shd w:fill="F2F4F7"/>
            <w:vAlign w:val="center"/>
            <w:tcMar>
              <w:top w:w="70" w:type="dxa"/>
              <w:start w:w="80" w:type="dxa"/>
              <w:bottom w:w="70" w:type="dxa"/>
              <w:end w:w="80" w:type="dxa"/>
            </w:tcMar>
          </w:tcPr>
          <w:p>
            <w:r/>
            <w:r>
              <w:rPr>
                <w:rFonts w:ascii="Noto Sans" w:hAnsi="Noto Sans"/>
                <w:b w:val="0"/>
                <w:color w:val="1F2937"/>
                <w:sz w:val="16"/>
              </w:rPr>
              <w:t>M — Memory retrieval</w:t>
            </w:r>
          </w:p>
        </w:tc>
        <w:tc>
          <w:tcPr>
            <w:tcW w:type="dxa" w:w="6696"/>
            <w:shd w:fill="F2F4F7"/>
            <w:vAlign w:val="center"/>
            <w:tcMar>
              <w:top w:w="70" w:type="dxa"/>
              <w:start w:w="80" w:type="dxa"/>
              <w:bottom w:w="70" w:type="dxa"/>
              <w:end w:w="80" w:type="dxa"/>
            </w:tcMar>
          </w:tcPr>
          <w:p>
            <w:r/>
            <w:r>
              <w:rPr>
                <w:rFonts w:ascii="Noto Sans" w:hAnsi="Noto Sans"/>
                <w:b w:val="0"/>
                <w:color w:val="1F2937"/>
                <w:sz w:val="16"/>
              </w:rPr>
              <w:t>You recognized the concept after review but could not retrieve it under test conditions.</w:t>
            </w:r>
          </w:p>
        </w:tc>
      </w:tr>
      <w:tr>
        <w:tc>
          <w:tcPr>
            <w:tcW w:type="dxa" w:w="2520"/>
            <w:vAlign w:val="center"/>
            <w:tcMar>
              <w:top w:w="70" w:type="dxa"/>
              <w:start w:w="80" w:type="dxa"/>
              <w:bottom w:w="70" w:type="dxa"/>
              <w:end w:w="80" w:type="dxa"/>
            </w:tcMar>
          </w:tcPr>
          <w:p>
            <w:r/>
            <w:r>
              <w:rPr>
                <w:rFonts w:ascii="Noto Sans" w:hAnsi="Noto Sans"/>
                <w:b w:val="0"/>
                <w:color w:val="1F2937"/>
                <w:sz w:val="16"/>
              </w:rPr>
              <w:t>C — Changed answer without sufficient reason</w:t>
            </w:r>
          </w:p>
        </w:tc>
        <w:tc>
          <w:tcPr>
            <w:tcW w:type="dxa" w:w="6696"/>
            <w:vAlign w:val="center"/>
            <w:tcMar>
              <w:top w:w="70" w:type="dxa"/>
              <w:start w:w="80" w:type="dxa"/>
              <w:bottom w:w="70" w:type="dxa"/>
              <w:end w:w="80" w:type="dxa"/>
            </w:tcMar>
          </w:tcPr>
          <w:p>
            <w:r/>
            <w:r>
              <w:rPr>
                <w:rFonts w:ascii="Noto Sans" w:hAnsi="Noto Sans"/>
                <w:b w:val="0"/>
                <w:color w:val="1F2937"/>
                <w:sz w:val="16"/>
              </w:rPr>
              <w:t>You moved away from a defensible answer based on anxiety or overthinking rather than new evidence.</w:t>
            </w:r>
          </w:p>
        </w:tc>
      </w:tr>
    </w:tbl>
    <w:p>
      <w:pPr>
        <w:pStyle w:val="Heading1"/>
      </w:pPr>
      <w:r>
        <w:t>Final-Week Plan</w:t>
      </w:r>
    </w:p>
    <w:p>
      <w:pPr>
        <w:pStyle w:val="ListBullet"/>
        <w:spacing w:after="40"/>
      </w:pPr>
      <w:r>
        <w:t>Recheck the six weakest chapters from the error log, not the six chapters you enjoy most.</w:t>
      </w:r>
    </w:p>
    <w:p>
      <w:pPr>
        <w:pStyle w:val="ListBullet"/>
        <w:spacing w:after="40"/>
      </w:pPr>
      <w:r>
        <w:t>Use flashcards for retrieval after—not instead of—full concept review.</w:t>
      </w:r>
    </w:p>
    <w:p>
      <w:pPr>
        <w:pStyle w:val="ListBullet"/>
        <w:spacing w:after="40"/>
      </w:pPr>
      <w:r>
        <w:t>Review the Numbers/Timelines toolkit for rules where age, time, frequency, or sequence controls.</w:t>
      </w:r>
    </w:p>
    <w:p>
      <w:pPr>
        <w:pStyle w:val="ListBullet"/>
        <w:spacing w:after="40"/>
      </w:pPr>
      <w:r>
        <w:t>Review the Law Decision Guides for authority/trigger/timing errors.</w:t>
      </w:r>
    </w:p>
    <w:p>
      <w:pPr>
        <w:pStyle w:val="ListBullet"/>
        <w:spacing w:after="40"/>
      </w:pPr>
      <w:r>
        <w:t>Review the Ethics Decision Guides for proportionality, client welfare, boundaries, competence, and law-versus-ethics errors.</w:t>
      </w:r>
    </w:p>
    <w:p>
      <w:pPr>
        <w:pStyle w:val="ListBullet"/>
        <w:spacing w:after="40"/>
      </w:pPr>
      <w:r>
        <w:t>Revisit only the rationales for questions you missed or guessed; explain the best answer before reading CTA’s explanation.</w:t>
      </w:r>
    </w:p>
    <w:p>
      <w:pPr>
        <w:pStyle w:val="ListBullet"/>
        <w:spacing w:after="40"/>
      </w:pPr>
      <w:r>
        <w:t>On the final day, reduce volume and emphasize stable recall, sleep, logistics, identification, and calm pacing rather than last-minute content expansion.</w:t>
      </w:r>
    </w:p>
    <w:p>
      <w:pPr>
        <w:pStyle w:val="Heading1"/>
      </w:pPr>
      <w:r>
        <w:t>Source Basis and Currency Control</w:t>
      </w:r>
    </w:p>
    <w:p>
      <w:pPr>
        <w:spacing w:after="100" w:line="252" w:lineRule="auto"/>
      </w:pPr>
      <w:r>
        <w:t>Source review date: August 7, 2026. California law and current official examination materials control if later changes conflict with this resource. The 2014 ACA Code of Ethics is the operative counseling-ethics source used for this release. CTA will update this resource when a later official ethics code or other material source change becomes effective.</w:t>
      </w:r>
    </w:p>
    <w:tbl>
      <w:tblPr>
        <w:tblStyle w:val="TableGrid"/>
        <w:tblW w:type="auto" w:w="0"/>
        <w:jc w:val="center"/>
        <w:tblLayout w:type="fixed"/>
        <w:tblLook w:firstColumn="1" w:firstRow="1" w:lastColumn="0" w:lastRow="0" w:noHBand="0" w:noVBand="1" w:val="04A0"/>
      </w:tblPr>
      <w:tblGrid>
        <w:gridCol w:w="3600"/>
        <w:gridCol w:w="5616"/>
      </w:tblGrid>
      <w:tr>
        <w:trPr>
          <w:tblHeader w:val="true"/>
        </w:trPr>
        <w:tc>
          <w:tcPr>
            <w:tcW w:type="dxa" w:w="5227"/>
            <w:shd w:fill="17365D"/>
            <w:vAlign w:val="center"/>
            <w:tcMar>
              <w:top w:w="70" w:type="dxa"/>
              <w:start w:w="80" w:type="dxa"/>
              <w:bottom w:w="70" w:type="dxa"/>
              <w:end w:w="80" w:type="dxa"/>
            </w:tcMar>
          </w:tcPr>
          <w:p>
            <w:r/>
            <w:r>
              <w:rPr>
                <w:rFonts w:ascii="Noto Sans" w:hAnsi="Noto Sans"/>
                <w:b/>
                <w:color w:val="FFFFFF"/>
                <w:sz w:val="15"/>
              </w:rPr>
              <w:t>Official source</w:t>
            </w:r>
          </w:p>
        </w:tc>
        <w:tc>
          <w:tcPr>
            <w:tcW w:type="dxa" w:w="5227"/>
            <w:shd w:fill="17365D"/>
            <w:vAlign w:val="center"/>
            <w:tcMar>
              <w:top w:w="70" w:type="dxa"/>
              <w:start w:w="80" w:type="dxa"/>
              <w:bottom w:w="70" w:type="dxa"/>
              <w:end w:w="80" w:type="dxa"/>
            </w:tcMar>
          </w:tcPr>
          <w:p>
            <w:r/>
            <w:r>
              <w:rPr>
                <w:rFonts w:ascii="Noto Sans" w:hAnsi="Noto Sans"/>
                <w:b/>
                <w:color w:val="FFFFFF"/>
                <w:sz w:val="15"/>
              </w:rPr>
              <w:t>Reference</w:t>
            </w:r>
          </w:p>
        </w:tc>
      </w:tr>
      <w:tr>
        <w:tc>
          <w:tcPr>
            <w:tcW w:type="dxa" w:w="3600"/>
            <w:vAlign w:val="center"/>
            <w:tcMar>
              <w:top w:w="70" w:type="dxa"/>
              <w:start w:w="80" w:type="dxa"/>
              <w:bottom w:w="70" w:type="dxa"/>
              <w:end w:w="80" w:type="dxa"/>
            </w:tcMar>
          </w:tcPr>
          <w:p>
            <w:r/>
            <w:r>
              <w:rPr>
                <w:rFonts w:ascii="Noto Sans" w:hAnsi="Noto Sans"/>
                <w:b w:val="0"/>
                <w:color w:val="1F2937"/>
                <w:sz w:val="15"/>
              </w:rPr>
              <w:t>California Board of Behavioral Sciences — California Law and Ethics Examination</w:t>
            </w:r>
          </w:p>
        </w:tc>
        <w:tc>
          <w:tcPr>
            <w:tcW w:type="dxa" w:w="5616"/>
            <w:vAlign w:val="center"/>
            <w:tcMar>
              <w:top w:w="70" w:type="dxa"/>
              <w:start w:w="80" w:type="dxa"/>
              <w:bottom w:w="70" w:type="dxa"/>
              <w:end w:w="80" w:type="dxa"/>
            </w:tcMar>
          </w:tcPr>
          <w:p>
            <w:r/>
            <w:r>
              <w:rPr>
                <w:rFonts w:ascii="Noto Sans" w:hAnsi="Noto Sans"/>
                <w:b w:val="0"/>
                <w:color w:val="1F2937"/>
                <w:sz w:val="15"/>
              </w:rPr>
              <w:t>https://www.bbs.ca.gov/exams/calaw_ethics.html</w:t>
            </w:r>
          </w:p>
        </w:tc>
      </w:tr>
      <w:tr>
        <w:tc>
          <w:tcPr>
            <w:tcW w:type="dxa" w:w="3600"/>
            <w:shd w:fill="F2F4F7"/>
            <w:vAlign w:val="center"/>
            <w:tcMar>
              <w:top w:w="70" w:type="dxa"/>
              <w:start w:w="80" w:type="dxa"/>
              <w:bottom w:w="70" w:type="dxa"/>
              <w:end w:w="80" w:type="dxa"/>
            </w:tcMar>
          </w:tcPr>
          <w:p>
            <w:r/>
            <w:r>
              <w:rPr>
                <w:rFonts w:ascii="Noto Sans" w:hAnsi="Noto Sans"/>
                <w:b w:val="0"/>
                <w:color w:val="1F2937"/>
                <w:sz w:val="15"/>
              </w:rPr>
              <w:t>California Board of Behavioral Sciences — 2026 Statutes and Regulations</w:t>
            </w:r>
          </w:p>
        </w:tc>
        <w:tc>
          <w:tcPr>
            <w:tcW w:type="dxa" w:w="5616"/>
            <w:shd w:fill="F2F4F7"/>
            <w:vAlign w:val="center"/>
            <w:tcMar>
              <w:top w:w="70" w:type="dxa"/>
              <w:start w:w="80" w:type="dxa"/>
              <w:bottom w:w="70" w:type="dxa"/>
              <w:end w:w="80" w:type="dxa"/>
            </w:tcMar>
          </w:tcPr>
          <w:p>
            <w:r/>
            <w:r>
              <w:rPr>
                <w:rFonts w:ascii="Noto Sans" w:hAnsi="Noto Sans"/>
                <w:b w:val="0"/>
                <w:color w:val="1F2937"/>
                <w:sz w:val="15"/>
              </w:rPr>
              <w:t>https://www.bbs.ca.gov/pdf/publications/lawsregs.pdf</w:t>
            </w:r>
          </w:p>
        </w:tc>
      </w:tr>
      <w:tr>
        <w:tc>
          <w:tcPr>
            <w:tcW w:type="dxa" w:w="3600"/>
            <w:vAlign w:val="center"/>
            <w:tcMar>
              <w:top w:w="70" w:type="dxa"/>
              <w:start w:w="80" w:type="dxa"/>
              <w:bottom w:w="70" w:type="dxa"/>
              <w:end w:w="80" w:type="dxa"/>
            </w:tcMar>
          </w:tcPr>
          <w:p>
            <w:r/>
            <w:r>
              <w:rPr>
                <w:rFonts w:ascii="Noto Sans" w:hAnsi="Noto Sans"/>
                <w:b w:val="0"/>
                <w:color w:val="1F2937"/>
                <w:sz w:val="15"/>
              </w:rPr>
              <w:t>California Board of Behavioral Sciences — Law Changes</w:t>
            </w:r>
          </w:p>
        </w:tc>
        <w:tc>
          <w:tcPr>
            <w:tcW w:type="dxa" w:w="5616"/>
            <w:vAlign w:val="center"/>
            <w:tcMar>
              <w:top w:w="70" w:type="dxa"/>
              <w:start w:w="80" w:type="dxa"/>
              <w:bottom w:w="70" w:type="dxa"/>
              <w:end w:w="80" w:type="dxa"/>
            </w:tcMar>
          </w:tcPr>
          <w:p>
            <w:r/>
            <w:r>
              <w:rPr>
                <w:rFonts w:ascii="Noto Sans" w:hAnsi="Noto Sans"/>
                <w:b w:val="0"/>
                <w:color w:val="1F2937"/>
                <w:sz w:val="15"/>
              </w:rPr>
              <w:t>https://www.bbs.ca.gov/about/law_changes.html</w:t>
            </w:r>
          </w:p>
        </w:tc>
      </w:tr>
      <w:tr>
        <w:tc>
          <w:tcPr>
            <w:tcW w:type="dxa" w:w="3600"/>
            <w:shd w:fill="F2F4F7"/>
            <w:vAlign w:val="center"/>
            <w:tcMar>
              <w:top w:w="70" w:type="dxa"/>
              <w:start w:w="80" w:type="dxa"/>
              <w:bottom w:w="70" w:type="dxa"/>
              <w:end w:w="80" w:type="dxa"/>
            </w:tcMar>
          </w:tcPr>
          <w:p>
            <w:r/>
            <w:r>
              <w:rPr>
                <w:rFonts w:ascii="Noto Sans" w:hAnsi="Noto Sans"/>
                <w:b w:val="0"/>
                <w:color w:val="1F2937"/>
                <w:sz w:val="15"/>
              </w:rPr>
              <w:t>Pearson VUE — California BBS examination resources</w:t>
            </w:r>
          </w:p>
        </w:tc>
        <w:tc>
          <w:tcPr>
            <w:tcW w:type="dxa" w:w="5616"/>
            <w:shd w:fill="F2F4F7"/>
            <w:vAlign w:val="center"/>
            <w:tcMar>
              <w:top w:w="70" w:type="dxa"/>
              <w:start w:w="80" w:type="dxa"/>
              <w:bottom w:w="70" w:type="dxa"/>
              <w:end w:w="80" w:type="dxa"/>
            </w:tcMar>
          </w:tcPr>
          <w:p>
            <w:r/>
            <w:r>
              <w:rPr>
                <w:rFonts w:ascii="Noto Sans" w:hAnsi="Noto Sans"/>
                <w:b w:val="0"/>
                <w:color w:val="1F2937"/>
                <w:sz w:val="15"/>
              </w:rPr>
              <w:t>https://www.pearsonvue.com/us/en/bbs.html</w:t>
            </w:r>
          </w:p>
        </w:tc>
      </w:tr>
      <w:tr>
        <w:tc>
          <w:tcPr>
            <w:tcW w:type="dxa" w:w="3600"/>
            <w:vAlign w:val="center"/>
            <w:tcMar>
              <w:top w:w="70" w:type="dxa"/>
              <w:start w:w="80" w:type="dxa"/>
              <w:bottom w:w="70" w:type="dxa"/>
              <w:end w:w="80" w:type="dxa"/>
            </w:tcMar>
          </w:tcPr>
          <w:p>
            <w:r/>
            <w:r>
              <w:rPr>
                <w:rFonts w:ascii="Noto Sans" w:hAnsi="Noto Sans"/>
                <w:b w:val="0"/>
                <w:color w:val="1F2937"/>
                <w:sz w:val="15"/>
              </w:rPr>
              <w:t>American Counseling Association — Ethics Resources</w:t>
            </w:r>
          </w:p>
        </w:tc>
        <w:tc>
          <w:tcPr>
            <w:tcW w:type="dxa" w:w="5616"/>
            <w:vAlign w:val="center"/>
            <w:tcMar>
              <w:top w:w="70" w:type="dxa"/>
              <w:start w:w="80" w:type="dxa"/>
              <w:bottom w:w="70" w:type="dxa"/>
              <w:end w:w="80" w:type="dxa"/>
            </w:tcMar>
          </w:tcPr>
          <w:p>
            <w:r/>
            <w:r>
              <w:rPr>
                <w:rFonts w:ascii="Noto Sans" w:hAnsi="Noto Sans"/>
                <w:b w:val="0"/>
                <w:color w:val="1F2937"/>
                <w:sz w:val="15"/>
              </w:rPr>
              <w:t>https://www.counseling.org/resources/ethics</w:t>
            </w:r>
          </w:p>
        </w:tc>
      </w:tr>
      <w:tr>
        <w:tc>
          <w:tcPr>
            <w:tcW w:type="dxa" w:w="3600"/>
            <w:shd w:fill="F2F4F7"/>
            <w:vAlign w:val="center"/>
            <w:tcMar>
              <w:top w:w="70" w:type="dxa"/>
              <w:start w:w="80" w:type="dxa"/>
              <w:bottom w:w="70" w:type="dxa"/>
              <w:end w:w="80" w:type="dxa"/>
            </w:tcMar>
          </w:tcPr>
          <w:p>
            <w:r/>
            <w:r>
              <w:rPr>
                <w:rFonts w:ascii="Noto Sans" w:hAnsi="Noto Sans"/>
                <w:b w:val="0"/>
                <w:color w:val="1F2937"/>
                <w:sz w:val="15"/>
              </w:rPr>
              <w:t>American Counseling Association — 2026 Code Revision Project</w:t>
            </w:r>
          </w:p>
        </w:tc>
        <w:tc>
          <w:tcPr>
            <w:tcW w:type="dxa" w:w="5616"/>
            <w:shd w:fill="F2F4F7"/>
            <w:vAlign w:val="center"/>
            <w:tcMar>
              <w:top w:w="70" w:type="dxa"/>
              <w:start w:w="80" w:type="dxa"/>
              <w:bottom w:w="70" w:type="dxa"/>
              <w:end w:w="80" w:type="dxa"/>
            </w:tcMar>
          </w:tcPr>
          <w:p>
            <w:r/>
            <w:r>
              <w:rPr>
                <w:rFonts w:ascii="Noto Sans" w:hAnsi="Noto Sans"/>
                <w:b w:val="0"/>
                <w:color w:val="1F2937"/>
                <w:sz w:val="15"/>
              </w:rPr>
              <w:t>https://manifold.counseling.org/projects/aca-code-of-ethics</w:t>
            </w:r>
          </w:p>
        </w:tc>
      </w:tr>
      <w:tr>
        <w:tc>
          <w:tcPr>
            <w:tcW w:type="dxa" w:w="3600"/>
            <w:vAlign w:val="center"/>
            <w:tcMar>
              <w:top w:w="70" w:type="dxa"/>
              <w:start w:w="80" w:type="dxa"/>
              <w:bottom w:w="70" w:type="dxa"/>
              <w:end w:w="80" w:type="dxa"/>
            </w:tcMar>
          </w:tcPr>
          <w:p>
            <w:r/>
            <w:r>
              <w:rPr>
                <w:rFonts w:ascii="Noto Sans" w:hAnsi="Noto Sans"/>
                <w:b w:val="0"/>
                <w:color w:val="1F2937"/>
                <w:sz w:val="15"/>
              </w:rPr>
              <w:t>California Legislative Information — Penal Code §11166</w:t>
            </w:r>
          </w:p>
        </w:tc>
        <w:tc>
          <w:tcPr>
            <w:tcW w:type="dxa" w:w="5616"/>
            <w:vAlign w:val="center"/>
            <w:tcMar>
              <w:top w:w="70" w:type="dxa"/>
              <w:start w:w="80" w:type="dxa"/>
              <w:bottom w:w="70" w:type="dxa"/>
              <w:end w:w="80" w:type="dxa"/>
            </w:tcMar>
          </w:tcPr>
          <w:p>
            <w:r/>
            <w:r>
              <w:rPr>
                <w:rFonts w:ascii="Noto Sans" w:hAnsi="Noto Sans"/>
                <w:b w:val="0"/>
                <w:color w:val="1F2937"/>
                <w:sz w:val="15"/>
              </w:rPr>
              <w:t>https://leginfo.legislature.ca.gov/faces/codes_displaySection.xhtml?lawCode=PEN&amp;sectionNum=11166.</w:t>
            </w:r>
          </w:p>
        </w:tc>
      </w:tr>
      <w:tr>
        <w:tc>
          <w:tcPr>
            <w:tcW w:type="dxa" w:w="3600"/>
            <w:shd w:fill="F2F4F7"/>
            <w:vAlign w:val="center"/>
            <w:tcMar>
              <w:top w:w="70" w:type="dxa"/>
              <w:start w:w="80" w:type="dxa"/>
              <w:bottom w:w="70" w:type="dxa"/>
              <w:end w:w="80" w:type="dxa"/>
            </w:tcMar>
          </w:tcPr>
          <w:p>
            <w:r/>
            <w:r>
              <w:rPr>
                <w:rFonts w:ascii="Noto Sans" w:hAnsi="Noto Sans"/>
                <w:b w:val="0"/>
                <w:color w:val="1F2937"/>
                <w:sz w:val="15"/>
              </w:rPr>
              <w:t>California Legislative Information — Family Code §6924</w:t>
            </w:r>
          </w:p>
        </w:tc>
        <w:tc>
          <w:tcPr>
            <w:tcW w:type="dxa" w:w="5616"/>
            <w:shd w:fill="F2F4F7"/>
            <w:vAlign w:val="center"/>
            <w:tcMar>
              <w:top w:w="70" w:type="dxa"/>
              <w:start w:w="80" w:type="dxa"/>
              <w:bottom w:w="70" w:type="dxa"/>
              <w:end w:w="80" w:type="dxa"/>
            </w:tcMar>
          </w:tcPr>
          <w:p>
            <w:r/>
            <w:r>
              <w:rPr>
                <w:rFonts w:ascii="Noto Sans" w:hAnsi="Noto Sans"/>
                <w:b w:val="0"/>
                <w:color w:val="1F2937"/>
                <w:sz w:val="15"/>
              </w:rPr>
              <w:t>https://leginfo.legislature.ca.gov/faces/codes_displaySection.xhtml?lawCode=FAM&amp;sectionNum=6924.</w:t>
            </w:r>
          </w:p>
        </w:tc>
      </w:tr>
      <w:tr>
        <w:tc>
          <w:tcPr>
            <w:tcW w:type="dxa" w:w="3600"/>
            <w:vAlign w:val="center"/>
            <w:tcMar>
              <w:top w:w="70" w:type="dxa"/>
              <w:start w:w="80" w:type="dxa"/>
              <w:bottom w:w="70" w:type="dxa"/>
              <w:end w:w="80" w:type="dxa"/>
            </w:tcMar>
          </w:tcPr>
          <w:p>
            <w:r/>
            <w:r>
              <w:rPr>
                <w:rFonts w:ascii="Noto Sans" w:hAnsi="Noto Sans"/>
                <w:b w:val="0"/>
                <w:color w:val="1F2937"/>
                <w:sz w:val="15"/>
              </w:rPr>
              <w:t>California Legislative Information — Health &amp; Safety Code §123110 et seq.</w:t>
            </w:r>
          </w:p>
        </w:tc>
        <w:tc>
          <w:tcPr>
            <w:tcW w:type="dxa" w:w="5616"/>
            <w:vAlign w:val="center"/>
            <w:tcMar>
              <w:top w:w="70" w:type="dxa"/>
              <w:start w:w="80" w:type="dxa"/>
              <w:bottom w:w="70" w:type="dxa"/>
              <w:end w:w="80" w:type="dxa"/>
            </w:tcMar>
          </w:tcPr>
          <w:p>
            <w:r/>
            <w:r>
              <w:rPr>
                <w:rFonts w:ascii="Noto Sans" w:hAnsi="Noto Sans"/>
                <w:b w:val="0"/>
                <w:color w:val="1F2937"/>
                <w:sz w:val="15"/>
              </w:rPr>
              <w:t>https://leginfo.legislature.ca.gov/faces/codes_displayText.xhtml?article=&amp;chapter=1.&amp;division=106.&amp;lawCode=HSC&amp;part=1.&amp;title=</w:t>
            </w:r>
          </w:p>
        </w:tc>
      </w:tr>
      <w:tr>
        <w:tc>
          <w:tcPr>
            <w:tcW w:type="dxa" w:w="3600"/>
            <w:shd w:fill="F2F4F7"/>
            <w:vAlign w:val="center"/>
            <w:tcMar>
              <w:top w:w="70" w:type="dxa"/>
              <w:start w:w="80" w:type="dxa"/>
              <w:bottom w:w="70" w:type="dxa"/>
              <w:end w:w="80" w:type="dxa"/>
            </w:tcMar>
          </w:tcPr>
          <w:p>
            <w:r/>
            <w:r>
              <w:rPr>
                <w:rFonts w:ascii="Noto Sans" w:hAnsi="Noto Sans"/>
                <w:b w:val="0"/>
                <w:color w:val="1F2937"/>
                <w:sz w:val="15"/>
              </w:rPr>
              <w:t>California Legislative Information — Welfare &amp; Institutions Code §15630</w:t>
            </w:r>
          </w:p>
        </w:tc>
        <w:tc>
          <w:tcPr>
            <w:tcW w:type="dxa" w:w="5616"/>
            <w:shd w:fill="F2F4F7"/>
            <w:vAlign w:val="center"/>
            <w:tcMar>
              <w:top w:w="70" w:type="dxa"/>
              <w:start w:w="80" w:type="dxa"/>
              <w:bottom w:w="70" w:type="dxa"/>
              <w:end w:w="80" w:type="dxa"/>
            </w:tcMar>
          </w:tcPr>
          <w:p>
            <w:r/>
            <w:r>
              <w:rPr>
                <w:rFonts w:ascii="Noto Sans" w:hAnsi="Noto Sans"/>
                <w:b w:val="0"/>
                <w:color w:val="1F2937"/>
                <w:sz w:val="15"/>
              </w:rPr>
              <w:t>https://leginfo.legislature.ca.gov/faces/codes_displaySection.xhtml?lawCode=WIC&amp;sectionNum=15630.</w:t>
            </w:r>
          </w:p>
        </w:tc>
      </w:tr>
    </w:tbl>
    <w:tbl>
      <w:tblPr>
        <w:tblW w:type="auto" w:w="0"/>
        <w:jc w:val="center"/>
        <w:tblLayout w:type="fixed"/>
        <w:tblLook w:firstColumn="1" w:firstRow="1" w:lastColumn="0" w:lastRow="0" w:noHBand="0" w:noVBand="1" w:val="04A0"/>
      </w:tblPr>
      <w:tblGrid>
        <w:gridCol w:w="9288"/>
      </w:tblGrid>
      <w:tr>
        <w:tc>
          <w:tcPr>
            <w:tcW w:type="dxa" w:w="10454"/>
            <w:shd w:fill="FFF4CC"/>
            <w:tcMar>
              <w:top w:w="120" w:type="dxa"/>
              <w:start w:w="140" w:type="dxa"/>
              <w:bottom w:w="120" w:type="dxa"/>
              <w:end w:w="140" w:type="dxa"/>
            </w:tcMar>
          </w:tcPr>
          <w:p>
            <w:r>
              <w:t>CURRENTNESS AND UPDATE CONTROL</w:t>
            </w:r>
            <w:r>
              <w:rPr>
                <w:rFonts w:ascii="Noto Sans" w:hAnsi="Noto Sans"/>
                <w:b/>
                <w:color w:val="17365D"/>
                <w:sz w:val="20"/>
              </w:rPr>
            </w:r>
          </w:p>
          <w:p>
            <w:r>
              <w:rPr>
                <w:rFonts w:ascii="Noto Sans" w:hAnsi="Noto Sans"/>
                <w:color w:val="1F2937"/>
                <w:sz w:val="19"/>
              </w:rPr>
              <w:t>Approved for learner use under CTA-EP-003. Learners should review current official examination and licensing materials near their examination date. CTA will version and update this resource when material official requirements or ethics standards change.</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7681"/>
        <w:sz w:val="16"/>
      </w:rPr>
      <w:t>CTA | LPCC California Law &amp; Ethics Exam Preparation | LEARNER RESOURCE | RELEASE VERSION | NO CE CREDIT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57400" cy="1415143"/>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2057400" cy="141514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DA9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